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Washington, D.C. 20549</w:t>
      </w:r>
    </w:p>
    <w:p>
      <w:pPr>
        <w:spacing w:after="0" w:line="14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40" w:lineRule="exact"/>
        <w:rPr>
          <w:sz w:val="24"/>
          <w:szCs w:val="24"/>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4"/>
          <w:szCs w:val="14"/>
          <w:color w:val="auto"/>
        </w:rPr>
        <w:t>QUARTERLY REPORT PURSUANT TO SECTION 13 OR 15(d) OF THE SECURITIES EXCHANGE ACT OF 1934</w:t>
      </w:r>
    </w:p>
    <w:p>
      <w:pPr>
        <w:spacing w:after="0" w:line="217" w:lineRule="exact"/>
        <w:rPr>
          <w:sz w:val="24"/>
          <w:szCs w:val="24"/>
          <w:color w:val="auto"/>
        </w:rPr>
      </w:pPr>
    </w:p>
    <w:p>
      <w:pPr>
        <w:spacing w:after="0"/>
        <w:tabs>
          <w:tab w:leader="none" w:pos="3300" w:val="left"/>
        </w:tabs>
        <w:rPr>
          <w:sz w:val="20"/>
          <w:szCs w:val="20"/>
          <w:color w:val="auto"/>
        </w:rPr>
      </w:pPr>
      <w:r>
        <w:rPr>
          <w:rFonts w:ascii="Arial" w:cs="Arial" w:eastAsia="Arial" w:hAnsi="Arial"/>
          <w:sz w:val="14"/>
          <w:szCs w:val="14"/>
          <w:color w:val="auto"/>
        </w:rPr>
        <w:t>For the Quarterly Period ended March 31, 2022</w:t>
      </w:r>
      <w:r>
        <w:rPr>
          <w:sz w:val="20"/>
          <w:szCs w:val="20"/>
          <w:color w:val="auto"/>
        </w:rPr>
        <w:tab/>
      </w:r>
      <w:r>
        <w:rPr>
          <w:rFonts w:ascii="Arial" w:cs="Arial" w:eastAsia="Arial" w:hAnsi="Arial"/>
          <w:sz w:val="14"/>
          <w:szCs w:val="14"/>
          <w:color w:val="auto"/>
        </w:rPr>
        <w:t>OR</w:t>
      </w:r>
    </w:p>
    <w:p>
      <w:pPr>
        <w:spacing w:after="0" w:line="223" w:lineRule="exact"/>
        <w:rPr>
          <w:sz w:val="24"/>
          <w:szCs w:val="24"/>
          <w:color w:val="auto"/>
        </w:rPr>
      </w:pPr>
    </w:p>
    <w:p>
      <w:pPr>
        <w:ind w:right="3820" w:firstLine="6"/>
        <w:spacing w:after="0" w:line="572" w:lineRule="auto"/>
        <w:tabs>
          <w:tab w:leader="none" w:pos="172"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TRANSITION REPORT PURSUANT TO SECTION 13 OR 15 (d) OF THE SECURITIES EXCHANGE ACT OF 1934 For the Transition Period from to</w:t>
      </w:r>
    </w:p>
    <w:p>
      <w:pPr>
        <w:spacing w:after="0" w:line="1" w:lineRule="exact"/>
        <w:rPr>
          <w:rFonts w:ascii="MS PGothic" w:cs="MS PGothic" w:eastAsia="MS PGothic" w:hAnsi="MS PGothic"/>
          <w:sz w:val="14"/>
          <w:szCs w:val="14"/>
          <w:color w:val="auto"/>
        </w:rPr>
      </w:pPr>
    </w:p>
    <w:p>
      <w:pPr>
        <w:spacing w:after="0"/>
        <w:rPr>
          <w:rFonts w:ascii="MS PGothic" w:cs="MS PGothic" w:eastAsia="MS PGothic" w:hAnsi="MS PGothic"/>
          <w:sz w:val="14"/>
          <w:szCs w:val="14"/>
          <w:color w:val="auto"/>
        </w:rPr>
      </w:pPr>
      <w:r>
        <w:rPr>
          <w:rFonts w:ascii="Arial" w:cs="Arial" w:eastAsia="Arial" w:hAnsi="Arial"/>
          <w:sz w:val="14"/>
          <w:szCs w:val="14"/>
          <w:color w:val="auto"/>
        </w:rPr>
        <w:t>Commission file number 001-38671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2157730</wp:posOffset>
            </wp:positionH>
            <wp:positionV relativeFrom="paragraph">
              <wp:posOffset>139065</wp:posOffset>
            </wp:positionV>
            <wp:extent cx="2835275" cy="387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35275" cy="387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tbl>
      <w:tblPr>
        <w:tblLayout w:type="fixed"/>
        <w:tblInd w:w="320" w:type="dxa"/>
        <w:tblCellMar>
          <w:top w:w="0" w:type="dxa"/>
          <w:left w:w="0" w:type="dxa"/>
          <w:bottom w:w="0" w:type="dxa"/>
          <w:right w:w="0" w:type="dxa"/>
        </w:tblCellMar>
      </w:tblPr>
      <w:tr>
        <w:trPr>
          <w:trHeight w:val="207"/>
        </w:trPr>
        <w:tc>
          <w:tcPr>
            <w:tcW w:w="3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CAPITAL BANCORP INC.</w:t>
            </w:r>
          </w:p>
        </w:tc>
        <w:tc>
          <w:tcPr>
            <w:tcW w:w="4280" w:type="dxa"/>
            <w:vAlign w:val="bottom"/>
          </w:tcPr>
          <w:p>
            <w:pPr>
              <w:spacing w:after="0"/>
              <w:rPr>
                <w:sz w:val="17"/>
                <w:szCs w:val="17"/>
                <w:color w:val="auto"/>
              </w:rPr>
            </w:pPr>
          </w:p>
        </w:tc>
      </w:tr>
      <w:tr>
        <w:trPr>
          <w:trHeight w:val="147"/>
        </w:trPr>
        <w:tc>
          <w:tcPr>
            <w:tcW w:w="3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560" w:type="dxa"/>
            <w:vAlign w:val="bottom"/>
            <w:gridSpan w:val="7"/>
          </w:tcPr>
          <w:p>
            <w:pPr>
              <w:jc w:val="center"/>
              <w:ind w:right="4047"/>
              <w:spacing w:after="0"/>
              <w:rPr>
                <w:sz w:val="20"/>
                <w:szCs w:val="20"/>
                <w:color w:val="auto"/>
              </w:rPr>
            </w:pPr>
            <w:r>
              <w:rPr>
                <w:rFonts w:ascii="Arial" w:cs="Arial" w:eastAsia="Arial" w:hAnsi="Arial"/>
                <w:sz w:val="11"/>
                <w:szCs w:val="11"/>
                <w:color w:val="auto"/>
                <w:w w:val="96"/>
              </w:rPr>
              <w:t>(Exact name of registrant as specified in its charter)</w:t>
            </w:r>
          </w:p>
        </w:tc>
      </w:tr>
      <w:tr>
        <w:trPr>
          <w:trHeight w:val="244"/>
        </w:trPr>
        <w:tc>
          <w:tcPr>
            <w:tcW w:w="3200" w:type="dxa"/>
            <w:vAlign w:val="bottom"/>
          </w:tcPr>
          <w:p>
            <w:pPr>
              <w:jc w:val="center"/>
              <w:ind w:left="2151"/>
              <w:spacing w:after="0"/>
              <w:rPr>
                <w:sz w:val="20"/>
                <w:szCs w:val="20"/>
                <w:color w:val="auto"/>
              </w:rPr>
            </w:pPr>
            <w:r>
              <w:rPr>
                <w:rFonts w:ascii="Arial" w:cs="Arial" w:eastAsia="Arial" w:hAnsi="Arial"/>
                <w:sz w:val="16"/>
                <w:szCs w:val="16"/>
                <w:b w:val="1"/>
                <w:bCs w:val="1"/>
                <w:color w:val="auto"/>
                <w:w w:val="99"/>
              </w:rPr>
              <w:t>Maryland</w:t>
            </w:r>
          </w:p>
        </w:tc>
        <w:tc>
          <w:tcPr>
            <w:tcW w:w="880" w:type="dxa"/>
            <w:vAlign w:val="bottom"/>
          </w:tcPr>
          <w:p>
            <w:pPr>
              <w:spacing w:after="0"/>
              <w:rPr>
                <w:sz w:val="21"/>
                <w:szCs w:val="21"/>
                <w:color w:val="auto"/>
              </w:rPr>
            </w:pPr>
          </w:p>
        </w:tc>
        <w:tc>
          <w:tcPr>
            <w:tcW w:w="6560" w:type="dxa"/>
            <w:vAlign w:val="bottom"/>
            <w:gridSpan w:val="7"/>
          </w:tcPr>
          <w:p>
            <w:pPr>
              <w:jc w:val="right"/>
              <w:ind w:right="1987"/>
              <w:spacing w:after="0"/>
              <w:rPr>
                <w:sz w:val="20"/>
                <w:szCs w:val="20"/>
                <w:color w:val="auto"/>
              </w:rPr>
            </w:pPr>
            <w:r>
              <w:rPr>
                <w:rFonts w:ascii="Arial" w:cs="Arial" w:eastAsia="Arial" w:hAnsi="Arial"/>
                <w:sz w:val="16"/>
                <w:szCs w:val="16"/>
                <w:b w:val="1"/>
                <w:bCs w:val="1"/>
                <w:color w:val="auto"/>
              </w:rPr>
              <w:t>52-2083046</w:t>
            </w:r>
          </w:p>
        </w:tc>
      </w:tr>
      <w:tr>
        <w:trPr>
          <w:trHeight w:val="133"/>
        </w:trPr>
        <w:tc>
          <w:tcPr>
            <w:tcW w:w="4080" w:type="dxa"/>
            <w:vAlign w:val="bottom"/>
            <w:tcBorders>
              <w:top w:val="single" w:sz="8" w:color="auto"/>
            </w:tcBorders>
            <w:gridSpan w:val="2"/>
          </w:tcPr>
          <w:p>
            <w:pPr>
              <w:jc w:val="center"/>
              <w:ind w:left="1271"/>
              <w:spacing w:after="0"/>
              <w:rPr>
                <w:sz w:val="20"/>
                <w:szCs w:val="20"/>
                <w:color w:val="auto"/>
              </w:rPr>
            </w:pPr>
            <w:r>
              <w:rPr>
                <w:rFonts w:ascii="Arial" w:cs="Arial" w:eastAsia="Arial" w:hAnsi="Arial"/>
                <w:sz w:val="11"/>
                <w:szCs w:val="11"/>
                <w:color w:val="auto"/>
                <w:w w:val="96"/>
              </w:rPr>
              <w:t>(State or other jurisdiction of incorporation or organization)</w:t>
            </w:r>
          </w:p>
        </w:tc>
        <w:tc>
          <w:tcPr>
            <w:tcW w:w="1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280" w:type="dxa"/>
            <w:vAlign w:val="bottom"/>
            <w:tcBorders>
              <w:top w:val="single" w:sz="8" w:color="auto"/>
            </w:tcBorders>
          </w:tcPr>
          <w:p>
            <w:pPr>
              <w:jc w:val="center"/>
              <w:ind w:right="607"/>
              <w:spacing w:after="0"/>
              <w:rPr>
                <w:sz w:val="20"/>
                <w:szCs w:val="20"/>
                <w:color w:val="auto"/>
              </w:rPr>
            </w:pPr>
            <w:r>
              <w:rPr>
                <w:rFonts w:ascii="Arial" w:cs="Arial" w:eastAsia="Arial" w:hAnsi="Arial"/>
                <w:sz w:val="11"/>
                <w:szCs w:val="11"/>
                <w:color w:val="auto"/>
                <w:w w:val="96"/>
              </w:rPr>
              <w:t>(IRS Employer Identification No.)</w:t>
            </w:r>
          </w:p>
        </w:tc>
      </w:tr>
      <w:tr>
        <w:trPr>
          <w:trHeight w:val="230"/>
        </w:trPr>
        <w:tc>
          <w:tcPr>
            <w:tcW w:w="3200" w:type="dxa"/>
            <w:vAlign w:val="bottom"/>
          </w:tcPr>
          <w:p>
            <w:pPr>
              <w:jc w:val="center"/>
              <w:ind w:right="151"/>
              <w:spacing w:after="0"/>
              <w:rPr>
                <w:sz w:val="20"/>
                <w:szCs w:val="20"/>
                <w:color w:val="auto"/>
              </w:rPr>
            </w:pPr>
            <w:r>
              <w:rPr>
                <w:rFonts w:ascii="Arial" w:cs="Arial" w:eastAsia="Arial" w:hAnsi="Arial"/>
                <w:sz w:val="16"/>
                <w:szCs w:val="16"/>
                <w:b w:val="1"/>
                <w:bCs w:val="1"/>
                <w:color w:val="auto"/>
                <w:w w:val="99"/>
              </w:rPr>
              <w:t>2275 Research Boulevard</w:t>
            </w:r>
          </w:p>
        </w:tc>
        <w:tc>
          <w:tcPr>
            <w:tcW w:w="880" w:type="dxa"/>
            <w:vAlign w:val="bottom"/>
          </w:tcPr>
          <w:p>
            <w:pPr>
              <w:ind w:left="120"/>
              <w:spacing w:after="0"/>
              <w:rPr>
                <w:sz w:val="20"/>
                <w:szCs w:val="20"/>
                <w:color w:val="auto"/>
              </w:rPr>
            </w:pPr>
            <w:r>
              <w:rPr>
                <w:rFonts w:ascii="Arial" w:cs="Arial" w:eastAsia="Arial" w:hAnsi="Arial"/>
                <w:sz w:val="16"/>
                <w:szCs w:val="16"/>
                <w:b w:val="1"/>
                <w:bCs w:val="1"/>
                <w:color w:val="auto"/>
              </w:rPr>
              <w:t>Suite 600</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213"/>
        </w:trPr>
        <w:tc>
          <w:tcPr>
            <w:tcW w:w="3200" w:type="dxa"/>
            <w:vAlign w:val="bottom"/>
          </w:tcPr>
          <w:p>
            <w:pPr>
              <w:jc w:val="center"/>
              <w:ind w:right="151"/>
              <w:spacing w:after="0"/>
              <w:rPr>
                <w:sz w:val="20"/>
                <w:szCs w:val="20"/>
                <w:color w:val="auto"/>
              </w:rPr>
            </w:pPr>
            <w:r>
              <w:rPr>
                <w:rFonts w:ascii="Arial" w:cs="Arial" w:eastAsia="Arial" w:hAnsi="Arial"/>
                <w:sz w:val="16"/>
                <w:szCs w:val="16"/>
                <w:b w:val="1"/>
                <w:bCs w:val="1"/>
                <w:color w:val="auto"/>
                <w:w w:val="99"/>
              </w:rPr>
              <w:t>Rockville</w:t>
            </w:r>
          </w:p>
        </w:tc>
        <w:tc>
          <w:tcPr>
            <w:tcW w:w="880" w:type="dxa"/>
            <w:vAlign w:val="bottom"/>
          </w:tcPr>
          <w:p>
            <w:pPr>
              <w:ind w:left="120"/>
              <w:spacing w:after="0"/>
              <w:rPr>
                <w:sz w:val="20"/>
                <w:szCs w:val="20"/>
                <w:color w:val="auto"/>
              </w:rPr>
            </w:pPr>
            <w:r>
              <w:rPr>
                <w:rFonts w:ascii="Arial" w:cs="Arial" w:eastAsia="Arial" w:hAnsi="Arial"/>
                <w:sz w:val="16"/>
                <w:szCs w:val="16"/>
                <w:b w:val="1"/>
                <w:bCs w:val="1"/>
                <w:color w:val="auto"/>
              </w:rPr>
              <w:t>Maryland</w:t>
            </w:r>
          </w:p>
        </w:tc>
        <w:tc>
          <w:tcPr>
            <w:tcW w:w="6560" w:type="dxa"/>
            <w:vAlign w:val="bottom"/>
            <w:gridSpan w:val="7"/>
          </w:tcPr>
          <w:p>
            <w:pPr>
              <w:jc w:val="right"/>
              <w:ind w:right="2187"/>
              <w:spacing w:after="0"/>
              <w:rPr>
                <w:sz w:val="20"/>
                <w:szCs w:val="20"/>
                <w:color w:val="auto"/>
              </w:rPr>
            </w:pPr>
            <w:r>
              <w:rPr>
                <w:rFonts w:ascii="Arial" w:cs="Arial" w:eastAsia="Arial" w:hAnsi="Arial"/>
                <w:sz w:val="16"/>
                <w:szCs w:val="16"/>
                <w:b w:val="1"/>
                <w:bCs w:val="1"/>
                <w:color w:val="auto"/>
              </w:rPr>
              <w:t>20850</w:t>
            </w:r>
          </w:p>
        </w:tc>
      </w:tr>
      <w:tr>
        <w:trPr>
          <w:trHeight w:val="133"/>
        </w:trPr>
        <w:tc>
          <w:tcPr>
            <w:tcW w:w="4080" w:type="dxa"/>
            <w:vAlign w:val="bottom"/>
            <w:tcBorders>
              <w:top w:val="single" w:sz="8" w:color="auto"/>
            </w:tcBorders>
            <w:gridSpan w:val="2"/>
          </w:tcPr>
          <w:p>
            <w:pPr>
              <w:jc w:val="center"/>
              <w:ind w:left="1271"/>
              <w:spacing w:after="0"/>
              <w:rPr>
                <w:sz w:val="20"/>
                <w:szCs w:val="20"/>
                <w:color w:val="auto"/>
              </w:rPr>
            </w:pPr>
            <w:r>
              <w:rPr>
                <w:rFonts w:ascii="Arial" w:cs="Arial" w:eastAsia="Arial" w:hAnsi="Arial"/>
                <w:sz w:val="11"/>
                <w:szCs w:val="11"/>
                <w:color w:val="auto"/>
                <w:w w:val="96"/>
              </w:rPr>
              <w:t>(Address of principal executive offices)</w:t>
            </w:r>
          </w:p>
        </w:tc>
        <w:tc>
          <w:tcPr>
            <w:tcW w:w="1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280" w:type="dxa"/>
            <w:vAlign w:val="bottom"/>
            <w:tcBorders>
              <w:top w:val="single" w:sz="8" w:color="auto"/>
            </w:tcBorders>
          </w:tcPr>
          <w:p>
            <w:pPr>
              <w:jc w:val="center"/>
              <w:ind w:right="607"/>
              <w:spacing w:after="0"/>
              <w:rPr>
                <w:sz w:val="20"/>
                <w:szCs w:val="20"/>
                <w:color w:val="auto"/>
              </w:rPr>
            </w:pPr>
            <w:r>
              <w:rPr>
                <w:rFonts w:ascii="Arial" w:cs="Arial" w:eastAsia="Arial" w:hAnsi="Arial"/>
                <w:sz w:val="11"/>
                <w:szCs w:val="11"/>
                <w:color w:val="auto"/>
                <w:w w:val="96"/>
              </w:rPr>
              <w:t>(Zip Code)</w:t>
            </w:r>
          </w:p>
        </w:tc>
      </w:tr>
      <w:tr>
        <w:trPr>
          <w:trHeight w:val="549"/>
        </w:trPr>
        <w:tc>
          <w:tcPr>
            <w:tcW w:w="3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gridSpan w:val="2"/>
          </w:tcPr>
          <w:p>
            <w:pPr>
              <w:spacing w:after="0"/>
              <w:rPr>
                <w:sz w:val="24"/>
                <w:szCs w:val="24"/>
                <w:color w:val="auto"/>
              </w:rPr>
            </w:pPr>
          </w:p>
        </w:tc>
        <w:tc>
          <w:tcPr>
            <w:tcW w:w="9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(301) 468-8848</w:t>
            </w:r>
          </w:p>
        </w:tc>
        <w:tc>
          <w:tcPr>
            <w:tcW w:w="580" w:type="dxa"/>
            <w:vAlign w:val="bottom"/>
          </w:tcPr>
          <w:p>
            <w:pPr>
              <w:spacing w:after="0"/>
              <w:rPr>
                <w:sz w:val="24"/>
                <w:szCs w:val="24"/>
                <w:color w:val="auto"/>
              </w:rPr>
            </w:pPr>
          </w:p>
        </w:tc>
        <w:tc>
          <w:tcPr>
            <w:tcW w:w="4280" w:type="dxa"/>
            <w:vAlign w:val="bottom"/>
          </w:tcPr>
          <w:p>
            <w:pPr>
              <w:spacing w:after="0"/>
              <w:rPr>
                <w:sz w:val="24"/>
                <w:szCs w:val="24"/>
                <w:color w:val="auto"/>
              </w:rPr>
            </w:pPr>
          </w:p>
        </w:tc>
      </w:tr>
      <w:tr>
        <w:trPr>
          <w:trHeight w:val="133"/>
        </w:trPr>
        <w:tc>
          <w:tcPr>
            <w:tcW w:w="3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560" w:type="dxa"/>
            <w:vAlign w:val="bottom"/>
            <w:gridSpan w:val="7"/>
          </w:tcPr>
          <w:p>
            <w:pPr>
              <w:jc w:val="center"/>
              <w:ind w:right="4047"/>
              <w:spacing w:after="0"/>
              <w:rPr>
                <w:sz w:val="20"/>
                <w:szCs w:val="20"/>
                <w:color w:val="auto"/>
              </w:rPr>
            </w:pPr>
            <w:r>
              <w:rPr>
                <w:rFonts w:ascii="Arial" w:cs="Arial" w:eastAsia="Arial" w:hAnsi="Arial"/>
                <w:sz w:val="11"/>
                <w:szCs w:val="11"/>
                <w:color w:val="auto"/>
                <w:w w:val="96"/>
              </w:rPr>
              <w:t>Registrant’s telephone number, including area code</w:t>
            </w:r>
          </w:p>
        </w:tc>
      </w:tr>
    </w:tbl>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Not Applicable</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1"/>
          <w:szCs w:val="11"/>
          <w:color w:val="auto"/>
        </w:rPr>
        <w:t>(Former Name or Former Address, if Changed Since Last Report)</w:t>
      </w:r>
    </w:p>
    <w:p>
      <w:pPr>
        <w:spacing w:after="0" w:line="234" w:lineRule="exact"/>
        <w:rPr>
          <w:sz w:val="24"/>
          <w:szCs w:val="24"/>
          <w:color w:val="auto"/>
        </w:rPr>
      </w:pPr>
    </w:p>
    <w:p>
      <w:pPr>
        <w:jc w:val="both"/>
        <w:ind w:firstLine="235"/>
        <w:spacing w:after="0" w:line="20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6"/>
          <w:szCs w:val="16"/>
          <w:color w:val="auto"/>
        </w:rPr>
        <w:t>☐</w:t>
      </w:r>
    </w:p>
    <w:p>
      <w:pPr>
        <w:spacing w:after="0" w:line="201" w:lineRule="exact"/>
        <w:rPr>
          <w:sz w:val="24"/>
          <w:szCs w:val="24"/>
          <w:color w:val="auto"/>
        </w:rPr>
      </w:pPr>
    </w:p>
    <w:p>
      <w:pPr>
        <w:jc w:val="both"/>
        <w:ind w:firstLine="254"/>
        <w:spacing w:after="0" w:line="258"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540"/>
        <w:spacing w:after="0" w:line="184" w:lineRule="exact"/>
        <w:rPr>
          <w:sz w:val="20"/>
          <w:szCs w:val="20"/>
          <w:color w:val="auto"/>
        </w:rPr>
      </w:pPr>
      <w:r>
        <w:rPr>
          <w:rFonts w:ascii="Arial" w:cs="Arial" w:eastAsia="Arial" w:hAnsi="Arial"/>
          <w:sz w:val="16"/>
          <w:szCs w:val="16"/>
          <w:color w:val="auto"/>
        </w:rPr>
        <w:t xml:space="preserve">Yes x No </w:t>
      </w:r>
      <w:r>
        <w:rPr>
          <w:rFonts w:ascii="MS PGothic" w:cs="MS PGothic" w:eastAsia="MS PGothic" w:hAnsi="MS PGothic"/>
          <w:sz w:val="16"/>
          <w:szCs w:val="16"/>
          <w:color w:val="auto"/>
        </w:rPr>
        <w:t>☐</w:t>
      </w:r>
    </w:p>
    <w:p>
      <w:pPr>
        <w:spacing w:after="0" w:line="201" w:lineRule="exact"/>
        <w:rPr>
          <w:sz w:val="24"/>
          <w:szCs w:val="24"/>
          <w:color w:val="auto"/>
        </w:rPr>
      </w:pPr>
    </w:p>
    <w:p>
      <w:pPr>
        <w:jc w:val="both"/>
        <w:ind w:firstLine="234"/>
        <w:spacing w:after="0" w:line="267"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88" w:lineRule="exact"/>
        <w:rPr>
          <w:sz w:val="24"/>
          <w:szCs w:val="24"/>
          <w:color w:val="auto"/>
        </w:rPr>
      </w:pPr>
    </w:p>
    <w:tbl>
      <w:tblPr>
        <w:tblLayout w:type="fixed"/>
        <w:tblInd w:w="2180" w:type="dxa"/>
        <w:tblCellMar>
          <w:top w:w="0" w:type="dxa"/>
          <w:left w:w="0" w:type="dxa"/>
          <w:bottom w:w="0" w:type="dxa"/>
          <w:right w:w="0" w:type="dxa"/>
        </w:tblCellMar>
      </w:tblPr>
      <w:tr>
        <w:trPr>
          <w:trHeight w:val="225"/>
        </w:trPr>
        <w:tc>
          <w:tcPr>
            <w:tcW w:w="16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40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3080" w:type="dxa"/>
            <w:vAlign w:val="bottom"/>
          </w:tcPr>
          <w:p>
            <w:pPr>
              <w:ind w:left="1000"/>
              <w:spacing w:after="0"/>
              <w:rPr>
                <w:sz w:val="20"/>
                <w:szCs w:val="20"/>
                <w:color w:val="auto"/>
              </w:rPr>
            </w:pPr>
            <w:r>
              <w:rPr>
                <w:rFonts w:ascii="Arial" w:cs="Arial" w:eastAsia="Arial" w:hAnsi="Arial"/>
                <w:sz w:val="14"/>
                <w:szCs w:val="14"/>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5"/>
        </w:trPr>
        <w:tc>
          <w:tcPr>
            <w:tcW w:w="1660" w:type="dxa"/>
            <w:vAlign w:val="bottom"/>
          </w:tcPr>
          <w:p>
            <w:pPr>
              <w:spacing w:after="0"/>
              <w:rPr>
                <w:sz w:val="20"/>
                <w:szCs w:val="20"/>
                <w:color w:val="auto"/>
              </w:rPr>
            </w:pPr>
            <w:r>
              <w:rPr>
                <w:rFonts w:ascii="Arial" w:cs="Arial" w:eastAsia="Arial" w:hAnsi="Arial"/>
                <w:sz w:val="14"/>
                <w:szCs w:val="14"/>
                <w:color w:val="auto"/>
              </w:rPr>
              <w:t>Non-accelerated filer</w:t>
            </w:r>
          </w:p>
        </w:tc>
        <w:tc>
          <w:tcPr>
            <w:tcW w:w="140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3080" w:type="dxa"/>
            <w:vAlign w:val="bottom"/>
          </w:tcPr>
          <w:p>
            <w:pPr>
              <w:ind w:left="1000"/>
              <w:spacing w:after="0"/>
              <w:rPr>
                <w:sz w:val="20"/>
                <w:szCs w:val="20"/>
                <w:color w:val="auto"/>
              </w:rPr>
            </w:pPr>
            <w:r>
              <w:rPr>
                <w:rFonts w:ascii="Arial" w:cs="Arial" w:eastAsia="Arial" w:hAnsi="Arial"/>
                <w:sz w:val="14"/>
                <w:szCs w:val="14"/>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8"/>
        </w:trPr>
        <w:tc>
          <w:tcPr>
            <w:tcW w:w="16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080" w:type="dxa"/>
            <w:vAlign w:val="bottom"/>
          </w:tcPr>
          <w:p>
            <w:pPr>
              <w:ind w:left="1000"/>
              <w:spacing w:after="0"/>
              <w:rPr>
                <w:sz w:val="20"/>
                <w:szCs w:val="20"/>
                <w:color w:val="auto"/>
              </w:rPr>
            </w:pPr>
            <w:r>
              <w:rPr>
                <w:rFonts w:ascii="Arial" w:cs="Arial" w:eastAsia="Arial" w:hAnsi="Arial"/>
                <w:sz w:val="14"/>
                <w:szCs w:val="14"/>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58" w:lineRule="exact"/>
        <w:rPr>
          <w:sz w:val="24"/>
          <w:szCs w:val="24"/>
          <w:color w:val="auto"/>
        </w:rPr>
      </w:pPr>
    </w:p>
    <w:p>
      <w:pPr>
        <w:spacing w:after="0" w:line="21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982345</wp:posOffset>
            </wp:positionV>
            <wp:extent cx="716026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144" w:lineRule="exact"/>
        <w:rPr>
          <w:sz w:val="20"/>
          <w:szCs w:val="20"/>
          <w:color w:val="auto"/>
        </w:rPr>
      </w:pPr>
    </w:p>
    <w:p>
      <w:pPr>
        <w:spacing w:after="0" w:line="184" w:lineRule="exact"/>
        <w:tabs>
          <w:tab w:leader="none" w:pos="832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rFonts w:ascii="Arial" w:cs="Arial" w:eastAsia="Arial" w:hAnsi="Arial"/>
          <w:sz w:val="15"/>
          <w:szCs w:val="15"/>
          <w:color w:val="auto"/>
        </w:rPr>
        <w:t xml:space="preserve"> No x</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47" w:lineRule="exact"/>
        <w:rPr>
          <w:sz w:val="20"/>
          <w:szCs w:val="20"/>
          <w:color w:val="auto"/>
        </w:rPr>
      </w:pPr>
    </w:p>
    <w:tbl>
      <w:tblPr>
        <w:tblLayout w:type="fixed"/>
        <w:tblInd w:w="370" w:type="dxa"/>
        <w:tblCellMar>
          <w:top w:w="0" w:type="dxa"/>
          <w:left w:w="0" w:type="dxa"/>
          <w:bottom w:w="0" w:type="dxa"/>
          <w:right w:w="0" w:type="dxa"/>
        </w:tblCellMar>
      </w:tblPr>
      <w:tr>
        <w:trPr>
          <w:trHeight w:val="185"/>
        </w:trPr>
        <w:tc>
          <w:tcPr>
            <w:tcW w:w="900" w:type="dxa"/>
            <w:vAlign w:val="bottom"/>
            <w:tcBorders>
              <w:top w:val="single" w:sz="8" w:color="auto"/>
              <w:left w:val="single" w:sz="8" w:color="auto"/>
            </w:tcBorders>
          </w:tcPr>
          <w:p>
            <w:pPr>
              <w:spacing w:after="0"/>
              <w:rPr>
                <w:sz w:val="16"/>
                <w:szCs w:val="16"/>
                <w:color w:val="auto"/>
              </w:rPr>
            </w:pPr>
          </w:p>
        </w:tc>
        <w:tc>
          <w:tcPr>
            <w:tcW w:w="12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Title of each class</w:t>
            </w:r>
          </w:p>
        </w:tc>
        <w:tc>
          <w:tcPr>
            <w:tcW w:w="108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2"/>
          </w:tcPr>
          <w:p>
            <w:pPr>
              <w:jc w:val="center"/>
              <w:ind w:left="221"/>
              <w:spacing w:after="0"/>
              <w:rPr>
                <w:sz w:val="20"/>
                <w:szCs w:val="20"/>
                <w:color w:val="auto"/>
              </w:rPr>
            </w:pPr>
            <w:r>
              <w:rPr>
                <w:rFonts w:ascii="Arial" w:cs="Arial" w:eastAsia="Arial" w:hAnsi="Arial"/>
                <w:sz w:val="16"/>
                <w:szCs w:val="16"/>
                <w:color w:val="auto"/>
                <w:w w:val="97"/>
              </w:rPr>
              <w:t>Trading Symbol(s)</w:t>
            </w:r>
          </w:p>
        </w:tc>
        <w:tc>
          <w:tcPr>
            <w:tcW w:w="5720" w:type="dxa"/>
            <w:vAlign w:val="bottom"/>
            <w:tcBorders>
              <w:top w:val="single" w:sz="8" w:color="auto"/>
              <w:right w:val="single" w:sz="8" w:color="auto"/>
            </w:tcBorders>
            <w:gridSpan w:val="3"/>
          </w:tcPr>
          <w:p>
            <w:pPr>
              <w:jc w:val="center"/>
              <w:ind w:left="381"/>
              <w:spacing w:after="0"/>
              <w:rPr>
                <w:sz w:val="20"/>
                <w:szCs w:val="20"/>
                <w:color w:val="auto"/>
              </w:rPr>
            </w:pPr>
            <w:r>
              <w:rPr>
                <w:rFonts w:ascii="Arial" w:cs="Arial" w:eastAsia="Arial" w:hAnsi="Arial"/>
                <w:sz w:val="16"/>
                <w:szCs w:val="16"/>
                <w:color w:val="auto"/>
                <w:w w:val="99"/>
              </w:rPr>
              <w:t>Name of each exchange on which registered</w:t>
            </w:r>
          </w:p>
        </w:tc>
      </w:tr>
      <w:tr>
        <w:trPr>
          <w:trHeight w:val="20"/>
        </w:trPr>
        <w:tc>
          <w:tcPr>
            <w:tcW w:w="900" w:type="dxa"/>
            <w:vAlign w:val="bottom"/>
            <w:tcBorders>
              <w:left w:val="single" w:sz="8" w:color="auto"/>
            </w:tcBorders>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140" w:type="dxa"/>
            <w:vAlign w:val="bottom"/>
            <w:shd w:val="clear" w:color="auto" w:fill="000000"/>
          </w:tcPr>
          <w:p>
            <w:pPr>
              <w:spacing w:after="0" w:line="20" w:lineRule="exact"/>
              <w:rPr>
                <w:sz w:val="1"/>
                <w:szCs w:val="1"/>
                <w:color w:val="auto"/>
              </w:rPr>
            </w:pPr>
          </w:p>
        </w:tc>
        <w:tc>
          <w:tcPr>
            <w:tcW w:w="1060" w:type="dxa"/>
            <w:vAlign w:val="bottom"/>
            <w:tcBorders>
              <w:right w:val="single" w:sz="8" w:color="auto"/>
            </w:tcBorders>
          </w:tcPr>
          <w:p>
            <w:pPr>
              <w:spacing w:after="0" w:line="20" w:lineRule="exact"/>
              <w:rPr>
                <w:sz w:val="1"/>
                <w:szCs w:val="1"/>
                <w:color w:val="auto"/>
              </w:rPr>
            </w:pPr>
          </w:p>
        </w:tc>
      </w:tr>
      <w:tr>
        <w:trPr>
          <w:trHeight w:val="192"/>
        </w:trPr>
        <w:tc>
          <w:tcPr>
            <w:tcW w:w="3260" w:type="dxa"/>
            <w:vAlign w:val="bottom"/>
            <w:tcBorders>
              <w:left w:val="single" w:sz="8" w:color="auto"/>
            </w:tcBorders>
            <w:gridSpan w:val="3"/>
          </w:tcPr>
          <w:p>
            <w:pPr>
              <w:jc w:val="center"/>
              <w:ind w:right="180"/>
              <w:spacing w:after="0" w:line="192" w:lineRule="exact"/>
              <w:rPr>
                <w:sz w:val="20"/>
                <w:szCs w:val="20"/>
                <w:color w:val="auto"/>
              </w:rPr>
            </w:pPr>
            <w:r>
              <w:rPr>
                <w:rFonts w:ascii="Arial" w:cs="Arial" w:eastAsia="Arial" w:hAnsi="Arial"/>
                <w:sz w:val="18"/>
                <w:szCs w:val="18"/>
                <w:color w:val="auto"/>
                <w:w w:val="98"/>
              </w:rPr>
              <w:t>Common Stock, par value $0.01 per</w:t>
            </w: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r>
      <w:tr>
        <w:trPr>
          <w:trHeight w:val="238"/>
        </w:trPr>
        <w:tc>
          <w:tcPr>
            <w:tcW w:w="900" w:type="dxa"/>
            <w:vAlign w:val="bottom"/>
            <w:tcBorders>
              <w:left w:val="single" w:sz="8" w:color="auto"/>
              <w:bottom w:val="single" w:sz="8" w:color="auto"/>
            </w:tcBorders>
          </w:tcPr>
          <w:p>
            <w:pPr>
              <w:spacing w:after="0"/>
              <w:rPr>
                <w:sz w:val="20"/>
                <w:szCs w:val="20"/>
                <w:color w:val="auto"/>
              </w:rPr>
            </w:pPr>
          </w:p>
        </w:tc>
        <w:tc>
          <w:tcPr>
            <w:tcW w:w="2360" w:type="dxa"/>
            <w:vAlign w:val="bottom"/>
            <w:tcBorders>
              <w:bottom w:val="single" w:sz="8" w:color="auto"/>
            </w:tcBorders>
            <w:gridSpan w:val="2"/>
          </w:tcPr>
          <w:p>
            <w:pPr>
              <w:jc w:val="center"/>
              <w:ind w:right="1080"/>
              <w:spacing w:after="0"/>
              <w:rPr>
                <w:sz w:val="20"/>
                <w:szCs w:val="20"/>
                <w:color w:val="auto"/>
              </w:rPr>
            </w:pPr>
            <w:r>
              <w:rPr>
                <w:rFonts w:ascii="Arial" w:cs="Arial" w:eastAsia="Arial" w:hAnsi="Arial"/>
                <w:sz w:val="18"/>
                <w:szCs w:val="18"/>
                <w:color w:val="auto"/>
                <w:w w:val="97"/>
              </w:rPr>
              <w:t>share</w:t>
            </w: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CBNK</w:t>
            </w:r>
          </w:p>
        </w:tc>
        <w:tc>
          <w:tcPr>
            <w:tcW w:w="1520" w:type="dxa"/>
            <w:vAlign w:val="bottom"/>
            <w:tcBorders>
              <w:bottom w:val="single" w:sz="8" w:color="auto"/>
            </w:tcBorders>
          </w:tcPr>
          <w:p>
            <w:pPr>
              <w:spacing w:after="0"/>
              <w:rPr>
                <w:sz w:val="20"/>
                <w:szCs w:val="20"/>
                <w:color w:val="auto"/>
              </w:rPr>
            </w:pPr>
          </w:p>
        </w:tc>
        <w:tc>
          <w:tcPr>
            <w:tcW w:w="4200" w:type="dxa"/>
            <w:vAlign w:val="bottom"/>
            <w:tcBorders>
              <w:bottom w:val="single" w:sz="8" w:color="auto"/>
              <w:right w:val="single" w:sz="8" w:color="auto"/>
            </w:tcBorders>
            <w:gridSpan w:val="2"/>
          </w:tcPr>
          <w:p>
            <w:pPr>
              <w:jc w:val="center"/>
              <w:ind w:right="1060"/>
              <w:spacing w:after="0"/>
              <w:rPr>
                <w:sz w:val="20"/>
                <w:szCs w:val="20"/>
                <w:color w:val="auto"/>
              </w:rPr>
            </w:pPr>
            <w:r>
              <w:rPr>
                <w:rFonts w:ascii="Arial" w:cs="Arial" w:eastAsia="Arial" w:hAnsi="Arial"/>
                <w:sz w:val="18"/>
                <w:szCs w:val="18"/>
                <w:color w:val="auto"/>
                <w:w w:val="97"/>
              </w:rPr>
              <w:t>NASDAQ Stock Market</w:t>
            </w:r>
          </w:p>
        </w:tc>
      </w:tr>
    </w:tbl>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auto"/>
        </w:rPr>
        <w:t>As of May 5, 2022, the Company had 14,006,924 shares of common stock, par value $0.01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1015365</wp:posOffset>
            </wp:positionV>
            <wp:extent cx="716026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920"/>
          </w:cols>
          <w:pgMar w:left="320" w:top="1440" w:right="659" w:bottom="1440" w:gutter="0" w:footer="0" w:header="0"/>
        </w:sectPr>
      </w:pPr>
    </w:p>
    <w:bookmarkStart w:id="2" w:name="page3"/>
    <w:bookmarkEnd w:id="2"/>
    <w:p>
      <w:pPr>
        <w:jc w:val="center"/>
        <w:ind w:left="62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52"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Form 10-Q</w:t>
      </w:r>
    </w:p>
    <w:p>
      <w:pPr>
        <w:spacing w:after="0" w:line="18"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3810</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940" w:type="dxa"/>
            <w:vAlign w:val="bottom"/>
            <w:gridSpan w:val="2"/>
          </w:tcPr>
          <w:p>
            <w:pPr>
              <w:ind w:left="340"/>
              <w:spacing w:after="0"/>
              <w:rPr>
                <w:sz w:val="20"/>
                <w:szCs w:val="20"/>
                <w:color w:val="auto"/>
              </w:rPr>
            </w:pPr>
            <w:r>
              <w:rPr>
                <w:rFonts w:ascii="Arial" w:cs="Arial" w:eastAsia="Arial" w:hAnsi="Arial"/>
                <w:sz w:val="16"/>
                <w:szCs w:val="16"/>
                <w:b w:val="1"/>
                <w:bCs w:val="1"/>
                <w:color w:val="auto"/>
              </w:rPr>
              <w:t>PART I - CONSOLIDATED FINANCIAL INFORMATION</w:t>
            </w:r>
          </w:p>
        </w:tc>
        <w:tc>
          <w:tcPr>
            <w:tcW w:w="38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w w:val="94"/>
              </w:rPr>
              <w:t>Page</w:t>
            </w:r>
          </w:p>
        </w:tc>
      </w:tr>
      <w:tr>
        <w:trPr>
          <w:trHeight w:val="229"/>
        </w:trPr>
        <w:tc>
          <w:tcPr>
            <w:tcW w:w="1240" w:type="dxa"/>
            <w:vAlign w:val="bottom"/>
          </w:tcPr>
          <w:p>
            <w:pPr>
              <w:ind w:left="340"/>
              <w:spacing w:after="0"/>
              <w:rPr>
                <w:sz w:val="20"/>
                <w:szCs w:val="20"/>
                <w:color w:val="auto"/>
              </w:rPr>
            </w:pPr>
            <w:r>
              <w:rPr>
                <w:rFonts w:ascii="Arial" w:cs="Arial" w:eastAsia="Arial" w:hAnsi="Arial"/>
                <w:sz w:val="16"/>
                <w:szCs w:val="16"/>
                <w:color w:val="auto"/>
              </w:rPr>
              <w:t>Item 1.</w:t>
            </w:r>
          </w:p>
        </w:tc>
        <w:tc>
          <w:tcPr>
            <w:tcW w:w="9700" w:type="dxa"/>
            <w:vAlign w:val="bottom"/>
          </w:tcPr>
          <w:p>
            <w:pPr>
              <w:ind w:left="320"/>
              <w:spacing w:after="0"/>
              <w:rPr>
                <w:sz w:val="20"/>
                <w:szCs w:val="20"/>
                <w:color w:val="auto"/>
              </w:rPr>
            </w:pPr>
            <w:r>
              <w:rPr>
                <w:rFonts w:ascii="Arial" w:cs="Arial" w:eastAsia="Arial" w:hAnsi="Arial"/>
                <w:sz w:val="16"/>
                <w:szCs w:val="16"/>
                <w:color w:val="auto"/>
              </w:rPr>
              <w:t>Consolidated Financial Statements</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2"/>
        </w:trPr>
        <w:tc>
          <w:tcPr>
            <w:tcW w:w="1240" w:type="dxa"/>
            <w:vAlign w:val="bottom"/>
          </w:tcPr>
          <w:p>
            <w:pPr>
              <w:spacing w:after="0"/>
              <w:rPr>
                <w:sz w:val="18"/>
                <w:szCs w:val="18"/>
                <w:color w:val="auto"/>
              </w:rPr>
            </w:pPr>
          </w:p>
        </w:tc>
        <w:tc>
          <w:tcPr>
            <w:tcW w:w="9700" w:type="dxa"/>
            <w:vAlign w:val="bottom"/>
          </w:tcPr>
          <w:p>
            <w:pPr>
              <w:ind w:left="640"/>
              <w:spacing w:after="0"/>
              <w:rPr>
                <w:sz w:val="20"/>
                <w:szCs w:val="20"/>
                <w:color w:val="auto"/>
              </w:rPr>
            </w:pPr>
            <w:r>
              <w:rPr>
                <w:rFonts w:ascii="Arial" w:cs="Arial" w:eastAsia="Arial" w:hAnsi="Arial"/>
                <w:sz w:val="16"/>
                <w:szCs w:val="16"/>
                <w:color w:val="auto"/>
              </w:rPr>
              <w:t>Consolidated Balance Sheets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2"/>
        </w:trPr>
        <w:tc>
          <w:tcPr>
            <w:tcW w:w="1240" w:type="dxa"/>
            <w:vAlign w:val="bottom"/>
          </w:tcPr>
          <w:p>
            <w:pPr>
              <w:spacing w:after="0"/>
              <w:rPr>
                <w:sz w:val="18"/>
                <w:szCs w:val="18"/>
                <w:color w:val="auto"/>
              </w:rPr>
            </w:pPr>
          </w:p>
        </w:tc>
        <w:tc>
          <w:tcPr>
            <w:tcW w:w="9700" w:type="dxa"/>
            <w:vAlign w:val="bottom"/>
          </w:tcPr>
          <w:p>
            <w:pPr>
              <w:ind w:left="640"/>
              <w:spacing w:after="0"/>
              <w:rPr>
                <w:sz w:val="20"/>
                <w:szCs w:val="20"/>
                <w:color w:val="auto"/>
              </w:rPr>
            </w:pPr>
            <w:r>
              <w:rPr>
                <w:rFonts w:ascii="Arial" w:cs="Arial" w:eastAsia="Arial" w:hAnsi="Arial"/>
                <w:sz w:val="16"/>
                <w:szCs w:val="16"/>
                <w:color w:val="auto"/>
              </w:rPr>
              <w:t>Consolidated Statements of Income</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2"/>
        </w:trPr>
        <w:tc>
          <w:tcPr>
            <w:tcW w:w="1240" w:type="dxa"/>
            <w:vAlign w:val="bottom"/>
          </w:tcPr>
          <w:p>
            <w:pPr>
              <w:spacing w:after="0"/>
              <w:rPr>
                <w:sz w:val="18"/>
                <w:szCs w:val="18"/>
                <w:color w:val="auto"/>
              </w:rPr>
            </w:pPr>
          </w:p>
        </w:tc>
        <w:tc>
          <w:tcPr>
            <w:tcW w:w="9700" w:type="dxa"/>
            <w:vAlign w:val="bottom"/>
          </w:tcPr>
          <w:p>
            <w:pPr>
              <w:ind w:left="640"/>
              <w:spacing w:after="0"/>
              <w:rPr>
                <w:sz w:val="20"/>
                <w:szCs w:val="20"/>
                <w:color w:val="auto"/>
              </w:rPr>
            </w:pPr>
            <w:r>
              <w:rPr>
                <w:rFonts w:ascii="Arial" w:cs="Arial" w:eastAsia="Arial" w:hAnsi="Arial"/>
                <w:sz w:val="16"/>
                <w:szCs w:val="16"/>
                <w:color w:val="auto"/>
              </w:rPr>
              <w:t>Consolidated Statements of Comprehensive Income</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2"/>
        </w:trPr>
        <w:tc>
          <w:tcPr>
            <w:tcW w:w="1240" w:type="dxa"/>
            <w:vAlign w:val="bottom"/>
          </w:tcPr>
          <w:p>
            <w:pPr>
              <w:spacing w:after="0"/>
              <w:rPr>
                <w:sz w:val="18"/>
                <w:szCs w:val="18"/>
                <w:color w:val="auto"/>
              </w:rPr>
            </w:pPr>
          </w:p>
        </w:tc>
        <w:tc>
          <w:tcPr>
            <w:tcW w:w="9700" w:type="dxa"/>
            <w:vAlign w:val="bottom"/>
          </w:tcPr>
          <w:p>
            <w:pPr>
              <w:ind w:left="640"/>
              <w:spacing w:after="0"/>
              <w:rPr>
                <w:sz w:val="20"/>
                <w:szCs w:val="20"/>
                <w:color w:val="auto"/>
              </w:rPr>
            </w:pPr>
            <w:r>
              <w:rPr>
                <w:rFonts w:ascii="Arial" w:cs="Arial" w:eastAsia="Arial" w:hAnsi="Arial"/>
                <w:sz w:val="16"/>
                <w:szCs w:val="16"/>
                <w:color w:val="auto"/>
              </w:rPr>
              <w:t>Consolidated Statements of Changes in Stockholders’ Equity</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2"/>
        </w:trPr>
        <w:tc>
          <w:tcPr>
            <w:tcW w:w="1240" w:type="dxa"/>
            <w:vAlign w:val="bottom"/>
          </w:tcPr>
          <w:p>
            <w:pPr>
              <w:spacing w:after="0"/>
              <w:rPr>
                <w:sz w:val="18"/>
                <w:szCs w:val="18"/>
                <w:color w:val="auto"/>
              </w:rPr>
            </w:pPr>
          </w:p>
        </w:tc>
        <w:tc>
          <w:tcPr>
            <w:tcW w:w="9700" w:type="dxa"/>
            <w:vAlign w:val="bottom"/>
          </w:tcPr>
          <w:p>
            <w:pPr>
              <w:ind w:left="640"/>
              <w:spacing w:after="0"/>
              <w:rPr>
                <w:sz w:val="20"/>
                <w:szCs w:val="20"/>
                <w:color w:val="auto"/>
              </w:rPr>
            </w:pPr>
            <w:r>
              <w:rPr>
                <w:rFonts w:ascii="Arial" w:cs="Arial" w:eastAsia="Arial" w:hAnsi="Arial"/>
                <w:sz w:val="16"/>
                <w:szCs w:val="16"/>
                <w:color w:val="auto"/>
              </w:rPr>
              <w:t>Consolidated Statements of Cash Flows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2"/>
        </w:trPr>
        <w:tc>
          <w:tcPr>
            <w:tcW w:w="1240" w:type="dxa"/>
            <w:vAlign w:val="bottom"/>
          </w:tcPr>
          <w:p>
            <w:pPr>
              <w:spacing w:after="0"/>
              <w:rPr>
                <w:sz w:val="18"/>
                <w:szCs w:val="18"/>
                <w:color w:val="auto"/>
              </w:rPr>
            </w:pPr>
          </w:p>
        </w:tc>
        <w:tc>
          <w:tcPr>
            <w:tcW w:w="9700" w:type="dxa"/>
            <w:vAlign w:val="bottom"/>
          </w:tcPr>
          <w:p>
            <w:pPr>
              <w:ind w:left="640"/>
              <w:spacing w:after="0"/>
              <w:rPr>
                <w:sz w:val="20"/>
                <w:szCs w:val="20"/>
                <w:color w:val="auto"/>
              </w:rPr>
            </w:pPr>
            <w:r>
              <w:rPr>
                <w:rFonts w:ascii="Arial" w:cs="Arial" w:eastAsia="Arial" w:hAnsi="Arial"/>
                <w:sz w:val="16"/>
                <w:szCs w:val="16"/>
                <w:color w:val="auto"/>
              </w:rPr>
              <w:t>Notes to Consolidated Financial Statements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2"/>
        </w:trPr>
        <w:tc>
          <w:tcPr>
            <w:tcW w:w="1240" w:type="dxa"/>
            <w:vAlign w:val="bottom"/>
          </w:tcPr>
          <w:p>
            <w:pPr>
              <w:ind w:left="340"/>
              <w:spacing w:after="0"/>
              <w:rPr>
                <w:sz w:val="20"/>
                <w:szCs w:val="20"/>
                <w:color w:val="auto"/>
              </w:rPr>
            </w:pPr>
            <w:r>
              <w:rPr>
                <w:rFonts w:ascii="Arial" w:cs="Arial" w:eastAsia="Arial" w:hAnsi="Arial"/>
                <w:sz w:val="16"/>
                <w:szCs w:val="16"/>
                <w:color w:val="auto"/>
              </w:rPr>
              <w:t>Item 2.</w:t>
            </w:r>
          </w:p>
        </w:tc>
        <w:tc>
          <w:tcPr>
            <w:tcW w:w="9700" w:type="dxa"/>
            <w:vAlign w:val="bottom"/>
          </w:tcPr>
          <w:p>
            <w:pPr>
              <w:ind w:left="320"/>
              <w:spacing w:after="0"/>
              <w:rPr>
                <w:sz w:val="20"/>
                <w:szCs w:val="20"/>
                <w:color w:val="auto"/>
              </w:rPr>
            </w:pPr>
            <w:r>
              <w:rPr>
                <w:rFonts w:ascii="Arial" w:cs="Arial" w:eastAsia="Arial" w:hAnsi="Arial"/>
                <w:sz w:val="16"/>
                <w:szCs w:val="16"/>
                <w:color w:val="auto"/>
              </w:rPr>
              <w:t>Management’s Discussion and Analysis of Financial Condition and Results of Operations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2"/>
        </w:trPr>
        <w:tc>
          <w:tcPr>
            <w:tcW w:w="1240" w:type="dxa"/>
            <w:vAlign w:val="bottom"/>
          </w:tcPr>
          <w:p>
            <w:pPr>
              <w:ind w:left="340"/>
              <w:spacing w:after="0"/>
              <w:rPr>
                <w:sz w:val="20"/>
                <w:szCs w:val="20"/>
                <w:color w:val="auto"/>
              </w:rPr>
            </w:pPr>
            <w:r>
              <w:rPr>
                <w:rFonts w:ascii="Arial" w:cs="Arial" w:eastAsia="Arial" w:hAnsi="Arial"/>
                <w:sz w:val="16"/>
                <w:szCs w:val="16"/>
                <w:color w:val="auto"/>
              </w:rPr>
              <w:t>Item 3.</w:t>
            </w:r>
          </w:p>
        </w:tc>
        <w:tc>
          <w:tcPr>
            <w:tcW w:w="9700" w:type="dxa"/>
            <w:vAlign w:val="bottom"/>
          </w:tcPr>
          <w:p>
            <w:pPr>
              <w:ind w:left="320"/>
              <w:spacing w:after="0"/>
              <w:rPr>
                <w:sz w:val="20"/>
                <w:szCs w:val="20"/>
                <w:color w:val="auto"/>
              </w:rPr>
            </w:pPr>
            <w:r>
              <w:rPr>
                <w:rFonts w:ascii="Arial" w:cs="Arial" w:eastAsia="Arial" w:hAnsi="Arial"/>
                <w:sz w:val="16"/>
                <w:szCs w:val="16"/>
                <w:color w:val="auto"/>
              </w:rPr>
              <w:t>Quantitative and Qualitative Disclosures about Market Risk</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2"/>
        </w:trPr>
        <w:tc>
          <w:tcPr>
            <w:tcW w:w="1240" w:type="dxa"/>
            <w:vAlign w:val="bottom"/>
          </w:tcPr>
          <w:p>
            <w:pPr>
              <w:ind w:left="340"/>
              <w:spacing w:after="0"/>
              <w:rPr>
                <w:sz w:val="20"/>
                <w:szCs w:val="20"/>
                <w:color w:val="auto"/>
              </w:rPr>
            </w:pPr>
            <w:r>
              <w:rPr>
                <w:rFonts w:ascii="Arial" w:cs="Arial" w:eastAsia="Arial" w:hAnsi="Arial"/>
                <w:sz w:val="16"/>
                <w:szCs w:val="16"/>
                <w:color w:val="auto"/>
              </w:rPr>
              <w:t>Item 4.</w:t>
            </w:r>
          </w:p>
        </w:tc>
        <w:tc>
          <w:tcPr>
            <w:tcW w:w="9700" w:type="dxa"/>
            <w:vAlign w:val="bottom"/>
          </w:tcPr>
          <w:p>
            <w:pPr>
              <w:ind w:left="320"/>
              <w:spacing w:after="0"/>
              <w:rPr>
                <w:sz w:val="20"/>
                <w:szCs w:val="20"/>
                <w:color w:val="auto"/>
              </w:rPr>
            </w:pPr>
            <w:r>
              <w:rPr>
                <w:rFonts w:ascii="Arial" w:cs="Arial" w:eastAsia="Arial" w:hAnsi="Arial"/>
                <w:sz w:val="16"/>
                <w:szCs w:val="16"/>
                <w:color w:val="auto"/>
              </w:rPr>
              <w:t>Controls and Procedures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4"/>
        </w:trPr>
        <w:tc>
          <w:tcPr>
            <w:tcW w:w="10940" w:type="dxa"/>
            <w:vAlign w:val="bottom"/>
            <w:gridSpan w:val="2"/>
          </w:tcPr>
          <w:p>
            <w:pPr>
              <w:ind w:left="340"/>
              <w:spacing w:after="0"/>
              <w:rPr>
                <w:sz w:val="20"/>
                <w:szCs w:val="20"/>
                <w:color w:val="auto"/>
              </w:rPr>
            </w:pPr>
            <w:r>
              <w:rPr>
                <w:rFonts w:ascii="Arial" w:cs="Arial" w:eastAsia="Arial" w:hAnsi="Arial"/>
                <w:sz w:val="16"/>
                <w:szCs w:val="16"/>
                <w:b w:val="1"/>
                <w:bCs w:val="1"/>
                <w:color w:val="auto"/>
              </w:rPr>
              <w:t>PART II - OTHER INFORMATION</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1240" w:type="dxa"/>
            <w:vAlign w:val="bottom"/>
          </w:tcPr>
          <w:p>
            <w:pPr>
              <w:ind w:left="340"/>
              <w:spacing w:after="0"/>
              <w:rPr>
                <w:sz w:val="20"/>
                <w:szCs w:val="20"/>
                <w:color w:val="auto"/>
              </w:rPr>
            </w:pPr>
            <w:r>
              <w:rPr>
                <w:rFonts w:ascii="Arial" w:cs="Arial" w:eastAsia="Arial" w:hAnsi="Arial"/>
                <w:sz w:val="16"/>
                <w:szCs w:val="16"/>
                <w:color w:val="auto"/>
              </w:rPr>
              <w:t>Item 1.</w:t>
            </w:r>
          </w:p>
        </w:tc>
        <w:tc>
          <w:tcPr>
            <w:tcW w:w="9700" w:type="dxa"/>
            <w:vAlign w:val="bottom"/>
          </w:tcPr>
          <w:p>
            <w:pPr>
              <w:ind w:left="320"/>
              <w:spacing w:after="0"/>
              <w:rPr>
                <w:sz w:val="20"/>
                <w:szCs w:val="20"/>
                <w:color w:val="auto"/>
              </w:rPr>
            </w:pPr>
            <w:r>
              <w:rPr>
                <w:rFonts w:ascii="Arial" w:cs="Arial" w:eastAsia="Arial" w:hAnsi="Arial"/>
                <w:sz w:val="16"/>
                <w:szCs w:val="16"/>
                <w:color w:val="auto"/>
              </w:rPr>
              <w:t>Legal Proceedings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2"/>
        </w:trPr>
        <w:tc>
          <w:tcPr>
            <w:tcW w:w="1240" w:type="dxa"/>
            <w:vAlign w:val="bottom"/>
          </w:tcPr>
          <w:p>
            <w:pPr>
              <w:ind w:left="340"/>
              <w:spacing w:after="0"/>
              <w:rPr>
                <w:sz w:val="20"/>
                <w:szCs w:val="20"/>
                <w:color w:val="auto"/>
              </w:rPr>
            </w:pPr>
            <w:r>
              <w:rPr>
                <w:rFonts w:ascii="Arial" w:cs="Arial" w:eastAsia="Arial" w:hAnsi="Arial"/>
                <w:sz w:val="16"/>
                <w:szCs w:val="16"/>
                <w:color w:val="auto"/>
              </w:rPr>
              <w:t>Item 1A.</w:t>
            </w:r>
          </w:p>
        </w:tc>
        <w:tc>
          <w:tcPr>
            <w:tcW w:w="9700" w:type="dxa"/>
            <w:vAlign w:val="bottom"/>
          </w:tcPr>
          <w:p>
            <w:pPr>
              <w:ind w:left="320"/>
              <w:spacing w:after="0"/>
              <w:rPr>
                <w:sz w:val="20"/>
                <w:szCs w:val="20"/>
                <w:color w:val="auto"/>
              </w:rPr>
            </w:pPr>
            <w:r>
              <w:rPr>
                <w:rFonts w:ascii="Arial" w:cs="Arial" w:eastAsia="Arial" w:hAnsi="Arial"/>
                <w:sz w:val="16"/>
                <w:szCs w:val="16"/>
                <w:color w:val="auto"/>
              </w:rPr>
              <w:t>Risk Factors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2"/>
        </w:trPr>
        <w:tc>
          <w:tcPr>
            <w:tcW w:w="1240" w:type="dxa"/>
            <w:vAlign w:val="bottom"/>
          </w:tcPr>
          <w:p>
            <w:pPr>
              <w:ind w:left="340"/>
              <w:spacing w:after="0"/>
              <w:rPr>
                <w:sz w:val="20"/>
                <w:szCs w:val="20"/>
                <w:color w:val="auto"/>
              </w:rPr>
            </w:pPr>
            <w:r>
              <w:rPr>
                <w:rFonts w:ascii="Arial" w:cs="Arial" w:eastAsia="Arial" w:hAnsi="Arial"/>
                <w:sz w:val="16"/>
                <w:szCs w:val="16"/>
                <w:color w:val="auto"/>
              </w:rPr>
              <w:t>Item 2.</w:t>
            </w:r>
          </w:p>
        </w:tc>
        <w:tc>
          <w:tcPr>
            <w:tcW w:w="9700" w:type="dxa"/>
            <w:vAlign w:val="bottom"/>
          </w:tcPr>
          <w:p>
            <w:pPr>
              <w:ind w:left="320"/>
              <w:spacing w:after="0"/>
              <w:rPr>
                <w:sz w:val="20"/>
                <w:szCs w:val="20"/>
                <w:color w:val="auto"/>
              </w:rPr>
            </w:pPr>
            <w:r>
              <w:rPr>
                <w:rFonts w:ascii="Arial" w:cs="Arial" w:eastAsia="Arial" w:hAnsi="Arial"/>
                <w:sz w:val="16"/>
                <w:szCs w:val="16"/>
                <w:color w:val="auto"/>
              </w:rPr>
              <w:t>Unregistered Sales of Equity Securities and Use of Proceeds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2"/>
        </w:trPr>
        <w:tc>
          <w:tcPr>
            <w:tcW w:w="1240" w:type="dxa"/>
            <w:vAlign w:val="bottom"/>
          </w:tcPr>
          <w:p>
            <w:pPr>
              <w:ind w:left="340"/>
              <w:spacing w:after="0"/>
              <w:rPr>
                <w:sz w:val="20"/>
                <w:szCs w:val="20"/>
                <w:color w:val="auto"/>
              </w:rPr>
            </w:pPr>
            <w:r>
              <w:rPr>
                <w:rFonts w:ascii="Arial" w:cs="Arial" w:eastAsia="Arial" w:hAnsi="Arial"/>
                <w:sz w:val="16"/>
                <w:szCs w:val="16"/>
                <w:color w:val="auto"/>
              </w:rPr>
              <w:t>Item 3.</w:t>
            </w:r>
          </w:p>
        </w:tc>
        <w:tc>
          <w:tcPr>
            <w:tcW w:w="9700" w:type="dxa"/>
            <w:vAlign w:val="bottom"/>
          </w:tcPr>
          <w:p>
            <w:pPr>
              <w:ind w:left="320"/>
              <w:spacing w:after="0"/>
              <w:rPr>
                <w:sz w:val="20"/>
                <w:szCs w:val="20"/>
                <w:color w:val="auto"/>
              </w:rPr>
            </w:pPr>
            <w:r>
              <w:rPr>
                <w:rFonts w:ascii="Arial" w:cs="Arial" w:eastAsia="Arial" w:hAnsi="Arial"/>
                <w:sz w:val="16"/>
                <w:szCs w:val="16"/>
                <w:color w:val="auto"/>
              </w:rPr>
              <w:t>Defaults upon Senior Securities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2"/>
        </w:trPr>
        <w:tc>
          <w:tcPr>
            <w:tcW w:w="1240" w:type="dxa"/>
            <w:vAlign w:val="bottom"/>
          </w:tcPr>
          <w:p>
            <w:pPr>
              <w:ind w:left="340"/>
              <w:spacing w:after="0"/>
              <w:rPr>
                <w:sz w:val="20"/>
                <w:szCs w:val="20"/>
                <w:color w:val="auto"/>
              </w:rPr>
            </w:pPr>
            <w:r>
              <w:rPr>
                <w:rFonts w:ascii="Arial" w:cs="Arial" w:eastAsia="Arial" w:hAnsi="Arial"/>
                <w:sz w:val="16"/>
                <w:szCs w:val="16"/>
                <w:color w:val="auto"/>
              </w:rPr>
              <w:t>Item 4.</w:t>
            </w:r>
          </w:p>
        </w:tc>
        <w:tc>
          <w:tcPr>
            <w:tcW w:w="9700" w:type="dxa"/>
            <w:vAlign w:val="bottom"/>
          </w:tcPr>
          <w:p>
            <w:pPr>
              <w:ind w:left="320"/>
              <w:spacing w:after="0"/>
              <w:rPr>
                <w:sz w:val="20"/>
                <w:szCs w:val="20"/>
                <w:color w:val="auto"/>
              </w:rPr>
            </w:pPr>
            <w:r>
              <w:rPr>
                <w:rFonts w:ascii="Arial" w:cs="Arial" w:eastAsia="Arial" w:hAnsi="Arial"/>
                <w:sz w:val="16"/>
                <w:szCs w:val="16"/>
                <w:color w:val="auto"/>
              </w:rPr>
              <w:t>Mine Safety Disclosures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2"/>
        </w:trPr>
        <w:tc>
          <w:tcPr>
            <w:tcW w:w="1240" w:type="dxa"/>
            <w:vAlign w:val="bottom"/>
          </w:tcPr>
          <w:p>
            <w:pPr>
              <w:ind w:left="340"/>
              <w:spacing w:after="0"/>
              <w:rPr>
                <w:sz w:val="20"/>
                <w:szCs w:val="20"/>
                <w:color w:val="auto"/>
              </w:rPr>
            </w:pPr>
            <w:r>
              <w:rPr>
                <w:rFonts w:ascii="Arial" w:cs="Arial" w:eastAsia="Arial" w:hAnsi="Arial"/>
                <w:sz w:val="16"/>
                <w:szCs w:val="16"/>
                <w:color w:val="auto"/>
              </w:rPr>
              <w:t>Item 5.</w:t>
            </w:r>
          </w:p>
        </w:tc>
        <w:tc>
          <w:tcPr>
            <w:tcW w:w="9700" w:type="dxa"/>
            <w:vAlign w:val="bottom"/>
          </w:tcPr>
          <w:p>
            <w:pPr>
              <w:ind w:left="320"/>
              <w:spacing w:after="0"/>
              <w:rPr>
                <w:sz w:val="20"/>
                <w:szCs w:val="20"/>
                <w:color w:val="auto"/>
              </w:rPr>
            </w:pPr>
            <w:r>
              <w:rPr>
                <w:rFonts w:ascii="Arial" w:cs="Arial" w:eastAsia="Arial" w:hAnsi="Arial"/>
                <w:sz w:val="16"/>
                <w:szCs w:val="16"/>
                <w:color w:val="auto"/>
              </w:rPr>
              <w:t>Other Information</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2"/>
        </w:trPr>
        <w:tc>
          <w:tcPr>
            <w:tcW w:w="1240" w:type="dxa"/>
            <w:vAlign w:val="bottom"/>
          </w:tcPr>
          <w:p>
            <w:pPr>
              <w:ind w:left="340"/>
              <w:spacing w:after="0"/>
              <w:rPr>
                <w:sz w:val="20"/>
                <w:szCs w:val="20"/>
                <w:color w:val="auto"/>
              </w:rPr>
            </w:pPr>
            <w:r>
              <w:rPr>
                <w:rFonts w:ascii="Arial" w:cs="Arial" w:eastAsia="Arial" w:hAnsi="Arial"/>
                <w:sz w:val="16"/>
                <w:szCs w:val="16"/>
                <w:color w:val="auto"/>
              </w:rPr>
              <w:t>Item 6.</w:t>
            </w:r>
          </w:p>
        </w:tc>
        <w:tc>
          <w:tcPr>
            <w:tcW w:w="9700" w:type="dxa"/>
            <w:vAlign w:val="bottom"/>
          </w:tcPr>
          <w:p>
            <w:pPr>
              <w:ind w:left="320"/>
              <w:spacing w:after="0"/>
              <w:rPr>
                <w:sz w:val="20"/>
                <w:szCs w:val="20"/>
                <w:color w:val="auto"/>
              </w:rPr>
            </w:pPr>
            <w:r>
              <w:rPr>
                <w:rFonts w:ascii="Arial" w:cs="Arial" w:eastAsia="Arial" w:hAnsi="Arial"/>
                <w:sz w:val="16"/>
                <w:szCs w:val="16"/>
                <w:color w:val="auto"/>
              </w:rPr>
              <w:t>Exhibits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3216"/>
        </w:trPr>
        <w:tc>
          <w:tcPr>
            <w:tcW w:w="1240" w:type="dxa"/>
            <w:vAlign w:val="bottom"/>
            <w:tcBorders>
              <w:bottom w:val="single" w:sz="8" w:color="9A9A9A"/>
            </w:tcBorders>
          </w:tcPr>
          <w:p>
            <w:pPr>
              <w:spacing w:after="0"/>
              <w:rPr>
                <w:sz w:val="24"/>
                <w:szCs w:val="24"/>
                <w:color w:val="auto"/>
              </w:rPr>
            </w:pPr>
          </w:p>
        </w:tc>
        <w:tc>
          <w:tcPr>
            <w:tcW w:w="97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20"/>
          </w:cols>
          <w:pgMar w:left="320" w:top="143" w:right="259" w:bottom="1440" w:gutter="0" w:footer="0" w:header="0"/>
        </w:sectPr>
      </w:pPr>
    </w:p>
    <w:bookmarkStart w:id="3" w:name="page4"/>
    <w:bookmarkEnd w:id="3"/>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CONSOLIDATED FINANCIAL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154940</wp:posOffset>
            </wp:positionV>
            <wp:extent cx="71348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28"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Capital Bancorp, Inc. and Subsidiaries</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Consolidated Balance Sheets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85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jc w:val="center"/>
              <w:ind w:right="280"/>
              <w:spacing w:after="0" w:line="133" w:lineRule="exact"/>
              <w:rPr>
                <w:sz w:val="20"/>
                <w:szCs w:val="20"/>
                <w:color w:val="auto"/>
              </w:rPr>
            </w:pPr>
            <w:r>
              <w:rPr>
                <w:rFonts w:ascii="Arial" w:cs="Arial" w:eastAsia="Arial" w:hAnsi="Arial"/>
                <w:sz w:val="12"/>
                <w:szCs w:val="12"/>
                <w:b w:val="1"/>
                <w:bCs w:val="1"/>
                <w:color w:val="auto"/>
              </w:rPr>
              <w:t>March 31, 2022</w:t>
            </w:r>
          </w:p>
        </w:tc>
        <w:tc>
          <w:tcPr>
            <w:tcW w:w="1240" w:type="dxa"/>
            <w:vAlign w:val="bottom"/>
            <w:tcBorders>
              <w:top w:val="single" w:sz="8" w:color="auto"/>
            </w:tcBorders>
            <w:gridSpan w:val="2"/>
          </w:tcPr>
          <w:p>
            <w:pPr>
              <w:jc w:val="right"/>
              <w:spacing w:after="0" w:line="133" w:lineRule="exact"/>
              <w:rPr>
                <w:sz w:val="20"/>
                <w:szCs w:val="20"/>
                <w:color w:val="auto"/>
              </w:rPr>
            </w:pPr>
            <w:r>
              <w:rPr>
                <w:rFonts w:ascii="Arial" w:cs="Arial" w:eastAsia="Arial" w:hAnsi="Arial"/>
                <w:sz w:val="12"/>
                <w:szCs w:val="12"/>
                <w:b w:val="1"/>
                <w:bCs w:val="1"/>
                <w:color w:val="auto"/>
              </w:rPr>
              <w:t>December 31, 2021</w:t>
            </w:r>
          </w:p>
        </w:tc>
      </w:tr>
      <w:tr>
        <w:trPr>
          <w:trHeight w:val="179"/>
        </w:trPr>
        <w:tc>
          <w:tcPr>
            <w:tcW w:w="8560" w:type="dxa"/>
            <w:vAlign w:val="bottom"/>
          </w:tcPr>
          <w:p>
            <w:pPr>
              <w:ind w:left="20"/>
              <w:spacing w:after="0"/>
              <w:rPr>
                <w:sz w:val="20"/>
                <w:szCs w:val="20"/>
                <w:color w:val="auto"/>
              </w:rPr>
            </w:pPr>
            <w:r>
              <w:rPr>
                <w:rFonts w:ascii="Arial" w:cs="Arial" w:eastAsia="Arial" w:hAnsi="Arial"/>
                <w:sz w:val="11"/>
                <w:szCs w:val="11"/>
                <w:color w:val="auto"/>
              </w:rPr>
              <w:t>(in thousands except share data)</w:t>
            </w:r>
          </w:p>
        </w:tc>
        <w:tc>
          <w:tcPr>
            <w:tcW w:w="160" w:type="dxa"/>
            <w:vAlign w:val="bottom"/>
          </w:tcPr>
          <w:p>
            <w:pPr>
              <w:spacing w:after="0"/>
              <w:rPr>
                <w:sz w:val="15"/>
                <w:szCs w:val="15"/>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rPr>
              <w:t>(unaudited)</w:t>
            </w:r>
          </w:p>
        </w:tc>
        <w:tc>
          <w:tcPr>
            <w:tcW w:w="220" w:type="dxa"/>
            <w:vAlign w:val="bottom"/>
          </w:tcPr>
          <w:p>
            <w:pPr>
              <w:spacing w:after="0"/>
              <w:rPr>
                <w:sz w:val="15"/>
                <w:szCs w:val="15"/>
                <w:color w:val="auto"/>
              </w:rPr>
            </w:pPr>
          </w:p>
        </w:tc>
        <w:tc>
          <w:tcPr>
            <w:tcW w:w="1020" w:type="dxa"/>
            <w:vAlign w:val="bottom"/>
          </w:tcPr>
          <w:p>
            <w:pPr>
              <w:jc w:val="right"/>
              <w:ind w:right="290"/>
              <w:spacing w:after="0"/>
              <w:rPr>
                <w:sz w:val="20"/>
                <w:szCs w:val="20"/>
                <w:color w:val="auto"/>
              </w:rPr>
            </w:pPr>
            <w:r>
              <w:rPr>
                <w:rFonts w:ascii="Arial" w:cs="Arial" w:eastAsia="Arial" w:hAnsi="Arial"/>
                <w:sz w:val="12"/>
                <w:szCs w:val="12"/>
                <w:b w:val="1"/>
                <w:bCs w:val="1"/>
                <w:color w:val="auto"/>
              </w:rPr>
              <w:t>(audited)</w:t>
            </w:r>
          </w:p>
        </w:tc>
      </w:tr>
      <w:tr>
        <w:trPr>
          <w:trHeight w:val="185"/>
        </w:trPr>
        <w:tc>
          <w:tcPr>
            <w:tcW w:w="8560" w:type="dxa"/>
            <w:vAlign w:val="bottom"/>
          </w:tcPr>
          <w:p>
            <w:pPr>
              <w:ind w:left="20"/>
              <w:spacing w:after="0"/>
              <w:rPr>
                <w:sz w:val="20"/>
                <w:szCs w:val="20"/>
                <w:color w:val="auto"/>
              </w:rPr>
            </w:pPr>
            <w:r>
              <w:rPr>
                <w:rFonts w:ascii="Arial" w:cs="Arial" w:eastAsia="Arial" w:hAnsi="Arial"/>
                <w:sz w:val="14"/>
                <w:szCs w:val="14"/>
                <w:b w:val="1"/>
                <w:bCs w:val="1"/>
                <w:color w:val="auto"/>
              </w:rPr>
              <w:t>Assets</w:t>
            </w: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r>
      <w:tr>
        <w:trPr>
          <w:trHeight w:val="199"/>
        </w:trPr>
        <w:tc>
          <w:tcPr>
            <w:tcW w:w="8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due from banks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14,955</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42,914</w:t>
            </w:r>
          </w:p>
        </w:tc>
      </w:tr>
      <w:tr>
        <w:trPr>
          <w:trHeight w:val="198"/>
        </w:trPr>
        <w:tc>
          <w:tcPr>
            <w:tcW w:w="8560" w:type="dxa"/>
            <w:vAlign w:val="bottom"/>
          </w:tcPr>
          <w:p>
            <w:pPr>
              <w:ind w:left="20"/>
              <w:spacing w:after="0"/>
              <w:rPr>
                <w:sz w:val="20"/>
                <w:szCs w:val="20"/>
                <w:color w:val="auto"/>
              </w:rPr>
            </w:pPr>
            <w:r>
              <w:rPr>
                <w:rFonts w:ascii="Arial" w:cs="Arial" w:eastAsia="Arial" w:hAnsi="Arial"/>
                <w:sz w:val="14"/>
                <w:szCs w:val="14"/>
                <w:color w:val="auto"/>
              </w:rPr>
              <w:t>Interest bearing deposits at other financial institutions</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298,501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136,824</w:t>
            </w:r>
          </w:p>
        </w:tc>
      </w:tr>
      <w:tr>
        <w:trPr>
          <w:trHeight w:val="199"/>
        </w:trPr>
        <w:tc>
          <w:tcPr>
            <w:tcW w:w="8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Federal funds sold</w:t>
            </w:r>
          </w:p>
        </w:tc>
        <w:tc>
          <w:tcPr>
            <w:tcW w:w="1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330</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3,657</w:t>
            </w:r>
          </w:p>
        </w:tc>
      </w:tr>
      <w:tr>
        <w:trPr>
          <w:trHeight w:val="192"/>
        </w:trPr>
        <w:tc>
          <w:tcPr>
            <w:tcW w:w="8560" w:type="dxa"/>
            <w:vAlign w:val="bottom"/>
          </w:tcPr>
          <w:p>
            <w:pPr>
              <w:ind w:left="500"/>
              <w:spacing w:after="0"/>
              <w:rPr>
                <w:sz w:val="20"/>
                <w:szCs w:val="20"/>
                <w:color w:val="auto"/>
              </w:rPr>
            </w:pPr>
            <w:r>
              <w:rPr>
                <w:rFonts w:ascii="Arial" w:cs="Arial" w:eastAsia="Arial" w:hAnsi="Arial"/>
                <w:sz w:val="14"/>
                <w:szCs w:val="14"/>
                <w:color w:val="auto"/>
              </w:rPr>
              <w:t>Total cash and cash equivalents</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313,786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183,395</w:t>
            </w:r>
          </w:p>
        </w:tc>
      </w:tr>
      <w:tr>
        <w:trPr>
          <w:trHeight w:val="199"/>
        </w:trPr>
        <w:tc>
          <w:tcPr>
            <w:tcW w:w="8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 securities available for sale</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172,712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184,455</w:t>
            </w:r>
          </w:p>
        </w:tc>
      </w:tr>
      <w:tr>
        <w:trPr>
          <w:trHeight w:val="198"/>
        </w:trPr>
        <w:tc>
          <w:tcPr>
            <w:tcW w:w="8560" w:type="dxa"/>
            <w:vAlign w:val="bottom"/>
          </w:tcPr>
          <w:p>
            <w:pPr>
              <w:ind w:left="20"/>
              <w:spacing w:after="0"/>
              <w:rPr>
                <w:sz w:val="20"/>
                <w:szCs w:val="20"/>
                <w:color w:val="auto"/>
              </w:rPr>
            </w:pPr>
            <w:r>
              <w:rPr>
                <w:rFonts w:ascii="Arial" w:cs="Arial" w:eastAsia="Arial" w:hAnsi="Arial"/>
                <w:sz w:val="14"/>
                <w:szCs w:val="14"/>
                <w:color w:val="auto"/>
              </w:rPr>
              <w:t>Marketable equity securities</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245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245</w:t>
            </w:r>
          </w:p>
        </w:tc>
      </w:tr>
      <w:tr>
        <w:trPr>
          <w:trHeight w:val="199"/>
        </w:trPr>
        <w:tc>
          <w:tcPr>
            <w:tcW w:w="8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investments</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3,602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3,498</w:t>
            </w:r>
          </w:p>
        </w:tc>
      </w:tr>
      <w:tr>
        <w:trPr>
          <w:trHeight w:val="198"/>
        </w:trPr>
        <w:tc>
          <w:tcPr>
            <w:tcW w:w="8560" w:type="dxa"/>
            <w:vAlign w:val="bottom"/>
          </w:tcPr>
          <w:p>
            <w:pPr>
              <w:ind w:left="20"/>
              <w:spacing w:after="0"/>
              <w:rPr>
                <w:sz w:val="20"/>
                <w:szCs w:val="20"/>
                <w:color w:val="auto"/>
              </w:rPr>
            </w:pPr>
            <w:r>
              <w:rPr>
                <w:rFonts w:ascii="Arial" w:cs="Arial" w:eastAsia="Arial" w:hAnsi="Arial"/>
                <w:sz w:val="14"/>
                <w:szCs w:val="14"/>
                <w:color w:val="auto"/>
              </w:rPr>
              <w:t>Loans held for sale</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17,036</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15,989</w:t>
            </w:r>
          </w:p>
        </w:tc>
      </w:tr>
      <w:tr>
        <w:trPr>
          <w:trHeight w:val="199"/>
        </w:trPr>
        <w:tc>
          <w:tcPr>
            <w:tcW w:w="8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Small Business Administration Payroll Protection Program loans receivable, net of fees and costs</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51,085</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108,285</w:t>
            </w:r>
          </w:p>
        </w:tc>
      </w:tr>
      <w:tr>
        <w:trPr>
          <w:trHeight w:val="198"/>
        </w:trPr>
        <w:tc>
          <w:tcPr>
            <w:tcW w:w="8560" w:type="dxa"/>
            <w:vAlign w:val="bottom"/>
          </w:tcPr>
          <w:p>
            <w:pPr>
              <w:ind w:left="20"/>
              <w:spacing w:after="0"/>
              <w:rPr>
                <w:sz w:val="20"/>
                <w:szCs w:val="20"/>
                <w:color w:val="auto"/>
              </w:rPr>
            </w:pPr>
            <w:r>
              <w:rPr>
                <w:rFonts w:ascii="Arial" w:cs="Arial" w:eastAsia="Arial" w:hAnsi="Arial"/>
                <w:sz w:val="14"/>
                <w:szCs w:val="14"/>
                <w:color w:val="auto"/>
              </w:rPr>
              <w:t>Portfolio loans receivable, net of deferred fees and costs</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1,526,256</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1,523,982</w:t>
            </w:r>
          </w:p>
        </w:tc>
      </w:tr>
      <w:tr>
        <w:trPr>
          <w:trHeight w:val="199"/>
        </w:trPr>
        <w:tc>
          <w:tcPr>
            <w:tcW w:w="85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Less allowance for loan losses</w:t>
            </w:r>
          </w:p>
        </w:tc>
        <w:tc>
          <w:tcPr>
            <w:tcW w:w="1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(25,252)</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(25,181)</w:t>
            </w:r>
          </w:p>
        </w:tc>
      </w:tr>
      <w:tr>
        <w:trPr>
          <w:trHeight w:val="192"/>
        </w:trPr>
        <w:tc>
          <w:tcPr>
            <w:tcW w:w="8560" w:type="dxa"/>
            <w:vAlign w:val="bottom"/>
          </w:tcPr>
          <w:p>
            <w:pPr>
              <w:ind w:left="400"/>
              <w:spacing w:after="0"/>
              <w:rPr>
                <w:sz w:val="20"/>
                <w:szCs w:val="20"/>
                <w:color w:val="auto"/>
              </w:rPr>
            </w:pPr>
            <w:r>
              <w:rPr>
                <w:rFonts w:ascii="Arial" w:cs="Arial" w:eastAsia="Arial" w:hAnsi="Arial"/>
                <w:sz w:val="14"/>
                <w:szCs w:val="14"/>
                <w:color w:val="auto"/>
              </w:rPr>
              <w:t>Total portfolio loans held for investment, net</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1,501,004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1,498,801</w:t>
            </w:r>
          </w:p>
        </w:tc>
      </w:tr>
      <w:tr>
        <w:trPr>
          <w:trHeight w:val="199"/>
        </w:trPr>
        <w:tc>
          <w:tcPr>
            <w:tcW w:w="8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Premises and equipment, net</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2,977</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3,282</w:t>
            </w:r>
          </w:p>
        </w:tc>
      </w:tr>
      <w:tr>
        <w:trPr>
          <w:trHeight w:val="198"/>
        </w:trPr>
        <w:tc>
          <w:tcPr>
            <w:tcW w:w="8560" w:type="dxa"/>
            <w:vAlign w:val="bottom"/>
          </w:tcPr>
          <w:p>
            <w:pPr>
              <w:ind w:left="20"/>
              <w:spacing w:after="0"/>
              <w:rPr>
                <w:sz w:val="20"/>
                <w:szCs w:val="20"/>
                <w:color w:val="auto"/>
              </w:rPr>
            </w:pPr>
            <w:r>
              <w:rPr>
                <w:rFonts w:ascii="Arial" w:cs="Arial" w:eastAsia="Arial" w:hAnsi="Arial"/>
                <w:sz w:val="14"/>
                <w:szCs w:val="14"/>
                <w:color w:val="auto"/>
              </w:rPr>
              <w:t>Accrued interest receivable</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7,512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7,901</w:t>
            </w:r>
          </w:p>
        </w:tc>
      </w:tr>
      <w:tr>
        <w:trPr>
          <w:trHeight w:val="199"/>
        </w:trPr>
        <w:tc>
          <w:tcPr>
            <w:tcW w:w="8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asset</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12,366</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9,793</w:t>
            </w:r>
          </w:p>
        </w:tc>
      </w:tr>
      <w:tr>
        <w:trPr>
          <w:trHeight w:val="198"/>
        </w:trPr>
        <w:tc>
          <w:tcPr>
            <w:tcW w:w="8560" w:type="dxa"/>
            <w:vAlign w:val="bottom"/>
          </w:tcPr>
          <w:p>
            <w:pPr>
              <w:ind w:left="20"/>
              <w:spacing w:after="0"/>
              <w:rPr>
                <w:sz w:val="20"/>
                <w:szCs w:val="20"/>
                <w:color w:val="auto"/>
              </w:rPr>
            </w:pPr>
            <w:r>
              <w:rPr>
                <w:rFonts w:ascii="Arial" w:cs="Arial" w:eastAsia="Arial" w:hAnsi="Arial"/>
                <w:sz w:val="14"/>
                <w:szCs w:val="14"/>
                <w:color w:val="auto"/>
              </w:rPr>
              <w:t>Foreclosed real estate</w:t>
            </w:r>
          </w:p>
        </w:tc>
        <w:tc>
          <w:tcPr>
            <w:tcW w:w="16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86</w:t>
            </w:r>
          </w:p>
        </w:tc>
      </w:tr>
      <w:tr>
        <w:trPr>
          <w:trHeight w:val="199"/>
        </w:trPr>
        <w:tc>
          <w:tcPr>
            <w:tcW w:w="8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Bank owned life insurance</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35,758</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35,506</w:t>
            </w:r>
          </w:p>
        </w:tc>
      </w:tr>
      <w:tr>
        <w:trPr>
          <w:trHeight w:val="198"/>
        </w:trPr>
        <w:tc>
          <w:tcPr>
            <w:tcW w:w="85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assets</w:t>
            </w: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4,370</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4,064</w:t>
            </w:r>
          </w:p>
        </w:tc>
      </w:tr>
      <w:tr>
        <w:trPr>
          <w:trHeight w:val="218"/>
        </w:trPr>
        <w:tc>
          <w:tcPr>
            <w:tcW w:w="85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2,122,453</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2,055,300</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58"/>
        </w:trPr>
        <w:tc>
          <w:tcPr>
            <w:tcW w:w="8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99"/>
        </w:trPr>
        <w:tc>
          <w:tcPr>
            <w:tcW w:w="85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94"/>
        </w:trPr>
        <w:tc>
          <w:tcPr>
            <w:tcW w:w="8560" w:type="dxa"/>
            <w:vAlign w:val="bottom"/>
          </w:tcPr>
          <w:p>
            <w:pPr>
              <w:ind w:left="20"/>
              <w:spacing w:after="0"/>
              <w:rPr>
                <w:sz w:val="20"/>
                <w:szCs w:val="20"/>
                <w:color w:val="auto"/>
              </w:rPr>
            </w:pPr>
            <w:r>
              <w:rPr>
                <w:rFonts w:ascii="Arial" w:cs="Arial" w:eastAsia="Arial" w:hAnsi="Arial"/>
                <w:sz w:val="14"/>
                <w:szCs w:val="14"/>
                <w:color w:val="auto"/>
              </w:rPr>
              <w:t>Deposits</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3"/>
        </w:trPr>
        <w:tc>
          <w:tcPr>
            <w:tcW w:w="85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Noninterest-bearing</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825,174</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787,650</w:t>
            </w:r>
          </w:p>
        </w:tc>
      </w:tr>
      <w:tr>
        <w:trPr>
          <w:trHeight w:val="198"/>
        </w:trPr>
        <w:tc>
          <w:tcPr>
            <w:tcW w:w="856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Interest-bearing</w:t>
            </w: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1,037,548</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1,009,487</w:t>
            </w:r>
          </w:p>
        </w:tc>
      </w:tr>
      <w:tr>
        <w:trPr>
          <w:trHeight w:val="193"/>
        </w:trPr>
        <w:tc>
          <w:tcPr>
            <w:tcW w:w="85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deposits</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1,862,722</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1,797,137</w:t>
            </w:r>
          </w:p>
        </w:tc>
      </w:tr>
      <w:tr>
        <w:trPr>
          <w:trHeight w:val="198"/>
        </w:trPr>
        <w:tc>
          <w:tcPr>
            <w:tcW w:w="8560" w:type="dxa"/>
            <w:vAlign w:val="bottom"/>
          </w:tcPr>
          <w:p>
            <w:pPr>
              <w:ind w:left="20"/>
              <w:spacing w:after="0"/>
              <w:rPr>
                <w:sz w:val="20"/>
                <w:szCs w:val="20"/>
                <w:color w:val="auto"/>
              </w:rPr>
            </w:pPr>
            <w:r>
              <w:rPr>
                <w:rFonts w:ascii="Arial" w:cs="Arial" w:eastAsia="Arial" w:hAnsi="Arial"/>
                <w:sz w:val="14"/>
                <w:szCs w:val="14"/>
                <w:color w:val="auto"/>
              </w:rPr>
              <w:t>Federal Home Loan Bank advances</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22,000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22,000</w:t>
            </w:r>
          </w:p>
        </w:tc>
      </w:tr>
      <w:tr>
        <w:trPr>
          <w:trHeight w:val="199"/>
        </w:trPr>
        <w:tc>
          <w:tcPr>
            <w:tcW w:w="8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borrowed funds</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12,062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12,062</w:t>
            </w:r>
          </w:p>
        </w:tc>
      </w:tr>
      <w:tr>
        <w:trPr>
          <w:trHeight w:val="198"/>
        </w:trPr>
        <w:tc>
          <w:tcPr>
            <w:tcW w:w="8560" w:type="dxa"/>
            <w:vAlign w:val="bottom"/>
          </w:tcPr>
          <w:p>
            <w:pPr>
              <w:ind w:left="20"/>
              <w:spacing w:after="0"/>
              <w:rPr>
                <w:sz w:val="20"/>
                <w:szCs w:val="20"/>
                <w:color w:val="auto"/>
              </w:rPr>
            </w:pPr>
            <w:r>
              <w:rPr>
                <w:rFonts w:ascii="Arial" w:cs="Arial" w:eastAsia="Arial" w:hAnsi="Arial"/>
                <w:sz w:val="14"/>
                <w:szCs w:val="14"/>
                <w:color w:val="auto"/>
              </w:rPr>
              <w:t>Accrued interest payable</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480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473</w:t>
            </w:r>
          </w:p>
        </w:tc>
      </w:tr>
      <w:tr>
        <w:trPr>
          <w:trHeight w:val="199"/>
        </w:trPr>
        <w:tc>
          <w:tcPr>
            <w:tcW w:w="8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liabilities</w:t>
            </w:r>
          </w:p>
        </w:tc>
        <w:tc>
          <w:tcPr>
            <w:tcW w:w="1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23,697</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25,725</w:t>
            </w:r>
          </w:p>
        </w:tc>
      </w:tr>
      <w:tr>
        <w:trPr>
          <w:trHeight w:val="191"/>
        </w:trPr>
        <w:tc>
          <w:tcPr>
            <w:tcW w:w="856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liabilities</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1,920,961</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1,857,397</w:t>
            </w:r>
          </w:p>
        </w:tc>
      </w:tr>
      <w:tr>
        <w:trPr>
          <w:trHeight w:val="193"/>
        </w:trPr>
        <w:tc>
          <w:tcPr>
            <w:tcW w:w="8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98"/>
        </w:trPr>
        <w:tc>
          <w:tcPr>
            <w:tcW w:w="8560" w:type="dxa"/>
            <w:vAlign w:val="bottom"/>
          </w:tcPr>
          <w:p>
            <w:pPr>
              <w:ind w:left="20"/>
              <w:spacing w:after="0"/>
              <w:rPr>
                <w:sz w:val="20"/>
                <w:szCs w:val="20"/>
                <w:color w:val="auto"/>
              </w:rPr>
            </w:pPr>
            <w:r>
              <w:rPr>
                <w:rFonts w:ascii="Arial" w:cs="Arial" w:eastAsia="Arial" w:hAnsi="Arial"/>
                <w:sz w:val="14"/>
                <w:szCs w:val="14"/>
                <w:b w:val="1"/>
                <w:bCs w:val="1"/>
                <w:color w:val="auto"/>
              </w:rPr>
              <w:t>Stockholders' equity</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9"/>
        </w:trPr>
        <w:tc>
          <w:tcPr>
            <w:tcW w:w="85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Common stock, $.01 par value; 49,000,000 shares authorized; 14,000,520 and 13,962,334 issued and outstanding</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140</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w:t>
            </w:r>
          </w:p>
        </w:tc>
      </w:tr>
      <w:tr>
        <w:trPr>
          <w:trHeight w:val="198"/>
        </w:trPr>
        <w:tc>
          <w:tcPr>
            <w:tcW w:w="8560" w:type="dxa"/>
            <w:vAlign w:val="bottom"/>
          </w:tcPr>
          <w:p>
            <w:pPr>
              <w:ind w:left="140"/>
              <w:spacing w:after="0"/>
              <w:rPr>
                <w:sz w:val="20"/>
                <w:szCs w:val="20"/>
                <w:color w:val="auto"/>
              </w:rPr>
            </w:pPr>
            <w:r>
              <w:rPr>
                <w:rFonts w:ascii="Arial" w:cs="Arial" w:eastAsia="Arial" w:hAnsi="Arial"/>
                <w:sz w:val="14"/>
                <w:szCs w:val="14"/>
                <w:color w:val="auto"/>
              </w:rPr>
              <w:t>Additional paid-in capital</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55,226</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54,306</w:t>
            </w:r>
          </w:p>
        </w:tc>
      </w:tr>
      <w:tr>
        <w:trPr>
          <w:trHeight w:val="199"/>
        </w:trPr>
        <w:tc>
          <w:tcPr>
            <w:tcW w:w="8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Retained earnings</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153,949</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144,533</w:t>
            </w:r>
          </w:p>
        </w:tc>
      </w:tr>
      <w:tr>
        <w:trPr>
          <w:trHeight w:val="198"/>
        </w:trPr>
        <w:tc>
          <w:tcPr>
            <w:tcW w:w="85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Accumulated other comprehensive loss</w:t>
            </w: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(7,823)</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(1,076)</w:t>
            </w:r>
          </w:p>
        </w:tc>
      </w:tr>
      <w:tr>
        <w:trPr>
          <w:trHeight w:val="192"/>
        </w:trPr>
        <w:tc>
          <w:tcPr>
            <w:tcW w:w="85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stockholders' equity</w:t>
            </w:r>
          </w:p>
        </w:tc>
        <w:tc>
          <w:tcPr>
            <w:tcW w:w="1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201,492</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197,903</w:t>
            </w:r>
          </w:p>
        </w:tc>
      </w:tr>
      <w:tr>
        <w:trPr>
          <w:trHeight w:val="192"/>
        </w:trPr>
        <w:tc>
          <w:tcPr>
            <w:tcW w:w="8560" w:type="dxa"/>
            <w:vAlign w:val="bottom"/>
          </w:tcPr>
          <w:p>
            <w:pPr>
              <w:ind w:left="500"/>
              <w:spacing w:after="0"/>
              <w:rPr>
                <w:sz w:val="20"/>
                <w:szCs w:val="20"/>
                <w:color w:val="auto"/>
              </w:rPr>
            </w:pPr>
            <w:r>
              <w:rPr>
                <w:rFonts w:ascii="Arial" w:cs="Arial" w:eastAsia="Arial" w:hAnsi="Arial"/>
                <w:sz w:val="14"/>
                <w:szCs w:val="14"/>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2,122,453</w:t>
            </w:r>
          </w:p>
        </w:tc>
        <w:tc>
          <w:tcPr>
            <w:tcW w:w="120" w:type="dxa"/>
            <w:vAlign w:val="bottom"/>
          </w:tcPr>
          <w:p>
            <w:pPr>
              <w:spacing w:after="0"/>
              <w:rPr>
                <w:sz w:val="16"/>
                <w:szCs w:val="16"/>
                <w:color w:val="auto"/>
              </w:rPr>
            </w:pPr>
          </w:p>
        </w:tc>
        <w:tc>
          <w:tcPr>
            <w:tcW w:w="2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2,055,300</w:t>
            </w:r>
          </w:p>
        </w:tc>
      </w:tr>
      <w:tr>
        <w:trPr>
          <w:trHeight w:val="20"/>
        </w:trPr>
        <w:tc>
          <w:tcPr>
            <w:tcW w:w="8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17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262255</wp:posOffset>
            </wp:positionV>
            <wp:extent cx="716026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ind w:left="3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408940</wp:posOffset>
            </wp:positionH>
            <wp:positionV relativeFrom="page">
              <wp:posOffset>391795</wp:posOffset>
            </wp:positionV>
            <wp:extent cx="6995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t>Capital Bancorp, Inc. and Subsidiaries</w:t>
      </w:r>
    </w:p>
    <w:p>
      <w:pPr>
        <w:ind w:left="340"/>
        <w:spacing w:after="0" w:line="204" w:lineRule="auto"/>
        <w:rPr>
          <w:sz w:val="20"/>
          <w:szCs w:val="20"/>
          <w:color w:val="auto"/>
        </w:rPr>
      </w:pPr>
      <w:r>
        <w:rPr>
          <w:rFonts w:ascii="Arial" w:cs="Arial" w:eastAsia="Arial" w:hAnsi="Arial"/>
          <w:sz w:val="14"/>
          <w:szCs w:val="14"/>
          <w:b w:val="1"/>
          <w:bCs w:val="1"/>
          <w:color w:val="auto"/>
        </w:rPr>
        <w:t>Consolidated Statements of Income</w:t>
      </w:r>
    </w:p>
    <w:p>
      <w:pPr>
        <w:ind w:left="340"/>
        <w:spacing w:after="0"/>
        <w:rPr>
          <w:sz w:val="20"/>
          <w:szCs w:val="20"/>
          <w:color w:val="auto"/>
        </w:rPr>
      </w:pPr>
      <w:r>
        <w:rPr>
          <w:rFonts w:ascii="Arial" w:cs="Arial" w:eastAsia="Arial" w:hAnsi="Arial"/>
          <w:sz w:val="14"/>
          <w:szCs w:val="14"/>
          <w:b w:val="1"/>
          <w:bCs w:val="1"/>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12700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left="8900"/>
        <w:spacing w:after="0"/>
        <w:rPr>
          <w:sz w:val="20"/>
          <w:szCs w:val="20"/>
          <w:color w:val="auto"/>
        </w:rPr>
      </w:pPr>
      <w:r>
        <w:rPr>
          <w:rFonts w:ascii="Arial" w:cs="Arial" w:eastAsia="Arial" w:hAnsi="Arial"/>
          <w:sz w:val="12"/>
          <w:szCs w:val="12"/>
          <w:b w:val="1"/>
          <w:bCs w:val="1"/>
          <w:color w:val="auto"/>
        </w:rPr>
        <w:t>Three Months Ended March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(dollars in thousands except per share data)</w:t>
            </w: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2021</w:t>
            </w:r>
          </w:p>
        </w:tc>
      </w:tr>
      <w:tr>
        <w:trPr>
          <w:trHeight w:val="179"/>
        </w:trPr>
        <w:tc>
          <w:tcPr>
            <w:tcW w:w="8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Interest income</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98"/>
        </w:trPr>
        <w:tc>
          <w:tcPr>
            <w:tcW w:w="8400" w:type="dxa"/>
            <w:vAlign w:val="bottom"/>
          </w:tcPr>
          <w:p>
            <w:pPr>
              <w:ind w:left="140"/>
              <w:spacing w:after="0"/>
              <w:rPr>
                <w:sz w:val="20"/>
                <w:szCs w:val="20"/>
                <w:color w:val="auto"/>
              </w:rPr>
            </w:pPr>
            <w:r>
              <w:rPr>
                <w:rFonts w:ascii="Arial" w:cs="Arial" w:eastAsia="Arial" w:hAnsi="Arial"/>
                <w:sz w:val="14"/>
                <w:szCs w:val="14"/>
                <w:color w:val="auto"/>
              </w:rPr>
              <w:t>Loans, including fees</w:t>
            </w:r>
          </w:p>
        </w:tc>
        <w:tc>
          <w:tcPr>
            <w:tcW w:w="300" w:type="dxa"/>
            <w:vAlign w:val="bottom"/>
          </w:tcPr>
          <w:p>
            <w:pPr>
              <w:jc w:val="right"/>
              <w:ind w:right="149"/>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33,889</w:t>
            </w:r>
          </w:p>
        </w:tc>
        <w:tc>
          <w:tcPr>
            <w:tcW w:w="120" w:type="dxa"/>
            <w:vAlign w:val="bottom"/>
          </w:tcPr>
          <w:p>
            <w:pPr>
              <w:spacing w:after="0"/>
              <w:rPr>
                <w:sz w:val="17"/>
                <w:szCs w:val="17"/>
                <w:color w:val="auto"/>
              </w:rPr>
            </w:pPr>
          </w:p>
        </w:tc>
        <w:tc>
          <w:tcPr>
            <w:tcW w:w="3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26,068</w:t>
            </w:r>
          </w:p>
        </w:tc>
      </w:tr>
      <w:tr>
        <w:trPr>
          <w:trHeight w:val="199"/>
        </w:trPr>
        <w:tc>
          <w:tcPr>
            <w:tcW w:w="84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Investment securities available for sale</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370</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478</w:t>
            </w:r>
          </w:p>
        </w:tc>
      </w:tr>
      <w:tr>
        <w:trPr>
          <w:trHeight w:val="198"/>
        </w:trPr>
        <w:tc>
          <w:tcPr>
            <w:tcW w:w="84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Federal funds sold and other</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143</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w:t>
            </w:r>
          </w:p>
        </w:tc>
      </w:tr>
      <w:tr>
        <w:trPr>
          <w:trHeight w:val="192"/>
        </w:trPr>
        <w:tc>
          <w:tcPr>
            <w:tcW w:w="8400" w:type="dxa"/>
            <w:vAlign w:val="bottom"/>
            <w:shd w:val="clear" w:color="auto" w:fill="CCEEFF"/>
          </w:tcPr>
          <w:p>
            <w:pPr>
              <w:ind w:left="540"/>
              <w:spacing w:after="0"/>
              <w:rPr>
                <w:sz w:val="20"/>
                <w:szCs w:val="20"/>
                <w:color w:val="auto"/>
              </w:rPr>
            </w:pPr>
            <w:r>
              <w:rPr>
                <w:rFonts w:ascii="Arial" w:cs="Arial" w:eastAsia="Arial" w:hAnsi="Arial"/>
                <w:sz w:val="14"/>
                <w:szCs w:val="14"/>
                <w:color w:val="auto"/>
              </w:rPr>
              <w:t>Total interest income</w:t>
            </w: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34,402</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26,638</w:t>
            </w:r>
          </w:p>
        </w:tc>
      </w:tr>
      <w:tr>
        <w:trPr>
          <w:trHeight w:val="193"/>
        </w:trPr>
        <w:tc>
          <w:tcPr>
            <w:tcW w:w="8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9"/>
        </w:trPr>
        <w:tc>
          <w:tcPr>
            <w:tcW w:w="8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Interest expense</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98"/>
        </w:trPr>
        <w:tc>
          <w:tcPr>
            <w:tcW w:w="8400" w:type="dxa"/>
            <w:vAlign w:val="bottom"/>
          </w:tcPr>
          <w:p>
            <w:pPr>
              <w:ind w:left="140"/>
              <w:spacing w:after="0"/>
              <w:rPr>
                <w:sz w:val="20"/>
                <w:szCs w:val="20"/>
                <w:color w:val="auto"/>
              </w:rPr>
            </w:pPr>
            <w:r>
              <w:rPr>
                <w:rFonts w:ascii="Arial" w:cs="Arial" w:eastAsia="Arial" w:hAnsi="Arial"/>
                <w:sz w:val="14"/>
                <w:szCs w:val="14"/>
                <w:color w:val="auto"/>
              </w:rPr>
              <w:t>Deposits</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884</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2,006</w:t>
            </w:r>
          </w:p>
        </w:tc>
      </w:tr>
      <w:tr>
        <w:trPr>
          <w:trHeight w:val="199"/>
        </w:trPr>
        <w:tc>
          <w:tcPr>
            <w:tcW w:w="84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Borrowed funds</w:t>
            </w: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187</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w:t>
            </w:r>
          </w:p>
        </w:tc>
      </w:tr>
      <w:tr>
        <w:trPr>
          <w:trHeight w:val="192"/>
        </w:trPr>
        <w:tc>
          <w:tcPr>
            <w:tcW w:w="8400" w:type="dxa"/>
            <w:vAlign w:val="bottom"/>
            <w:tcBorders>
              <w:bottom w:val="single" w:sz="8" w:color="CCEEFF"/>
            </w:tcBorders>
          </w:tcPr>
          <w:p>
            <w:pPr>
              <w:ind w:left="540"/>
              <w:spacing w:after="0"/>
              <w:rPr>
                <w:sz w:val="20"/>
                <w:szCs w:val="20"/>
                <w:color w:val="auto"/>
              </w:rPr>
            </w:pPr>
            <w:r>
              <w:rPr>
                <w:rFonts w:ascii="Arial" w:cs="Arial" w:eastAsia="Arial" w:hAnsi="Arial"/>
                <w:sz w:val="14"/>
                <w:szCs w:val="14"/>
                <w:color w:val="auto"/>
              </w:rPr>
              <w:t>Total interest expense</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1,071</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2,194</w:t>
            </w:r>
          </w:p>
        </w:tc>
      </w:tr>
      <w:tr>
        <w:trPr>
          <w:trHeight w:val="193"/>
        </w:trPr>
        <w:tc>
          <w:tcPr>
            <w:tcW w:w="84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198"/>
        </w:trPr>
        <w:tc>
          <w:tcPr>
            <w:tcW w:w="8400" w:type="dxa"/>
            <w:vAlign w:val="bottom"/>
          </w:tcPr>
          <w:p>
            <w:pPr>
              <w:ind w:left="20"/>
              <w:spacing w:after="0"/>
              <w:rPr>
                <w:sz w:val="20"/>
                <w:szCs w:val="20"/>
                <w:color w:val="auto"/>
              </w:rPr>
            </w:pPr>
            <w:r>
              <w:rPr>
                <w:rFonts w:ascii="Arial" w:cs="Arial" w:eastAsia="Arial" w:hAnsi="Arial"/>
                <w:sz w:val="14"/>
                <w:szCs w:val="14"/>
                <w:b w:val="1"/>
                <w:bCs w:val="1"/>
                <w:color w:val="auto"/>
              </w:rPr>
              <w:t>Net interest income</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33,331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24,444</w:t>
            </w:r>
          </w:p>
        </w:tc>
      </w:tr>
      <w:tr>
        <w:trPr>
          <w:trHeight w:val="199"/>
        </w:trPr>
        <w:tc>
          <w:tcPr>
            <w:tcW w:w="8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loan losses</w:t>
            </w: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952</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503</w:t>
            </w:r>
          </w:p>
        </w:tc>
      </w:tr>
      <w:tr>
        <w:trPr>
          <w:trHeight w:val="192"/>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interest income after provision for loan losses</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32,379</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23,941</w:t>
            </w:r>
          </w:p>
        </w:tc>
      </w:tr>
      <w:tr>
        <w:trPr>
          <w:trHeight w:val="193"/>
        </w:trPr>
        <w:tc>
          <w:tcPr>
            <w:tcW w:w="84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198"/>
        </w:trPr>
        <w:tc>
          <w:tcPr>
            <w:tcW w:w="8400" w:type="dxa"/>
            <w:vAlign w:val="bottom"/>
          </w:tcPr>
          <w:p>
            <w:pPr>
              <w:ind w:left="20"/>
              <w:spacing w:after="0"/>
              <w:rPr>
                <w:sz w:val="20"/>
                <w:szCs w:val="20"/>
                <w:color w:val="auto"/>
              </w:rPr>
            </w:pPr>
            <w:r>
              <w:rPr>
                <w:rFonts w:ascii="Arial" w:cs="Arial" w:eastAsia="Arial" w:hAnsi="Arial"/>
                <w:sz w:val="14"/>
                <w:szCs w:val="14"/>
                <w:b w:val="1"/>
                <w:bCs w:val="1"/>
                <w:color w:val="auto"/>
              </w:rPr>
              <w:t>Noninterest income</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9"/>
        </w:trPr>
        <w:tc>
          <w:tcPr>
            <w:tcW w:w="84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Service charges on deposits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163</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w:t>
            </w:r>
          </w:p>
        </w:tc>
      </w:tr>
      <w:tr>
        <w:trPr>
          <w:trHeight w:val="198"/>
        </w:trPr>
        <w:tc>
          <w:tcPr>
            <w:tcW w:w="8400" w:type="dxa"/>
            <w:vAlign w:val="bottom"/>
          </w:tcPr>
          <w:p>
            <w:pPr>
              <w:ind w:left="140"/>
              <w:spacing w:after="0"/>
              <w:rPr>
                <w:sz w:val="20"/>
                <w:szCs w:val="20"/>
                <w:color w:val="auto"/>
              </w:rPr>
            </w:pPr>
            <w:r>
              <w:rPr>
                <w:rFonts w:ascii="Arial" w:cs="Arial" w:eastAsia="Arial" w:hAnsi="Arial"/>
                <w:sz w:val="14"/>
                <w:szCs w:val="14"/>
                <w:color w:val="auto"/>
              </w:rPr>
              <w:t>Credit card fees</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5,924</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5,940</w:t>
            </w:r>
          </w:p>
        </w:tc>
      </w:tr>
      <w:tr>
        <w:trPr>
          <w:trHeight w:val="199"/>
        </w:trPr>
        <w:tc>
          <w:tcPr>
            <w:tcW w:w="84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Mortgage banking revenue</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1,790</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7,743</w:t>
            </w:r>
          </w:p>
        </w:tc>
      </w:tr>
      <w:tr>
        <w:trPr>
          <w:trHeight w:val="198"/>
        </w:trPr>
        <w:tc>
          <w:tcPr>
            <w:tcW w:w="84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fees and charges</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411</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w:t>
            </w:r>
          </w:p>
        </w:tc>
      </w:tr>
      <w:tr>
        <w:trPr>
          <w:trHeight w:val="192"/>
        </w:trPr>
        <w:tc>
          <w:tcPr>
            <w:tcW w:w="8400" w:type="dxa"/>
            <w:vAlign w:val="bottom"/>
            <w:shd w:val="clear" w:color="auto" w:fill="CCEEFF"/>
          </w:tcPr>
          <w:p>
            <w:pPr>
              <w:ind w:left="540"/>
              <w:spacing w:after="0"/>
              <w:rPr>
                <w:sz w:val="20"/>
                <w:szCs w:val="20"/>
                <w:color w:val="auto"/>
              </w:rPr>
            </w:pPr>
            <w:r>
              <w:rPr>
                <w:rFonts w:ascii="Arial" w:cs="Arial" w:eastAsia="Arial" w:hAnsi="Arial"/>
                <w:sz w:val="14"/>
                <w:szCs w:val="14"/>
                <w:color w:val="auto"/>
              </w:rPr>
              <w:t>Total noninterest income</w:t>
            </w: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8,288</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13,951</w:t>
            </w:r>
          </w:p>
        </w:tc>
      </w:tr>
      <w:tr>
        <w:trPr>
          <w:trHeight w:val="192"/>
        </w:trPr>
        <w:tc>
          <w:tcPr>
            <w:tcW w:w="8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9"/>
        </w:trPr>
        <w:tc>
          <w:tcPr>
            <w:tcW w:w="8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Noninterest expenses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98"/>
        </w:trPr>
        <w:tc>
          <w:tcPr>
            <w:tcW w:w="8400" w:type="dxa"/>
            <w:vAlign w:val="bottom"/>
          </w:tcPr>
          <w:p>
            <w:pPr>
              <w:ind w:left="140"/>
              <w:spacing w:after="0"/>
              <w:rPr>
                <w:sz w:val="20"/>
                <w:szCs w:val="20"/>
                <w:color w:val="auto"/>
              </w:rPr>
            </w:pPr>
            <w:r>
              <w:rPr>
                <w:rFonts w:ascii="Arial" w:cs="Arial" w:eastAsia="Arial" w:hAnsi="Arial"/>
                <w:sz w:val="14"/>
                <w:szCs w:val="14"/>
                <w:color w:val="auto"/>
              </w:rPr>
              <w:t>Salaries and employee benefits</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10,310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8,568</w:t>
            </w:r>
          </w:p>
        </w:tc>
      </w:tr>
      <w:tr>
        <w:trPr>
          <w:trHeight w:val="199"/>
        </w:trPr>
        <w:tc>
          <w:tcPr>
            <w:tcW w:w="84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Occupancy and equipment</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1,026</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1,129</w:t>
            </w:r>
          </w:p>
        </w:tc>
      </w:tr>
      <w:tr>
        <w:trPr>
          <w:trHeight w:val="198"/>
        </w:trPr>
        <w:tc>
          <w:tcPr>
            <w:tcW w:w="8400" w:type="dxa"/>
            <w:vAlign w:val="bottom"/>
          </w:tcPr>
          <w:p>
            <w:pPr>
              <w:ind w:left="140"/>
              <w:spacing w:after="0"/>
              <w:rPr>
                <w:sz w:val="20"/>
                <w:szCs w:val="20"/>
                <w:color w:val="auto"/>
              </w:rPr>
            </w:pPr>
            <w:r>
              <w:rPr>
                <w:rFonts w:ascii="Arial" w:cs="Arial" w:eastAsia="Arial" w:hAnsi="Arial"/>
                <w:sz w:val="14"/>
                <w:szCs w:val="14"/>
                <w:color w:val="auto"/>
              </w:rPr>
              <w:t>Professional fees</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2,321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1,624</w:t>
            </w:r>
          </w:p>
        </w:tc>
      </w:tr>
      <w:tr>
        <w:trPr>
          <w:trHeight w:val="199"/>
        </w:trPr>
        <w:tc>
          <w:tcPr>
            <w:tcW w:w="84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Data processing</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8,276</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9,311</w:t>
            </w:r>
          </w:p>
        </w:tc>
      </w:tr>
      <w:tr>
        <w:trPr>
          <w:trHeight w:val="198"/>
        </w:trPr>
        <w:tc>
          <w:tcPr>
            <w:tcW w:w="8400" w:type="dxa"/>
            <w:vAlign w:val="bottom"/>
          </w:tcPr>
          <w:p>
            <w:pPr>
              <w:ind w:left="140"/>
              <w:spacing w:after="0"/>
              <w:rPr>
                <w:sz w:val="20"/>
                <w:szCs w:val="20"/>
                <w:color w:val="auto"/>
              </w:rPr>
            </w:pPr>
            <w:r>
              <w:rPr>
                <w:rFonts w:ascii="Arial" w:cs="Arial" w:eastAsia="Arial" w:hAnsi="Arial"/>
                <w:sz w:val="14"/>
                <w:szCs w:val="14"/>
                <w:color w:val="auto"/>
              </w:rPr>
              <w:t>Advertising</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1,639</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833</w:t>
            </w:r>
          </w:p>
        </w:tc>
      </w:tr>
      <w:tr>
        <w:trPr>
          <w:trHeight w:val="199"/>
        </w:trPr>
        <w:tc>
          <w:tcPr>
            <w:tcW w:w="84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Loan processing</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392</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1,052</w:t>
            </w:r>
          </w:p>
        </w:tc>
      </w:tr>
      <w:tr>
        <w:trPr>
          <w:trHeight w:val="198"/>
        </w:trPr>
        <w:tc>
          <w:tcPr>
            <w:tcW w:w="84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operating</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3,138</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3,250</w:t>
            </w:r>
          </w:p>
        </w:tc>
      </w:tr>
      <w:tr>
        <w:trPr>
          <w:trHeight w:val="193"/>
        </w:trPr>
        <w:tc>
          <w:tcPr>
            <w:tcW w:w="8400" w:type="dxa"/>
            <w:vAlign w:val="bottom"/>
            <w:shd w:val="clear" w:color="auto" w:fill="CCEEFF"/>
          </w:tcPr>
          <w:p>
            <w:pPr>
              <w:ind w:left="540"/>
              <w:spacing w:after="0"/>
              <w:rPr>
                <w:sz w:val="20"/>
                <w:szCs w:val="20"/>
                <w:color w:val="auto"/>
              </w:rPr>
            </w:pPr>
            <w:r>
              <w:rPr>
                <w:rFonts w:ascii="Arial" w:cs="Arial" w:eastAsia="Arial" w:hAnsi="Arial"/>
                <w:sz w:val="14"/>
                <w:szCs w:val="14"/>
                <w:color w:val="auto"/>
              </w:rPr>
              <w:t>Total noninterest expenses</w:t>
            </w: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27,102</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25,767</w:t>
            </w:r>
          </w:p>
        </w:tc>
      </w:tr>
      <w:tr>
        <w:trPr>
          <w:trHeight w:val="192"/>
        </w:trPr>
        <w:tc>
          <w:tcPr>
            <w:tcW w:w="8400" w:type="dxa"/>
            <w:vAlign w:val="bottom"/>
          </w:tcPr>
          <w:p>
            <w:pPr>
              <w:ind w:left="20"/>
              <w:spacing w:after="0"/>
              <w:rPr>
                <w:sz w:val="20"/>
                <w:szCs w:val="20"/>
                <w:color w:val="auto"/>
              </w:rPr>
            </w:pPr>
            <w:r>
              <w:rPr>
                <w:rFonts w:ascii="Arial" w:cs="Arial" w:eastAsia="Arial" w:hAnsi="Arial"/>
                <w:sz w:val="14"/>
                <w:szCs w:val="14"/>
                <w:color w:val="auto"/>
              </w:rPr>
              <w:t>Income before income taxes</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13,565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12,125</w:t>
            </w:r>
          </w:p>
        </w:tc>
      </w:tr>
      <w:tr>
        <w:trPr>
          <w:trHeight w:val="199"/>
        </w:trPr>
        <w:tc>
          <w:tcPr>
            <w:tcW w:w="8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w:t>
            </w: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3,354</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3,143</w:t>
            </w:r>
          </w:p>
        </w:tc>
      </w:tr>
      <w:tr>
        <w:trPr>
          <w:trHeight w:val="192"/>
        </w:trPr>
        <w:tc>
          <w:tcPr>
            <w:tcW w:w="8400" w:type="dxa"/>
            <w:vAlign w:val="bottom"/>
          </w:tcPr>
          <w:p>
            <w:pPr>
              <w:ind w:left="20"/>
              <w:spacing w:after="0"/>
              <w:rPr>
                <w:sz w:val="20"/>
                <w:szCs w:val="20"/>
                <w:color w:val="auto"/>
              </w:rPr>
            </w:pPr>
            <w:r>
              <w:rPr>
                <w:rFonts w:ascii="Arial" w:cs="Arial" w:eastAsia="Arial" w:hAnsi="Arial"/>
                <w:sz w:val="14"/>
                <w:szCs w:val="14"/>
                <w:b w:val="1"/>
                <w:bCs w:val="1"/>
                <w:color w:val="auto"/>
              </w:rPr>
              <w:t>Net income</w:t>
            </w:r>
          </w:p>
        </w:tc>
        <w:tc>
          <w:tcPr>
            <w:tcW w:w="3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10,211</w:t>
            </w:r>
          </w:p>
        </w:tc>
        <w:tc>
          <w:tcPr>
            <w:tcW w:w="120" w:type="dxa"/>
            <w:vAlign w:val="bottom"/>
          </w:tcPr>
          <w:p>
            <w:pPr>
              <w:spacing w:after="0"/>
              <w:rPr>
                <w:sz w:val="16"/>
                <w:szCs w:val="16"/>
                <w:color w:val="auto"/>
              </w:rPr>
            </w:pPr>
          </w:p>
        </w:tc>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8,982</w:t>
            </w: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79"/>
        </w:trPr>
        <w:tc>
          <w:tcPr>
            <w:tcW w:w="84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99"/>
        </w:trPr>
        <w:tc>
          <w:tcPr>
            <w:tcW w:w="8400" w:type="dxa"/>
            <w:vAlign w:val="bottom"/>
          </w:tcPr>
          <w:p>
            <w:pPr>
              <w:ind w:left="20"/>
              <w:spacing w:after="0"/>
              <w:rPr>
                <w:sz w:val="20"/>
                <w:szCs w:val="20"/>
                <w:color w:val="auto"/>
              </w:rPr>
            </w:pPr>
            <w:r>
              <w:rPr>
                <w:rFonts w:ascii="Arial" w:cs="Arial" w:eastAsia="Arial" w:hAnsi="Arial"/>
                <w:sz w:val="14"/>
                <w:szCs w:val="14"/>
                <w:color w:val="auto"/>
              </w:rPr>
              <w:t>Basic earnings per share</w:t>
            </w:r>
          </w:p>
        </w:tc>
        <w:tc>
          <w:tcPr>
            <w:tcW w:w="3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0.73</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0.65</w:t>
            </w: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17"/>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Diluted earnings per share</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0.71</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0.65</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58"/>
        </w:trPr>
        <w:tc>
          <w:tcPr>
            <w:tcW w:w="8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99"/>
        </w:trPr>
        <w:tc>
          <w:tcPr>
            <w:tcW w:w="8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 average common shares outstanding:</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99"/>
        </w:trPr>
        <w:tc>
          <w:tcPr>
            <w:tcW w:w="8400" w:type="dxa"/>
            <w:vAlign w:val="bottom"/>
          </w:tcPr>
          <w:p>
            <w:pPr>
              <w:ind w:left="140"/>
              <w:spacing w:after="0"/>
              <w:rPr>
                <w:sz w:val="20"/>
                <w:szCs w:val="20"/>
                <w:color w:val="auto"/>
              </w:rPr>
            </w:pPr>
            <w:r>
              <w:rPr>
                <w:rFonts w:ascii="Arial" w:cs="Arial" w:eastAsia="Arial" w:hAnsi="Arial"/>
                <w:sz w:val="14"/>
                <w:szCs w:val="14"/>
                <w:color w:val="auto"/>
              </w:rPr>
              <w:t>Basic</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13,988,549</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13,757,006</w:t>
            </w: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17"/>
        </w:trPr>
        <w:tc>
          <w:tcPr>
            <w:tcW w:w="8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Diluted</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14,338,601</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13,899,201</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17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262255</wp:posOffset>
            </wp:positionV>
            <wp:extent cx="716026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620" w:right="339" w:bottom="1440" w:gutter="0" w:footer="0" w:header="0"/>
        </w:sectPr>
      </w:pPr>
    </w:p>
    <w:bookmarkStart w:id="5" w:name="page6"/>
    <w:bookmarkEnd w:id="5"/>
    <w:p>
      <w:pPr>
        <w:ind w:left="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408940</wp:posOffset>
            </wp:positionH>
            <wp:positionV relativeFrom="page">
              <wp:posOffset>391795</wp:posOffset>
            </wp:positionV>
            <wp:extent cx="6995160"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6510"/>
                    </a:xfrm>
                    <a:prstGeom prst="rect">
                      <a:avLst/>
                    </a:prstGeom>
                    <a:noFill/>
                  </pic:spPr>
                </pic:pic>
              </a:graphicData>
            </a:graphic>
          </wp:anchor>
        </w:drawing>
        <w:t>Capital Bancorp, Inc. and Subsidiaries</w:t>
      </w:r>
    </w:p>
    <w:p>
      <w:pPr>
        <w:ind w:left="20"/>
        <w:spacing w:after="0" w:line="204" w:lineRule="auto"/>
        <w:rPr>
          <w:sz w:val="20"/>
          <w:szCs w:val="20"/>
          <w:color w:val="auto"/>
        </w:rPr>
      </w:pPr>
      <w:r>
        <w:rPr>
          <w:rFonts w:ascii="Arial" w:cs="Arial" w:eastAsia="Arial" w:hAnsi="Arial"/>
          <w:sz w:val="14"/>
          <w:szCs w:val="14"/>
          <w:b w:val="1"/>
          <w:bCs w:val="1"/>
          <w:color w:val="auto"/>
        </w:rPr>
        <w:t>Consolidated Statements of Comprehensive Income</w:t>
      </w:r>
    </w:p>
    <w:p>
      <w:pPr>
        <w:ind w:left="20"/>
        <w:spacing w:after="0"/>
        <w:rPr>
          <w:sz w:val="20"/>
          <w:szCs w:val="20"/>
          <w:color w:val="auto"/>
        </w:rPr>
      </w:pPr>
      <w:r>
        <w:rPr>
          <w:rFonts w:ascii="Arial" w:cs="Arial" w:eastAsia="Arial" w:hAnsi="Arial"/>
          <w:sz w:val="14"/>
          <w:szCs w:val="14"/>
          <w:b w:val="1"/>
          <w:bCs w:val="1"/>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12700</wp:posOffset>
            </wp:positionV>
            <wp:extent cx="6995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left="8800"/>
        <w:spacing w:after="0"/>
        <w:rPr>
          <w:sz w:val="20"/>
          <w:szCs w:val="20"/>
          <w:color w:val="auto"/>
        </w:rPr>
      </w:pPr>
      <w:r>
        <w:rPr>
          <w:rFonts w:ascii="Arial" w:cs="Arial" w:eastAsia="Arial" w:hAnsi="Arial"/>
          <w:sz w:val="12"/>
          <w:szCs w:val="12"/>
          <w:b w:val="1"/>
          <w:bCs w:val="1"/>
          <w:color w:val="auto"/>
        </w:rPr>
        <w:t>Three Months Ended March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 thousands)</w:t>
            </w: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89"/>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2021</w:t>
            </w:r>
          </w:p>
        </w:tc>
      </w:tr>
      <w:tr>
        <w:trPr>
          <w:trHeight w:val="193"/>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w:t>
            </w: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10,211</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w:t>
            </w:r>
          </w:p>
        </w:tc>
      </w:tr>
      <w:tr>
        <w:trPr>
          <w:trHeight w:val="192"/>
        </w:trPr>
        <w:tc>
          <w:tcPr>
            <w:tcW w:w="8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2"/>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comprehensive loss: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2"/>
        </w:trPr>
        <w:tc>
          <w:tcPr>
            <w:tcW w:w="8200" w:type="dxa"/>
            <w:vAlign w:val="bottom"/>
          </w:tcPr>
          <w:p>
            <w:pPr>
              <w:ind w:left="20"/>
              <w:spacing w:after="0"/>
              <w:rPr>
                <w:sz w:val="20"/>
                <w:szCs w:val="20"/>
                <w:color w:val="auto"/>
              </w:rPr>
            </w:pPr>
            <w:r>
              <w:rPr>
                <w:rFonts w:ascii="Arial" w:cs="Arial" w:eastAsia="Arial" w:hAnsi="Arial"/>
                <w:sz w:val="16"/>
                <w:szCs w:val="16"/>
                <w:color w:val="auto"/>
              </w:rPr>
              <w:t>Unrealized loss on investment securities available for sale</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(9,288)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213"/>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benefit relating to the items above</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2,541</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r>
      <w:tr>
        <w:trPr>
          <w:trHeight w:val="192"/>
        </w:trPr>
        <w:tc>
          <w:tcPr>
            <w:tcW w:w="82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comprehensive loss</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(6,747)</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r>
      <w:tr>
        <w:trPr>
          <w:trHeight w:val="218"/>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Comprehensive income</w:t>
            </w: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3,464</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17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262255</wp:posOffset>
            </wp:positionV>
            <wp:extent cx="716026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020"/>
          </w:cols>
          <w:pgMar w:left="640" w:top="620" w:right="239" w:bottom="1440" w:gutter="0" w:footer="0" w:header="0"/>
        </w:sectPr>
      </w:pPr>
    </w:p>
    <w:bookmarkStart w:id="6" w:name="page7"/>
    <w:bookmarkEnd w:id="6"/>
    <w:p>
      <w:pPr>
        <w:ind w:left="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408940</wp:posOffset>
            </wp:positionH>
            <wp:positionV relativeFrom="page">
              <wp:posOffset>391795</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t>Capital Bancorp, Inc. and Subsidiaries</w:t>
      </w:r>
    </w:p>
    <w:p>
      <w:pPr>
        <w:ind w:left="20"/>
        <w:spacing w:after="0" w:line="204" w:lineRule="auto"/>
        <w:rPr>
          <w:sz w:val="20"/>
          <w:szCs w:val="20"/>
          <w:color w:val="auto"/>
        </w:rPr>
      </w:pPr>
      <w:r>
        <w:rPr>
          <w:rFonts w:ascii="Arial" w:cs="Arial" w:eastAsia="Arial" w:hAnsi="Arial"/>
          <w:sz w:val="14"/>
          <w:szCs w:val="14"/>
          <w:b w:val="1"/>
          <w:bCs w:val="1"/>
          <w:color w:val="auto"/>
        </w:rPr>
        <w:t>Consolidated Statements of Changes in Stockholders’ Equity</w:t>
      </w:r>
    </w:p>
    <w:p>
      <w:pPr>
        <w:ind w:left="20"/>
        <w:spacing w:after="0"/>
        <w:rPr>
          <w:sz w:val="20"/>
          <w:szCs w:val="20"/>
          <w:color w:val="auto"/>
        </w:rPr>
      </w:pPr>
      <w:r>
        <w:rPr>
          <w:rFonts w:ascii="Arial" w:cs="Arial" w:eastAsia="Arial" w:hAnsi="Arial"/>
          <w:sz w:val="14"/>
          <w:szCs w:val="14"/>
          <w:b w:val="1"/>
          <w:bCs w:val="1"/>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12700</wp:posOffset>
            </wp:positionV>
            <wp:extent cx="6995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80" w:type="dxa"/>
            <w:vAlign w:val="bottom"/>
          </w:tcPr>
          <w:p>
            <w:pPr>
              <w:spacing w:after="0"/>
              <w:rPr>
                <w:sz w:val="14"/>
                <w:szCs w:val="14"/>
                <w:color w:val="auto"/>
              </w:rPr>
            </w:pPr>
          </w:p>
        </w:tc>
        <w:tc>
          <w:tcPr>
            <w:tcW w:w="2320" w:type="dxa"/>
            <w:vAlign w:val="bottom"/>
            <w:gridSpan w:val="5"/>
          </w:tcPr>
          <w:p>
            <w:pPr>
              <w:ind w:left="660"/>
              <w:spacing w:after="0"/>
              <w:rPr>
                <w:sz w:val="20"/>
                <w:szCs w:val="20"/>
                <w:color w:val="auto"/>
              </w:rPr>
            </w:pPr>
            <w:r>
              <w:rPr>
                <w:rFonts w:ascii="Arial" w:cs="Arial" w:eastAsia="Arial" w:hAnsi="Arial"/>
                <w:sz w:val="12"/>
                <w:szCs w:val="12"/>
                <w:b w:val="1"/>
                <w:bCs w:val="1"/>
                <w:color w:val="auto"/>
              </w:rPr>
              <w:t>Common Stock</w:t>
            </w:r>
          </w:p>
        </w:tc>
        <w:tc>
          <w:tcPr>
            <w:tcW w:w="160" w:type="dxa"/>
            <w:vAlign w:val="bottom"/>
          </w:tcPr>
          <w:p>
            <w:pPr>
              <w:spacing w:after="0"/>
              <w:rPr>
                <w:sz w:val="14"/>
                <w:szCs w:val="14"/>
                <w:color w:val="auto"/>
              </w:rPr>
            </w:pPr>
          </w:p>
        </w:tc>
        <w:tc>
          <w:tcPr>
            <w:tcW w:w="980" w:type="dxa"/>
            <w:vAlign w:val="bottom"/>
            <w:gridSpan w:val="2"/>
            <w:vMerge w:val="restart"/>
          </w:tcPr>
          <w:p>
            <w:pPr>
              <w:jc w:val="center"/>
              <w:ind w:right="280"/>
              <w:spacing w:after="0"/>
              <w:rPr>
                <w:sz w:val="20"/>
                <w:szCs w:val="20"/>
                <w:color w:val="auto"/>
              </w:rPr>
            </w:pPr>
            <w:r>
              <w:rPr>
                <w:rFonts w:ascii="Arial" w:cs="Arial" w:eastAsia="Arial" w:hAnsi="Arial"/>
                <w:sz w:val="12"/>
                <w:szCs w:val="12"/>
                <w:b w:val="1"/>
                <w:bCs w:val="1"/>
                <w:color w:val="auto"/>
              </w:rPr>
              <w:t>Additional</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rPr>
              <w:t>Accumulated Other</w:t>
            </w:r>
          </w:p>
        </w:tc>
        <w:tc>
          <w:tcPr>
            <w:tcW w:w="160" w:type="dxa"/>
            <w:vAlign w:val="bottom"/>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53"/>
        </w:trPr>
        <w:tc>
          <w:tcPr>
            <w:tcW w:w="3880" w:type="dxa"/>
            <w:vAlign w:val="bottom"/>
          </w:tcPr>
          <w:p>
            <w:pPr>
              <w:spacing w:after="0"/>
              <w:rPr>
                <w:sz w:val="4"/>
                <w:szCs w:val="4"/>
                <w:color w:val="auto"/>
              </w:rPr>
            </w:pPr>
          </w:p>
        </w:tc>
        <w:tc>
          <w:tcPr>
            <w:tcW w:w="116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Retained</w:t>
            </w:r>
          </w:p>
        </w:tc>
        <w:tc>
          <w:tcPr>
            <w:tcW w:w="120" w:type="dxa"/>
            <w:vAlign w:val="bottom"/>
          </w:tcPr>
          <w:p>
            <w:pPr>
              <w:spacing w:after="0"/>
              <w:rPr>
                <w:sz w:val="4"/>
                <w:szCs w:val="4"/>
                <w:color w:val="auto"/>
              </w:rPr>
            </w:pPr>
          </w:p>
        </w:tc>
        <w:tc>
          <w:tcPr>
            <w:tcW w:w="14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9"/>
        </w:trPr>
        <w:tc>
          <w:tcPr>
            <w:tcW w:w="3880" w:type="dxa"/>
            <w:vAlign w:val="bottom"/>
          </w:tcPr>
          <w:p>
            <w:pPr>
              <w:spacing w:after="0"/>
              <w:rPr>
                <w:sz w:val="10"/>
                <w:szCs w:val="10"/>
                <w:color w:val="auto"/>
              </w:rPr>
            </w:pPr>
          </w:p>
        </w:tc>
        <w:tc>
          <w:tcPr>
            <w:tcW w:w="1280" w:type="dxa"/>
            <w:vAlign w:val="bottom"/>
            <w:gridSpan w:val="2"/>
            <w:vMerge w:val="restart"/>
          </w:tcPr>
          <w:p>
            <w:pPr>
              <w:ind w:left="38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0"/>
                <w:szCs w:val="10"/>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0"/>
                <w:szCs w:val="10"/>
                <w:color w:val="auto"/>
              </w:rPr>
            </w:pPr>
          </w:p>
        </w:tc>
        <w:tc>
          <w:tcPr>
            <w:tcW w:w="980" w:type="dxa"/>
            <w:vAlign w:val="bottom"/>
            <w:gridSpan w:val="2"/>
          </w:tcPr>
          <w:p>
            <w:pPr>
              <w:jc w:val="center"/>
              <w:ind w:right="280"/>
              <w:spacing w:after="0" w:line="120" w:lineRule="exact"/>
              <w:rPr>
                <w:sz w:val="20"/>
                <w:szCs w:val="20"/>
                <w:color w:val="auto"/>
              </w:rPr>
            </w:pPr>
            <w:r>
              <w:rPr>
                <w:rFonts w:ascii="Arial" w:cs="Arial" w:eastAsia="Arial" w:hAnsi="Arial"/>
                <w:sz w:val="12"/>
                <w:szCs w:val="12"/>
                <w:b w:val="1"/>
                <w:bCs w:val="1"/>
                <w:color w:val="auto"/>
              </w:rPr>
              <w:t>Paid-in</w:t>
            </w:r>
          </w:p>
        </w:tc>
        <w:tc>
          <w:tcPr>
            <w:tcW w:w="14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560" w:type="dxa"/>
            <w:vAlign w:val="bottom"/>
            <w:gridSpan w:val="3"/>
          </w:tcPr>
          <w:p>
            <w:pPr>
              <w:ind w:left="20"/>
              <w:spacing w:after="0" w:line="120" w:lineRule="exact"/>
              <w:rPr>
                <w:sz w:val="20"/>
                <w:szCs w:val="20"/>
                <w:color w:val="auto"/>
              </w:rPr>
            </w:pPr>
            <w:r>
              <w:rPr>
                <w:rFonts w:ascii="Arial" w:cs="Arial" w:eastAsia="Arial" w:hAnsi="Arial"/>
                <w:sz w:val="12"/>
                <w:szCs w:val="12"/>
                <w:b w:val="1"/>
                <w:bCs w:val="1"/>
                <w:color w:val="auto"/>
              </w:rPr>
              <w:t>Comprehensive Income</w:t>
            </w:r>
          </w:p>
        </w:tc>
        <w:tc>
          <w:tcPr>
            <w:tcW w:w="160" w:type="dxa"/>
            <w:vAlign w:val="bottom"/>
          </w:tcPr>
          <w:p>
            <w:pPr>
              <w:spacing w:after="0"/>
              <w:rPr>
                <w:sz w:val="10"/>
                <w:szCs w:val="10"/>
                <w:color w:val="auto"/>
              </w:rPr>
            </w:pPr>
          </w:p>
        </w:tc>
        <w:tc>
          <w:tcPr>
            <w:tcW w:w="90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182"/>
        </w:trPr>
        <w:tc>
          <w:tcPr>
            <w:tcW w:w="3880" w:type="dxa"/>
            <w:vAlign w:val="bottom"/>
          </w:tcPr>
          <w:p>
            <w:pPr>
              <w:ind w:left="20"/>
              <w:spacing w:after="0"/>
              <w:rPr>
                <w:sz w:val="20"/>
                <w:szCs w:val="20"/>
                <w:color w:val="auto"/>
              </w:rPr>
            </w:pPr>
            <w:r>
              <w:rPr>
                <w:rFonts w:ascii="Arial" w:cs="Arial" w:eastAsia="Arial" w:hAnsi="Arial"/>
                <w:sz w:val="11"/>
                <w:szCs w:val="11"/>
                <w:color w:val="auto"/>
              </w:rPr>
              <w:t>(dollars in thousands)</w:t>
            </w:r>
          </w:p>
        </w:tc>
        <w:tc>
          <w:tcPr>
            <w:tcW w:w="12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rPr>
              <w:t>Capital</w:t>
            </w:r>
          </w:p>
        </w:tc>
        <w:tc>
          <w:tcPr>
            <w:tcW w:w="140" w:type="dxa"/>
            <w:vAlign w:val="bottom"/>
          </w:tcPr>
          <w:p>
            <w:pPr>
              <w:spacing w:after="0"/>
              <w:rPr>
                <w:sz w:val="15"/>
                <w:szCs w:val="15"/>
                <w:color w:val="auto"/>
              </w:rPr>
            </w:pPr>
          </w:p>
        </w:tc>
        <w:tc>
          <w:tcPr>
            <w:tcW w:w="920" w:type="dxa"/>
            <w:vAlign w:val="bottom"/>
            <w:gridSpan w:val="2"/>
          </w:tcPr>
          <w:p>
            <w:pPr>
              <w:ind w:left="60"/>
              <w:spacing w:after="0"/>
              <w:rPr>
                <w:sz w:val="20"/>
                <w:szCs w:val="20"/>
                <w:color w:val="auto"/>
              </w:rPr>
            </w:pPr>
            <w:r>
              <w:rPr>
                <w:rFonts w:ascii="Arial" w:cs="Arial" w:eastAsia="Arial" w:hAnsi="Arial"/>
                <w:sz w:val="12"/>
                <w:szCs w:val="12"/>
                <w:b w:val="1"/>
                <w:bCs w:val="1"/>
                <w:color w:val="auto"/>
              </w:rPr>
              <w:t>Earnings</w:t>
            </w:r>
          </w:p>
        </w:tc>
        <w:tc>
          <w:tcPr>
            <w:tcW w:w="120" w:type="dxa"/>
            <w:vAlign w:val="bottom"/>
          </w:tcPr>
          <w:p>
            <w:pPr>
              <w:spacing w:after="0"/>
              <w:rPr>
                <w:sz w:val="15"/>
                <w:szCs w:val="15"/>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9"/>
              </w:rPr>
              <w:t>(Loss)</w:t>
            </w:r>
          </w:p>
        </w:tc>
        <w:tc>
          <w:tcPr>
            <w:tcW w:w="16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2"/>
                <w:szCs w:val="12"/>
                <w:b w:val="1"/>
                <w:bCs w:val="1"/>
                <w:color w:val="auto"/>
              </w:rPr>
              <w:t>Equity</w:t>
            </w:r>
          </w:p>
        </w:tc>
        <w:tc>
          <w:tcPr>
            <w:tcW w:w="0" w:type="dxa"/>
            <w:vAlign w:val="bottom"/>
          </w:tcPr>
          <w:p>
            <w:pPr>
              <w:spacing w:after="0"/>
              <w:rPr>
                <w:sz w:val="1"/>
                <w:szCs w:val="1"/>
                <w:color w:val="auto"/>
              </w:rPr>
            </w:pPr>
          </w:p>
        </w:tc>
      </w:tr>
      <w:tr>
        <w:trPr>
          <w:trHeight w:val="215"/>
        </w:trPr>
        <w:tc>
          <w:tcPr>
            <w:tcW w:w="38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880" w:type="dxa"/>
            <w:vAlign w:val="bottom"/>
          </w:tcPr>
          <w:p>
            <w:pPr>
              <w:ind w:left="20"/>
              <w:spacing w:after="0"/>
              <w:rPr>
                <w:sz w:val="20"/>
                <w:szCs w:val="20"/>
                <w:color w:val="auto"/>
              </w:rPr>
            </w:pPr>
            <w:r>
              <w:rPr>
                <w:rFonts w:ascii="Arial" w:cs="Arial" w:eastAsia="Arial" w:hAnsi="Arial"/>
                <w:sz w:val="14"/>
                <w:szCs w:val="14"/>
                <w:b w:val="1"/>
                <w:bCs w:val="1"/>
                <w:color w:val="auto"/>
              </w:rPr>
              <w:t>Balance, December 31, 2020</w:t>
            </w:r>
          </w:p>
        </w:tc>
        <w:tc>
          <w:tcPr>
            <w:tcW w:w="1160" w:type="dxa"/>
            <w:vAlign w:val="bottom"/>
          </w:tcPr>
          <w:p>
            <w:pPr>
              <w:jc w:val="right"/>
              <w:spacing w:after="0"/>
              <w:rPr>
                <w:sz w:val="20"/>
                <w:szCs w:val="20"/>
                <w:color w:val="auto"/>
              </w:rPr>
            </w:pPr>
            <w:r>
              <w:rPr>
                <w:rFonts w:ascii="Arial" w:cs="Arial" w:eastAsia="Arial" w:hAnsi="Arial"/>
                <w:sz w:val="14"/>
                <w:szCs w:val="14"/>
                <w:color w:val="auto"/>
              </w:rPr>
              <w:t>13,753,529</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138</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50,602</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106,854</w:t>
            </w:r>
          </w:p>
        </w:tc>
        <w:tc>
          <w:tcPr>
            <w:tcW w:w="12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10"/>
              <w:spacing w:after="0"/>
              <w:rPr>
                <w:sz w:val="20"/>
                <w:szCs w:val="20"/>
                <w:color w:val="auto"/>
              </w:rPr>
            </w:pPr>
            <w:r>
              <w:rPr>
                <w:rFonts w:ascii="Arial" w:cs="Arial" w:eastAsia="Arial" w:hAnsi="Arial"/>
                <w:sz w:val="14"/>
                <w:szCs w:val="14"/>
                <w:color w:val="auto"/>
              </w:rPr>
              <w:t>1,717</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159,3</w:t>
            </w:r>
          </w:p>
        </w:tc>
        <w:tc>
          <w:tcPr>
            <w:tcW w:w="0" w:type="dxa"/>
            <w:vAlign w:val="bottom"/>
          </w:tcPr>
          <w:p>
            <w:pPr>
              <w:spacing w:after="0"/>
              <w:rPr>
                <w:sz w:val="1"/>
                <w:szCs w:val="1"/>
                <w:color w:val="auto"/>
              </w:rPr>
            </w:pPr>
          </w:p>
        </w:tc>
      </w:tr>
      <w:tr>
        <w:trPr>
          <w:trHeight w:val="199"/>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8,982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150"/>
        </w:trPr>
        <w:tc>
          <w:tcPr>
            <w:tcW w:w="3880" w:type="dxa"/>
            <w:vAlign w:val="bottom"/>
          </w:tcPr>
          <w:p>
            <w:pPr>
              <w:ind w:left="20"/>
              <w:spacing w:after="0" w:line="150" w:lineRule="exact"/>
              <w:rPr>
                <w:sz w:val="20"/>
                <w:szCs w:val="20"/>
                <w:color w:val="auto"/>
              </w:rPr>
            </w:pPr>
            <w:r>
              <w:rPr>
                <w:rFonts w:ascii="Arial" w:cs="Arial" w:eastAsia="Arial" w:hAnsi="Arial"/>
                <w:sz w:val="14"/>
                <w:szCs w:val="14"/>
                <w:color w:val="auto"/>
              </w:rPr>
              <w:t>Unrealized loss on investment securities available for sale,</w:t>
            </w: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(1,699)</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82"/>
        </w:trPr>
        <w:tc>
          <w:tcPr>
            <w:tcW w:w="3880" w:type="dxa"/>
            <w:vAlign w:val="bottom"/>
          </w:tcPr>
          <w:p>
            <w:pPr>
              <w:ind w:left="180"/>
              <w:spacing w:after="0"/>
              <w:rPr>
                <w:sz w:val="20"/>
                <w:szCs w:val="20"/>
                <w:color w:val="auto"/>
              </w:rPr>
            </w:pPr>
            <w:r>
              <w:rPr>
                <w:rFonts w:ascii="Arial" w:cs="Arial" w:eastAsia="Arial" w:hAnsi="Arial"/>
                <w:sz w:val="14"/>
                <w:szCs w:val="14"/>
                <w:color w:val="auto"/>
              </w:rPr>
              <w:t>net of income taxes</w:t>
            </w:r>
          </w:p>
        </w:tc>
        <w:tc>
          <w:tcPr>
            <w:tcW w:w="12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options exercised, net of repurchased shares</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3880" w:type="dxa"/>
            <w:vAlign w:val="bottom"/>
          </w:tcPr>
          <w:p>
            <w:pPr>
              <w:ind w:left="20"/>
              <w:spacing w:after="0"/>
              <w:rPr>
                <w:sz w:val="20"/>
                <w:szCs w:val="20"/>
                <w:color w:val="auto"/>
              </w:rPr>
            </w:pPr>
            <w:r>
              <w:rPr>
                <w:rFonts w:ascii="Arial" w:cs="Arial" w:eastAsia="Arial" w:hAnsi="Arial"/>
                <w:sz w:val="14"/>
                <w:szCs w:val="14"/>
                <w:color w:val="auto"/>
              </w:rPr>
              <w:t>Shares issued as compensation</w:t>
            </w:r>
          </w:p>
        </w:tc>
        <w:tc>
          <w:tcPr>
            <w:tcW w:w="1160" w:type="dxa"/>
            <w:vAlign w:val="bottom"/>
          </w:tcPr>
          <w:p>
            <w:pPr>
              <w:jc w:val="right"/>
              <w:spacing w:after="0"/>
              <w:rPr>
                <w:sz w:val="20"/>
                <w:szCs w:val="20"/>
                <w:color w:val="auto"/>
              </w:rPr>
            </w:pPr>
            <w:r>
              <w:rPr>
                <w:rFonts w:ascii="Arial" w:cs="Arial" w:eastAsia="Arial" w:hAnsi="Arial"/>
                <w:sz w:val="14"/>
                <w:szCs w:val="14"/>
                <w:color w:val="auto"/>
              </w:rPr>
              <w:t>3,894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60" w:type="dxa"/>
            <w:vAlign w:val="bottom"/>
          </w:tcPr>
          <w:p>
            <w:pPr>
              <w:jc w:val="right"/>
              <w:ind w:right="11"/>
              <w:spacing w:after="0"/>
              <w:rPr>
                <w:sz w:val="20"/>
                <w:szCs w:val="20"/>
                <w:color w:val="auto"/>
              </w:rPr>
            </w:pPr>
            <w:r>
              <w:rPr>
                <w:rFonts w:ascii="Arial" w:cs="Arial" w:eastAsia="Arial" w:hAnsi="Arial"/>
                <w:sz w:val="14"/>
                <w:szCs w:val="14"/>
                <w:color w:val="auto"/>
              </w:rPr>
              <w:t>86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333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66"/>
        </w:trPr>
        <w:tc>
          <w:tcPr>
            <w:tcW w:w="3880" w:type="dxa"/>
            <w:vAlign w:val="bottom"/>
          </w:tcPr>
          <w:p>
            <w:pPr>
              <w:ind w:left="20"/>
              <w:spacing w:after="0"/>
              <w:rPr>
                <w:sz w:val="20"/>
                <w:szCs w:val="20"/>
                <w:color w:val="auto"/>
              </w:rPr>
            </w:pPr>
            <w:r>
              <w:rPr>
                <w:rFonts w:ascii="Arial" w:cs="Arial" w:eastAsia="Arial" w:hAnsi="Arial"/>
                <w:sz w:val="14"/>
                <w:szCs w:val="14"/>
                <w:b w:val="1"/>
                <w:bCs w:val="1"/>
                <w:color w:val="auto"/>
              </w:rPr>
              <w:t>Balance, March 31, 2021</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13,759,218</w:t>
            </w:r>
          </w:p>
        </w:tc>
        <w:tc>
          <w:tcPr>
            <w:tcW w:w="12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138</w:t>
            </w:r>
          </w:p>
        </w:tc>
        <w:tc>
          <w:tcPr>
            <w:tcW w:w="12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rPr>
              <w:t>51,042</w:t>
            </w:r>
          </w:p>
        </w:tc>
        <w:tc>
          <w:tcPr>
            <w:tcW w:w="1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115,805</w:t>
            </w: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167,0</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8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3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2021</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13,962,334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54,306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144,533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(1,076)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197,9</w:t>
            </w:r>
          </w:p>
        </w:tc>
        <w:tc>
          <w:tcPr>
            <w:tcW w:w="0" w:type="dxa"/>
            <w:vAlign w:val="bottom"/>
          </w:tcPr>
          <w:p>
            <w:pPr>
              <w:spacing w:after="0"/>
              <w:rPr>
                <w:sz w:val="1"/>
                <w:szCs w:val="1"/>
                <w:color w:val="auto"/>
              </w:rPr>
            </w:pPr>
          </w:p>
        </w:tc>
      </w:tr>
      <w:tr>
        <w:trPr>
          <w:trHeight w:val="198"/>
        </w:trPr>
        <w:tc>
          <w:tcPr>
            <w:tcW w:w="388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2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10,211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10,2</w:t>
            </w:r>
          </w:p>
        </w:tc>
        <w:tc>
          <w:tcPr>
            <w:tcW w:w="0" w:type="dxa"/>
            <w:vAlign w:val="bottom"/>
          </w:tcPr>
          <w:p>
            <w:pPr>
              <w:spacing w:after="0"/>
              <w:rPr>
                <w:sz w:val="1"/>
                <w:szCs w:val="1"/>
                <w:color w:val="auto"/>
              </w:rPr>
            </w:pPr>
          </w:p>
        </w:tc>
      </w:tr>
      <w:tr>
        <w:trPr>
          <w:trHeight w:val="150"/>
        </w:trPr>
        <w:tc>
          <w:tcPr>
            <w:tcW w:w="3880" w:type="dxa"/>
            <w:vAlign w:val="bottom"/>
            <w:shd w:val="clear" w:color="auto" w:fill="CCEEFF"/>
          </w:tcPr>
          <w:p>
            <w:pPr>
              <w:ind w:left="20"/>
              <w:spacing w:after="0" w:line="150" w:lineRule="exact"/>
              <w:rPr>
                <w:sz w:val="20"/>
                <w:szCs w:val="20"/>
                <w:color w:val="auto"/>
              </w:rPr>
            </w:pPr>
            <w:r>
              <w:rPr>
                <w:rFonts w:ascii="Arial" w:cs="Arial" w:eastAsia="Arial" w:hAnsi="Arial"/>
                <w:sz w:val="14"/>
                <w:szCs w:val="14"/>
                <w:color w:val="auto"/>
              </w:rPr>
              <w:t>Unrealized loss on investment securities available for sale,</w:t>
            </w: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3"/>
                <w:szCs w:val="13"/>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(6,747)</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(6,7</w:t>
            </w:r>
          </w:p>
        </w:tc>
        <w:tc>
          <w:tcPr>
            <w:tcW w:w="0" w:type="dxa"/>
            <w:vAlign w:val="bottom"/>
          </w:tcPr>
          <w:p>
            <w:pPr>
              <w:spacing w:after="0"/>
              <w:rPr>
                <w:sz w:val="1"/>
                <w:szCs w:val="1"/>
                <w:color w:val="auto"/>
              </w:rPr>
            </w:pPr>
          </w:p>
        </w:tc>
      </w:tr>
      <w:tr>
        <w:trPr>
          <w:trHeight w:val="182"/>
        </w:trPr>
        <w:tc>
          <w:tcPr>
            <w:tcW w:w="38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of income taxes</w:t>
            </w:r>
          </w:p>
        </w:tc>
        <w:tc>
          <w:tcPr>
            <w:tcW w:w="128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880" w:type="dxa"/>
            <w:vAlign w:val="bottom"/>
          </w:tcPr>
          <w:p>
            <w:pPr>
              <w:ind w:left="20"/>
              <w:spacing w:after="0"/>
              <w:rPr>
                <w:sz w:val="20"/>
                <w:szCs w:val="20"/>
                <w:color w:val="auto"/>
              </w:rPr>
            </w:pPr>
            <w:r>
              <w:rPr>
                <w:rFonts w:ascii="Arial" w:cs="Arial" w:eastAsia="Arial" w:hAnsi="Arial"/>
                <w:sz w:val="14"/>
                <w:szCs w:val="14"/>
                <w:color w:val="auto"/>
              </w:rPr>
              <w:t>Stock options exercised, net of repurchased shares</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27,028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860" w:type="dxa"/>
            <w:vAlign w:val="bottom"/>
          </w:tcPr>
          <w:p>
            <w:pPr>
              <w:jc w:val="right"/>
              <w:ind w:right="11"/>
              <w:spacing w:after="0"/>
              <w:rPr>
                <w:sz w:val="20"/>
                <w:szCs w:val="20"/>
                <w:color w:val="auto"/>
              </w:rPr>
            </w:pPr>
            <w:r>
              <w:rPr>
                <w:rFonts w:ascii="Arial" w:cs="Arial" w:eastAsia="Arial" w:hAnsi="Arial"/>
                <w:sz w:val="14"/>
                <w:szCs w:val="14"/>
                <w:b w:val="1"/>
                <w:bCs w:val="1"/>
                <w:color w:val="auto"/>
              </w:rPr>
              <w:t>339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(95)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0" w:type="dxa"/>
            <w:vAlign w:val="bottom"/>
          </w:tcPr>
          <w:p>
            <w:pPr>
              <w:spacing w:after="0"/>
              <w:rPr>
                <w:sz w:val="1"/>
                <w:szCs w:val="1"/>
                <w:color w:val="auto"/>
              </w:rPr>
            </w:pPr>
          </w:p>
        </w:tc>
      </w:tr>
      <w:tr>
        <w:trPr>
          <w:trHeight w:val="199"/>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issued as compensation</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11,158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164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198"/>
        </w:trPr>
        <w:tc>
          <w:tcPr>
            <w:tcW w:w="388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2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860" w:type="dxa"/>
            <w:vAlign w:val="bottom"/>
          </w:tcPr>
          <w:p>
            <w:pPr>
              <w:jc w:val="right"/>
              <w:ind w:right="11"/>
              <w:spacing w:after="0"/>
              <w:rPr>
                <w:sz w:val="20"/>
                <w:szCs w:val="20"/>
                <w:color w:val="auto"/>
              </w:rPr>
            </w:pPr>
            <w:r>
              <w:rPr>
                <w:rFonts w:ascii="Arial" w:cs="Arial" w:eastAsia="Arial" w:hAnsi="Arial"/>
                <w:sz w:val="14"/>
                <w:szCs w:val="14"/>
                <w:b w:val="1"/>
                <w:bCs w:val="1"/>
                <w:color w:val="auto"/>
              </w:rPr>
              <w:t>417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0" w:type="dxa"/>
            <w:vAlign w:val="bottom"/>
          </w:tcPr>
          <w:p>
            <w:pPr>
              <w:spacing w:after="0"/>
              <w:rPr>
                <w:sz w:val="1"/>
                <w:szCs w:val="1"/>
                <w:color w:val="auto"/>
              </w:rPr>
            </w:pPr>
          </w:p>
        </w:tc>
      </w:tr>
      <w:tr>
        <w:trPr>
          <w:trHeight w:val="199"/>
        </w:trPr>
        <w:tc>
          <w:tcPr>
            <w:tcW w:w="3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dividends to stockholders ($0.05 per share)</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(700)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w:t>
            </w:r>
          </w:p>
        </w:tc>
        <w:tc>
          <w:tcPr>
            <w:tcW w:w="0" w:type="dxa"/>
            <w:vAlign w:val="bottom"/>
          </w:tcPr>
          <w:p>
            <w:pPr>
              <w:spacing w:after="0"/>
              <w:rPr>
                <w:sz w:val="1"/>
                <w:szCs w:val="1"/>
                <w:color w:val="auto"/>
              </w:rPr>
            </w:pPr>
          </w:p>
        </w:tc>
      </w:tr>
      <w:tr>
        <w:trPr>
          <w:trHeight w:val="193"/>
        </w:trPr>
        <w:tc>
          <w:tcPr>
            <w:tcW w:w="3880" w:type="dxa"/>
            <w:vAlign w:val="bottom"/>
          </w:tcPr>
          <w:p>
            <w:pPr>
              <w:ind w:left="20"/>
              <w:spacing w:after="0"/>
              <w:rPr>
                <w:sz w:val="20"/>
                <w:szCs w:val="20"/>
                <w:color w:val="auto"/>
              </w:rPr>
            </w:pPr>
            <w:r>
              <w:rPr>
                <w:rFonts w:ascii="Arial" w:cs="Arial" w:eastAsia="Arial" w:hAnsi="Arial"/>
                <w:sz w:val="14"/>
                <w:szCs w:val="14"/>
                <w:b w:val="1"/>
                <w:bCs w:val="1"/>
                <w:color w:val="auto"/>
              </w:rPr>
              <w:t>Balance, March 31, 2022</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14,000,520</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140</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55,226</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153,949</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(7,823)</w:t>
            </w: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17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262255</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020"/>
          </w:cols>
          <w:pgMar w:left="640" w:top="620" w:right="239" w:bottom="1440" w:gutter="0" w:footer="0" w:header="0"/>
        </w:sectPr>
      </w:pPr>
    </w:p>
    <w:bookmarkStart w:id="7" w:name="page8"/>
    <w:bookmarkEnd w:id="7"/>
    <w:p>
      <w:pPr>
        <w:ind w:left="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207010</wp:posOffset>
            </wp:positionH>
            <wp:positionV relativeFrom="page">
              <wp:posOffset>164465</wp:posOffset>
            </wp:positionV>
            <wp:extent cx="71348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860" cy="17145"/>
                    </a:xfrm>
                    <a:prstGeom prst="rect">
                      <a:avLst/>
                    </a:prstGeom>
                    <a:noFill/>
                  </pic:spPr>
                </pic:pic>
              </a:graphicData>
            </a:graphic>
          </wp:anchor>
        </w:drawing>
        <w:t>Capital Bancorp, Inc. and Subsidiaries</w:t>
      </w:r>
    </w:p>
    <w:p>
      <w:pPr>
        <w:ind w:left="20"/>
        <w:spacing w:after="0" w:line="217" w:lineRule="auto"/>
        <w:rPr>
          <w:sz w:val="20"/>
          <w:szCs w:val="20"/>
          <w:color w:val="auto"/>
        </w:rPr>
      </w:pPr>
      <w:r>
        <w:rPr>
          <w:rFonts w:ascii="Arial" w:cs="Arial" w:eastAsia="Arial" w:hAnsi="Arial"/>
          <w:sz w:val="14"/>
          <w:szCs w:val="14"/>
          <w:b w:val="1"/>
          <w:bCs w:val="1"/>
          <w:color w:val="auto"/>
        </w:rPr>
        <w:t>Consolidated Statements of Cash Flows</w:t>
      </w:r>
    </w:p>
    <w:p>
      <w:pPr>
        <w:ind w:left="20"/>
        <w:spacing w:after="0"/>
        <w:rPr>
          <w:sz w:val="20"/>
          <w:szCs w:val="20"/>
          <w:color w:val="auto"/>
        </w:rPr>
      </w:pPr>
      <w:r>
        <w:rPr>
          <w:rFonts w:ascii="Arial" w:cs="Arial" w:eastAsia="Arial" w:hAnsi="Arial"/>
          <w:sz w:val="14"/>
          <w:szCs w:val="14"/>
          <w:b w:val="1"/>
          <w:bCs w:val="1"/>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wp:posOffset>
            </wp:positionV>
            <wp:extent cx="71348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8680"/>
        <w:spacing w:after="0"/>
        <w:rPr>
          <w:sz w:val="20"/>
          <w:szCs w:val="20"/>
          <w:color w:val="auto"/>
        </w:rPr>
      </w:pPr>
      <w:r>
        <w:rPr>
          <w:rFonts w:ascii="Arial" w:cs="Arial" w:eastAsia="Arial" w:hAnsi="Arial"/>
          <w:sz w:val="14"/>
          <w:szCs w:val="14"/>
          <w:b w:val="1"/>
          <w:bCs w:val="1"/>
          <w:color w:val="auto"/>
        </w:rPr>
        <w:t>Three Months Ended March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 thousands)</w:t>
            </w:r>
          </w:p>
        </w:tc>
        <w:tc>
          <w:tcPr>
            <w:tcW w:w="3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2021</w:t>
            </w:r>
          </w:p>
        </w:tc>
      </w:tr>
      <w:tr>
        <w:trPr>
          <w:trHeight w:val="192"/>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12"/>
        </w:trPr>
        <w:tc>
          <w:tcPr>
            <w:tcW w:w="820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340" w:type="dxa"/>
            <w:vAlign w:val="bottom"/>
          </w:tcPr>
          <w:p>
            <w:pPr>
              <w:jc w:val="right"/>
              <w:ind w:right="141"/>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10,211</w:t>
            </w:r>
          </w:p>
        </w:tc>
        <w:tc>
          <w:tcPr>
            <w:tcW w:w="120" w:type="dxa"/>
            <w:vAlign w:val="bottom"/>
          </w:tcPr>
          <w:p>
            <w:pPr>
              <w:spacing w:after="0"/>
              <w:rPr>
                <w:sz w:val="18"/>
                <w:szCs w:val="18"/>
                <w:color w:val="auto"/>
              </w:rPr>
            </w:pPr>
          </w:p>
        </w:tc>
        <w:tc>
          <w:tcPr>
            <w:tcW w:w="34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8,982</w:t>
            </w:r>
          </w:p>
        </w:tc>
      </w:tr>
      <w:tr>
        <w:trPr>
          <w:trHeight w:val="212"/>
        </w:trPr>
        <w:tc>
          <w:tcPr>
            <w:tcW w:w="8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2"/>
        </w:trPr>
        <w:tc>
          <w:tcPr>
            <w:tcW w:w="8200" w:type="dxa"/>
            <w:vAlign w:val="bottom"/>
          </w:tcPr>
          <w:p>
            <w:pPr>
              <w:ind w:left="220"/>
              <w:spacing w:after="0"/>
              <w:rPr>
                <w:sz w:val="20"/>
                <w:szCs w:val="20"/>
                <w:color w:val="auto"/>
              </w:rPr>
            </w:pPr>
            <w:r>
              <w:rPr>
                <w:rFonts w:ascii="Arial" w:cs="Arial" w:eastAsia="Arial" w:hAnsi="Arial"/>
                <w:sz w:val="16"/>
                <w:szCs w:val="16"/>
                <w:color w:val="auto"/>
              </w:rPr>
              <w:t>Provision for loan losses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952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503</w:t>
            </w:r>
          </w:p>
        </w:tc>
      </w:tr>
      <w:tr>
        <w:trPr>
          <w:trHeight w:val="212"/>
        </w:trPr>
        <w:tc>
          <w:tcPr>
            <w:tcW w:w="8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Provision for mortgage put-back reserve, net</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r>
      <w:tr>
        <w:trPr>
          <w:trHeight w:val="212"/>
        </w:trPr>
        <w:tc>
          <w:tcPr>
            <w:tcW w:w="8200" w:type="dxa"/>
            <w:vAlign w:val="bottom"/>
          </w:tcPr>
          <w:p>
            <w:pPr>
              <w:ind w:left="220"/>
              <w:spacing w:after="0"/>
              <w:rPr>
                <w:sz w:val="20"/>
                <w:szCs w:val="20"/>
                <w:color w:val="auto"/>
              </w:rPr>
            </w:pPr>
            <w:r>
              <w:rPr>
                <w:rFonts w:ascii="Arial" w:cs="Arial" w:eastAsia="Arial" w:hAnsi="Arial"/>
                <w:sz w:val="16"/>
                <w:szCs w:val="16"/>
                <w:color w:val="auto"/>
              </w:rPr>
              <w:t>Provision for (reversal of) off balance sheet credit commitments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(150)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212"/>
        </w:trPr>
        <w:tc>
          <w:tcPr>
            <w:tcW w:w="8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on investments, net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332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r>
      <w:tr>
        <w:trPr>
          <w:trHeight w:val="212"/>
        </w:trPr>
        <w:tc>
          <w:tcPr>
            <w:tcW w:w="820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394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460</w:t>
            </w:r>
          </w:p>
        </w:tc>
      </w:tr>
      <w:tr>
        <w:trPr>
          <w:trHeight w:val="212"/>
        </w:trPr>
        <w:tc>
          <w:tcPr>
            <w:tcW w:w="8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Increase in cash surrender value of bank-owned life insurance policies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8200" w:type="dxa"/>
            <w:vAlign w:val="bottom"/>
          </w:tcPr>
          <w:p>
            <w:pPr>
              <w:ind w:left="220"/>
              <w:spacing w:after="0"/>
              <w:rPr>
                <w:sz w:val="20"/>
                <w:szCs w:val="20"/>
                <w:color w:val="auto"/>
              </w:rPr>
            </w:pPr>
            <w:r>
              <w:rPr>
                <w:rFonts w:ascii="Arial" w:cs="Arial" w:eastAsia="Arial" w:hAnsi="Arial"/>
                <w:sz w:val="16"/>
                <w:szCs w:val="16"/>
                <w:color w:val="auto"/>
              </w:rPr>
              <w:t>Stock-based compensation expense</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417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333</w:t>
            </w:r>
          </w:p>
        </w:tc>
      </w:tr>
      <w:tr>
        <w:trPr>
          <w:trHeight w:val="212"/>
        </w:trPr>
        <w:tc>
          <w:tcPr>
            <w:tcW w:w="8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Employee compensation paid in Company stock</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8200" w:type="dxa"/>
            <w:vAlign w:val="bottom"/>
          </w:tcPr>
          <w:p>
            <w:pPr>
              <w:ind w:left="220"/>
              <w:spacing w:after="0"/>
              <w:rPr>
                <w:sz w:val="20"/>
                <w:szCs w:val="20"/>
                <w:color w:val="auto"/>
              </w:rPr>
            </w:pPr>
            <w:r>
              <w:rPr>
                <w:rFonts w:ascii="Arial" w:cs="Arial" w:eastAsia="Arial" w:hAnsi="Arial"/>
                <w:sz w:val="16"/>
                <w:szCs w:val="16"/>
                <w:color w:val="auto"/>
              </w:rPr>
              <w:t>Deferred income tax (benefit) expense</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(32)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245</w:t>
            </w:r>
          </w:p>
        </w:tc>
      </w:tr>
      <w:tr>
        <w:trPr>
          <w:trHeight w:val="212"/>
        </w:trPr>
        <w:tc>
          <w:tcPr>
            <w:tcW w:w="82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Valuation allowance on derivatives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r>
      <w:tr>
        <w:trPr>
          <w:trHeight w:val="212"/>
        </w:trPr>
        <w:tc>
          <w:tcPr>
            <w:tcW w:w="8200" w:type="dxa"/>
            <w:vAlign w:val="bottom"/>
          </w:tcPr>
          <w:p>
            <w:pPr>
              <w:ind w:left="220"/>
              <w:spacing w:after="0"/>
              <w:rPr>
                <w:sz w:val="20"/>
                <w:szCs w:val="20"/>
                <w:color w:val="auto"/>
              </w:rPr>
            </w:pPr>
            <w:r>
              <w:rPr>
                <w:rFonts w:ascii="Arial" w:cs="Arial" w:eastAsia="Arial" w:hAnsi="Arial"/>
                <w:sz w:val="16"/>
                <w:szCs w:val="16"/>
                <w:color w:val="auto"/>
              </w:rPr>
              <w:t>Gain on sale of foreclosed real estate</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8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Decrease in valuation of loans held for sale carried at fair value</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(1,790)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(7,743)</w:t>
            </w:r>
          </w:p>
        </w:tc>
      </w:tr>
      <w:tr>
        <w:trPr>
          <w:trHeight w:val="212"/>
        </w:trPr>
        <w:tc>
          <w:tcPr>
            <w:tcW w:w="8200" w:type="dxa"/>
            <w:vAlign w:val="bottom"/>
          </w:tcPr>
          <w:p>
            <w:pPr>
              <w:ind w:left="220"/>
              <w:spacing w:after="0"/>
              <w:rPr>
                <w:sz w:val="20"/>
                <w:szCs w:val="20"/>
                <w:color w:val="auto"/>
              </w:rPr>
            </w:pPr>
            <w:r>
              <w:rPr>
                <w:rFonts w:ascii="Arial" w:cs="Arial" w:eastAsia="Arial" w:hAnsi="Arial"/>
                <w:sz w:val="16"/>
                <w:szCs w:val="16"/>
                <w:color w:val="auto"/>
              </w:rPr>
              <w:t>Proceeds from sales of loans held for sale</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111,830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407,855</w:t>
            </w:r>
          </w:p>
        </w:tc>
      </w:tr>
      <w:tr>
        <w:trPr>
          <w:trHeight w:val="212"/>
        </w:trPr>
        <w:tc>
          <w:tcPr>
            <w:tcW w:w="8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Originations of loans held for sale</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(111,087)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(353,774)</w:t>
            </w:r>
          </w:p>
        </w:tc>
      </w:tr>
      <w:tr>
        <w:trPr>
          <w:trHeight w:val="211"/>
        </w:trPr>
        <w:tc>
          <w:tcPr>
            <w:tcW w:w="8200" w:type="dxa"/>
            <w:vAlign w:val="bottom"/>
          </w:tcPr>
          <w:p>
            <w:pPr>
              <w:ind w:left="220"/>
              <w:spacing w:after="0"/>
              <w:rPr>
                <w:sz w:val="20"/>
                <w:szCs w:val="20"/>
                <w:color w:val="auto"/>
              </w:rPr>
            </w:pPr>
            <w:r>
              <w:rPr>
                <w:rFonts w:ascii="Arial" w:cs="Arial" w:eastAsia="Arial" w:hAnsi="Arial"/>
                <w:sz w:val="16"/>
                <w:szCs w:val="16"/>
                <w:color w:val="auto"/>
              </w:rPr>
              <w:t>Changes in assets and liabilities: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3"/>
        </w:trPr>
        <w:tc>
          <w:tcPr>
            <w:tcW w:w="8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Decrease in accrued interest receivable</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389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12"/>
        </w:trPr>
        <w:tc>
          <w:tcPr>
            <w:tcW w:w="8200" w:type="dxa"/>
            <w:vAlign w:val="bottom"/>
          </w:tcPr>
          <w:p>
            <w:pPr>
              <w:ind w:left="340"/>
              <w:spacing w:after="0"/>
              <w:rPr>
                <w:sz w:val="20"/>
                <w:szCs w:val="20"/>
                <w:color w:val="auto"/>
              </w:rPr>
            </w:pPr>
            <w:r>
              <w:rPr>
                <w:rFonts w:ascii="Arial" w:cs="Arial" w:eastAsia="Arial" w:hAnsi="Arial"/>
                <w:sz w:val="16"/>
                <w:szCs w:val="16"/>
                <w:color w:val="auto"/>
              </w:rPr>
              <w:t>Increase in other assets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(231)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(669)</w:t>
            </w:r>
          </w:p>
        </w:tc>
      </w:tr>
      <w:tr>
        <w:trPr>
          <w:trHeight w:val="212"/>
        </w:trPr>
        <w:tc>
          <w:tcPr>
            <w:tcW w:w="8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Decrease in accrued interest payable</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r>
      <w:tr>
        <w:trPr>
          <w:trHeight w:val="212"/>
        </w:trPr>
        <w:tc>
          <w:tcPr>
            <w:tcW w:w="82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Increase in other liabilities</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(2,013)</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(2,029)</w:t>
            </w:r>
          </w:p>
        </w:tc>
      </w:tr>
      <w:tr>
        <w:trPr>
          <w:trHeight w:val="205"/>
        </w:trPr>
        <w:tc>
          <w:tcPr>
            <w:tcW w:w="82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Net cash provided by operating activities</w:t>
            </w: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9,181</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54,623</w:t>
            </w:r>
          </w:p>
        </w:tc>
      </w:tr>
      <w:tr>
        <w:trPr>
          <w:trHeight w:val="192"/>
        </w:trPr>
        <w:tc>
          <w:tcPr>
            <w:tcW w:w="8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2"/>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2"/>
        </w:trPr>
        <w:tc>
          <w:tcPr>
            <w:tcW w:w="8200" w:type="dxa"/>
            <w:vAlign w:val="bottom"/>
          </w:tcPr>
          <w:p>
            <w:pPr>
              <w:ind w:left="140"/>
              <w:spacing w:after="0"/>
              <w:rPr>
                <w:sz w:val="20"/>
                <w:szCs w:val="20"/>
                <w:color w:val="auto"/>
              </w:rPr>
            </w:pPr>
            <w:r>
              <w:rPr>
                <w:rFonts w:ascii="Arial" w:cs="Arial" w:eastAsia="Arial" w:hAnsi="Arial"/>
                <w:sz w:val="16"/>
                <w:szCs w:val="16"/>
                <w:color w:val="auto"/>
              </w:rPr>
              <w:t>Purchases of securities available for sale</w:t>
            </w:r>
          </w:p>
        </w:tc>
        <w:tc>
          <w:tcPr>
            <w:tcW w:w="3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(35,487)</w:t>
            </w:r>
          </w:p>
        </w:tc>
      </w:tr>
      <w:tr>
        <w:trPr>
          <w:trHeight w:val="212"/>
        </w:trPr>
        <w:tc>
          <w:tcPr>
            <w:tcW w:w="8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maturities, calls and principal paydowns of securities available for sale</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2,123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4,599</w:t>
            </w:r>
          </w:p>
        </w:tc>
      </w:tr>
      <w:tr>
        <w:trPr>
          <w:trHeight w:val="212"/>
        </w:trPr>
        <w:tc>
          <w:tcPr>
            <w:tcW w:w="8200" w:type="dxa"/>
            <w:vAlign w:val="bottom"/>
          </w:tcPr>
          <w:p>
            <w:pPr>
              <w:ind w:left="140"/>
              <w:spacing w:after="0"/>
              <w:rPr>
                <w:sz w:val="20"/>
                <w:szCs w:val="20"/>
                <w:color w:val="auto"/>
              </w:rPr>
            </w:pPr>
            <w:r>
              <w:rPr>
                <w:rFonts w:ascii="Arial" w:cs="Arial" w:eastAsia="Arial" w:hAnsi="Arial"/>
                <w:sz w:val="16"/>
                <w:szCs w:val="16"/>
                <w:color w:val="auto"/>
              </w:rPr>
              <w:t>(Purchases) sales of restricted investments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(104)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235</w:t>
            </w:r>
          </w:p>
        </w:tc>
      </w:tr>
      <w:tr>
        <w:trPr>
          <w:trHeight w:val="212"/>
        </w:trPr>
        <w:tc>
          <w:tcPr>
            <w:tcW w:w="8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Decrease (increase) in SBA-PPP loans receivable, net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57,200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(64,694)</w:t>
            </w:r>
          </w:p>
        </w:tc>
      </w:tr>
      <w:tr>
        <w:trPr>
          <w:trHeight w:val="212"/>
        </w:trPr>
        <w:tc>
          <w:tcPr>
            <w:tcW w:w="8200" w:type="dxa"/>
            <w:vAlign w:val="bottom"/>
          </w:tcPr>
          <w:p>
            <w:pPr>
              <w:ind w:left="140"/>
              <w:spacing w:after="0"/>
              <w:rPr>
                <w:sz w:val="20"/>
                <w:szCs w:val="20"/>
                <w:color w:val="auto"/>
              </w:rPr>
            </w:pPr>
            <w:r>
              <w:rPr>
                <w:rFonts w:ascii="Arial" w:cs="Arial" w:eastAsia="Arial" w:hAnsi="Arial"/>
                <w:sz w:val="16"/>
                <w:szCs w:val="16"/>
                <w:color w:val="auto"/>
              </w:rPr>
              <w:t>(Increase) decrease in portfolio loans receivable, net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(3,155)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2,773</w:t>
            </w:r>
          </w:p>
        </w:tc>
      </w:tr>
      <w:tr>
        <w:trPr>
          <w:trHeight w:val="212"/>
        </w:trPr>
        <w:tc>
          <w:tcPr>
            <w:tcW w:w="8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Purchases of premises and equipment, net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82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Proceeds from sales of foreclosed real estate</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106</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5"/>
        </w:trPr>
        <w:tc>
          <w:tcPr>
            <w:tcW w:w="82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Net cash provided by (used for) investing activities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56,081</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(92,574)</w:t>
            </w:r>
          </w:p>
        </w:tc>
      </w:tr>
    </w:tbl>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17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253365</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54" w:right="339" w:bottom="1440" w:gutter="0" w:footer="0" w:header="0"/>
        </w:sectPr>
      </w:pPr>
    </w:p>
    <w:bookmarkStart w:id="8" w:name="page9"/>
    <w:bookmarkEnd w:id="8"/>
    <w:p>
      <w:pPr>
        <w:ind w:left="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207010</wp:posOffset>
            </wp:positionH>
            <wp:positionV relativeFrom="page">
              <wp:posOffset>164465</wp:posOffset>
            </wp:positionV>
            <wp:extent cx="71348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860" cy="17145"/>
                    </a:xfrm>
                    <a:prstGeom prst="rect">
                      <a:avLst/>
                    </a:prstGeom>
                    <a:noFill/>
                  </pic:spPr>
                </pic:pic>
              </a:graphicData>
            </a:graphic>
          </wp:anchor>
        </w:drawing>
        <w:t>Capital Bancorp, Inc. and Subsidiaries</w:t>
      </w:r>
    </w:p>
    <w:p>
      <w:pPr>
        <w:ind w:left="20"/>
        <w:spacing w:after="0" w:line="217" w:lineRule="auto"/>
        <w:rPr>
          <w:sz w:val="20"/>
          <w:szCs w:val="20"/>
          <w:color w:val="auto"/>
        </w:rPr>
      </w:pPr>
      <w:r>
        <w:rPr>
          <w:rFonts w:ascii="Arial" w:cs="Arial" w:eastAsia="Arial" w:hAnsi="Arial"/>
          <w:sz w:val="14"/>
          <w:szCs w:val="14"/>
          <w:b w:val="1"/>
          <w:bCs w:val="1"/>
          <w:color w:val="auto"/>
        </w:rPr>
        <w:t>Consolidated Statements of Cash Flows</w:t>
      </w:r>
    </w:p>
    <w:p>
      <w:pPr>
        <w:ind w:left="20"/>
        <w:spacing w:after="0"/>
        <w:rPr>
          <w:sz w:val="20"/>
          <w:szCs w:val="20"/>
          <w:color w:val="auto"/>
        </w:rPr>
      </w:pPr>
      <w:r>
        <w:rPr>
          <w:rFonts w:ascii="Arial" w:cs="Arial" w:eastAsia="Arial" w:hAnsi="Arial"/>
          <w:sz w:val="14"/>
          <w:szCs w:val="14"/>
          <w:b w:val="1"/>
          <w:bCs w:val="1"/>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wp:posOffset>
            </wp:positionV>
            <wp:extent cx="71348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8680"/>
        <w:spacing w:after="0"/>
        <w:rPr>
          <w:sz w:val="20"/>
          <w:szCs w:val="20"/>
          <w:color w:val="auto"/>
        </w:rPr>
      </w:pPr>
      <w:r>
        <w:rPr>
          <w:rFonts w:ascii="Arial" w:cs="Arial" w:eastAsia="Arial" w:hAnsi="Arial"/>
          <w:sz w:val="14"/>
          <w:szCs w:val="14"/>
          <w:b w:val="1"/>
          <w:bCs w:val="1"/>
          <w:color w:val="auto"/>
        </w:rPr>
        <w:t>Three Months Ended March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0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3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2021</w:t>
            </w:r>
          </w:p>
        </w:tc>
      </w:tr>
      <w:tr>
        <w:trPr>
          <w:trHeight w:val="192"/>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2"/>
        </w:trPr>
        <w:tc>
          <w:tcPr>
            <w:tcW w:w="8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increase (decrease) in:</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2"/>
        </w:trPr>
        <w:tc>
          <w:tcPr>
            <w:tcW w:w="8200" w:type="dxa"/>
            <w:vAlign w:val="bottom"/>
          </w:tcPr>
          <w:p>
            <w:pPr>
              <w:ind w:left="220"/>
              <w:spacing w:after="0"/>
              <w:rPr>
                <w:sz w:val="20"/>
                <w:szCs w:val="20"/>
                <w:color w:val="auto"/>
              </w:rPr>
            </w:pPr>
            <w:r>
              <w:rPr>
                <w:rFonts w:ascii="Arial" w:cs="Arial" w:eastAsia="Arial" w:hAnsi="Arial"/>
                <w:sz w:val="16"/>
                <w:szCs w:val="16"/>
                <w:color w:val="auto"/>
              </w:rPr>
              <w:t>Noninterest-bearing deposits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37,524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163,365</w:t>
            </w:r>
          </w:p>
        </w:tc>
      </w:tr>
      <w:tr>
        <w:trPr>
          <w:trHeight w:val="212"/>
        </w:trPr>
        <w:tc>
          <w:tcPr>
            <w:tcW w:w="8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Interest-bearing deposits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28,061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47,576</w:t>
            </w:r>
          </w:p>
        </w:tc>
      </w:tr>
      <w:tr>
        <w:trPr>
          <w:trHeight w:val="212"/>
        </w:trPr>
        <w:tc>
          <w:tcPr>
            <w:tcW w:w="8200" w:type="dxa"/>
            <w:vAlign w:val="bottom"/>
          </w:tcPr>
          <w:p>
            <w:pPr>
              <w:ind w:left="220"/>
              <w:spacing w:after="0"/>
              <w:rPr>
                <w:sz w:val="20"/>
                <w:szCs w:val="20"/>
                <w:color w:val="auto"/>
              </w:rPr>
            </w:pPr>
            <w:r>
              <w:rPr>
                <w:rFonts w:ascii="Arial" w:cs="Arial" w:eastAsia="Arial" w:hAnsi="Arial"/>
                <w:sz w:val="16"/>
                <w:szCs w:val="16"/>
                <w:color w:val="auto"/>
              </w:rPr>
              <w:t>Repayment of advances from Federal Reserve Bank</w:t>
            </w:r>
          </w:p>
        </w:tc>
        <w:tc>
          <w:tcPr>
            <w:tcW w:w="3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(1,954)</w:t>
            </w:r>
          </w:p>
        </w:tc>
      </w:tr>
      <w:tr>
        <w:trPr>
          <w:trHeight w:val="212"/>
        </w:trPr>
        <w:tc>
          <w:tcPr>
            <w:tcW w:w="8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Dividends paid</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(700)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82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Net proceeds from exercise of stock options</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244</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r>
      <w:tr>
        <w:trPr>
          <w:trHeight w:val="205"/>
        </w:trPr>
        <w:tc>
          <w:tcPr>
            <w:tcW w:w="82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Net cash provided by financing activities</w:t>
            </w: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65,129</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209,063</w:t>
            </w:r>
          </w:p>
        </w:tc>
      </w:tr>
      <w:tr>
        <w:trPr>
          <w:trHeight w:val="179"/>
        </w:trPr>
        <w:tc>
          <w:tcPr>
            <w:tcW w:w="8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12"/>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increase in cash and cash equivalents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130,391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171,112</w:t>
            </w:r>
          </w:p>
        </w:tc>
      </w:tr>
      <w:tr>
        <w:trPr>
          <w:trHeight w:val="212"/>
        </w:trPr>
        <w:tc>
          <w:tcPr>
            <w:tcW w:w="8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2"/>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 beginning of year</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183,395</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146,910</w:t>
            </w:r>
          </w:p>
        </w:tc>
      </w:tr>
      <w:tr>
        <w:trPr>
          <w:trHeight w:val="192"/>
        </w:trPr>
        <w:tc>
          <w:tcPr>
            <w:tcW w:w="8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7"/>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 end of period</w:t>
            </w:r>
          </w:p>
        </w:tc>
        <w:tc>
          <w:tcPr>
            <w:tcW w:w="34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313,786</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318,022</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58"/>
        </w:trPr>
        <w:tc>
          <w:tcPr>
            <w:tcW w:w="8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12"/>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Noncash activities: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185"/>
        </w:trPr>
        <w:tc>
          <w:tcPr>
            <w:tcW w:w="8200" w:type="dxa"/>
            <w:vAlign w:val="bottom"/>
          </w:tcPr>
          <w:p>
            <w:pPr>
              <w:ind w:left="140"/>
              <w:spacing w:after="0"/>
              <w:rPr>
                <w:sz w:val="20"/>
                <w:szCs w:val="20"/>
                <w:color w:val="auto"/>
              </w:rPr>
            </w:pPr>
            <w:r>
              <w:rPr>
                <w:rFonts w:ascii="Arial" w:cs="Arial" w:eastAsia="Arial" w:hAnsi="Arial"/>
                <w:sz w:val="16"/>
                <w:szCs w:val="16"/>
                <w:color w:val="auto"/>
              </w:rPr>
              <w:t>Change in unrealized losses on investments</w:t>
            </w:r>
          </w:p>
        </w:tc>
        <w:tc>
          <w:tcPr>
            <w:tcW w:w="34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(9,288)</w:t>
            </w:r>
          </w:p>
        </w:tc>
        <w:tc>
          <w:tcPr>
            <w:tcW w:w="120" w:type="dxa"/>
            <w:vAlign w:val="bottom"/>
          </w:tcPr>
          <w:p>
            <w:pPr>
              <w:spacing w:after="0"/>
              <w:rPr>
                <w:sz w:val="16"/>
                <w:szCs w:val="16"/>
                <w:color w:val="auto"/>
              </w:rPr>
            </w:pPr>
          </w:p>
        </w:tc>
        <w:tc>
          <w:tcPr>
            <w:tcW w:w="34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(2,298)</w:t>
            </w: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78"/>
        </w:trPr>
        <w:tc>
          <w:tcPr>
            <w:tcW w:w="8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12"/>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Cash paid during the period for:</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7"/>
        </w:trPr>
        <w:tc>
          <w:tcPr>
            <w:tcW w:w="8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Taxes</w:t>
            </w:r>
          </w:p>
        </w:tc>
        <w:tc>
          <w:tcPr>
            <w:tcW w:w="34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71</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85"/>
        </w:trPr>
        <w:tc>
          <w:tcPr>
            <w:tcW w:w="8200" w:type="dxa"/>
            <w:vAlign w:val="bottom"/>
          </w:tcPr>
          <w:p>
            <w:pPr>
              <w:ind w:left="140"/>
              <w:spacing w:after="0"/>
              <w:rPr>
                <w:sz w:val="20"/>
                <w:szCs w:val="20"/>
                <w:color w:val="auto"/>
              </w:rPr>
            </w:pPr>
            <w:r>
              <w:rPr>
                <w:rFonts w:ascii="Arial" w:cs="Arial" w:eastAsia="Arial" w:hAnsi="Arial"/>
                <w:sz w:val="16"/>
                <w:szCs w:val="16"/>
                <w:color w:val="auto"/>
              </w:rPr>
              <w:t>Interest</w:t>
            </w:r>
          </w:p>
        </w:tc>
        <w:tc>
          <w:tcPr>
            <w:tcW w:w="34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1,064</w:t>
            </w:r>
          </w:p>
        </w:tc>
        <w:tc>
          <w:tcPr>
            <w:tcW w:w="120" w:type="dxa"/>
            <w:vAlign w:val="bottom"/>
          </w:tcPr>
          <w:p>
            <w:pPr>
              <w:spacing w:after="0"/>
              <w:rPr>
                <w:sz w:val="16"/>
                <w:szCs w:val="16"/>
                <w:color w:val="auto"/>
              </w:rPr>
            </w:pPr>
          </w:p>
        </w:tc>
        <w:tc>
          <w:tcPr>
            <w:tcW w:w="34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2,118</w:t>
            </w:r>
          </w:p>
        </w:tc>
      </w:tr>
      <w:tr>
        <w:trPr>
          <w:trHeight w:val="20"/>
        </w:trPr>
        <w:tc>
          <w:tcPr>
            <w:tcW w:w="8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17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253365</wp:posOffset>
            </wp:positionV>
            <wp:extent cx="716026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54" w:right="339" w:bottom="1440" w:gutter="0" w:footer="0" w:header="0"/>
        </w:sectPr>
      </w:pPr>
    </w:p>
    <w:bookmarkStart w:id="9" w:name="page10"/>
    <w:bookmarkEnd w:id="9"/>
    <w:p>
      <w:pPr>
        <w:ind w:left="66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610870</wp:posOffset>
            </wp:positionH>
            <wp:positionV relativeFrom="page">
              <wp:posOffset>391795</wp:posOffset>
            </wp:positionV>
            <wp:extent cx="653732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537325" cy="17145"/>
                    </a:xfrm>
                    <a:prstGeom prst="rect">
                      <a:avLst/>
                    </a:prstGeom>
                    <a:noFill/>
                  </pic:spPr>
                </pic:pic>
              </a:graphicData>
            </a:graphic>
          </wp:anchor>
        </w:drawing>
        <w:t>Capital Bancorp, Inc. and Subsidiaries</w:t>
      </w:r>
    </w:p>
    <w:p>
      <w:pPr>
        <w:ind w:left="66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6350</wp:posOffset>
            </wp:positionV>
            <wp:extent cx="653732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537325" cy="17145"/>
                    </a:xfrm>
                    <a:prstGeom prst="rect">
                      <a:avLst/>
                    </a:prstGeom>
                    <a:noFill/>
                  </pic:spPr>
                </pic:pic>
              </a:graphicData>
            </a:graphic>
          </wp:anchor>
        </w:drawing>
      </w:r>
    </w:p>
    <w:p>
      <w:pPr>
        <w:spacing w:after="0" w:line="26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 1 - Nature of Business and Basis of 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Nature of operations:</w:t>
      </w:r>
    </w:p>
    <w:p>
      <w:pPr>
        <w:spacing w:after="0" w:line="217" w:lineRule="exact"/>
        <w:rPr>
          <w:sz w:val="20"/>
          <w:szCs w:val="20"/>
          <w:color w:val="auto"/>
        </w:rPr>
      </w:pPr>
    </w:p>
    <w:p>
      <w:pPr>
        <w:jc w:val="both"/>
        <w:ind w:firstLine="318"/>
        <w:spacing w:after="0"/>
        <w:rPr>
          <w:sz w:val="20"/>
          <w:szCs w:val="20"/>
          <w:color w:val="auto"/>
        </w:rPr>
      </w:pPr>
      <w:r>
        <w:rPr>
          <w:rFonts w:ascii="Arial" w:cs="Arial" w:eastAsia="Arial" w:hAnsi="Arial"/>
          <w:sz w:val="18"/>
          <w:szCs w:val="18"/>
          <w:color w:val="auto"/>
        </w:rPr>
        <w:t>Capital Bancorp, Inc. is a Maryland corporation and the bank holding company (the “Company”) for Capital Bank, N.A. (the “Bank”). The Company's primary operations are conducted by the Bank, which operates branches in Rockville and Columbia, Maryland; Reston, Virginia; and the District of Columbia. The Bank is principally engaged in the business of investing in commercial, real estate, and credit card loans and attracting deposits. The Company originates residential mortgages for sale in the secondary market through Capital Bank Home Loans (“CBHL”), the Bank’s residential mortgage banking arm, and issues credit cards through OpenSky</w:t>
      </w:r>
      <w:r>
        <w:rPr>
          <w:rFonts w:ascii="Arial" w:cs="Arial" w:eastAsia="Arial" w:hAnsi="Arial"/>
          <w:sz w:val="22"/>
          <w:szCs w:val="22"/>
          <w:color w:val="auto"/>
          <w:vertAlign w:val="superscript"/>
        </w:rPr>
        <w:t>®</w:t>
      </w:r>
      <w:r>
        <w:rPr>
          <w:rFonts w:ascii="Arial" w:cs="Arial" w:eastAsia="Arial" w:hAnsi="Arial"/>
          <w:sz w:val="18"/>
          <w:szCs w:val="18"/>
          <w:color w:val="auto"/>
        </w:rPr>
        <w:t>, a secured, digitally-driven nationwide credit card platform.</w:t>
      </w:r>
    </w:p>
    <w:p>
      <w:pPr>
        <w:spacing w:after="0" w:line="196"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The Company formed Church Street Capital, LLC (“Church Street Capital”) in 2014 to provide short-term secured real estate financing to Washington, D.C. area investors and developers that may not meet all Bank credit criteria. At March 31, 2022, Church Street Capital had loans totaling $7.9 million.</w:t>
      </w:r>
    </w:p>
    <w:p>
      <w:pPr>
        <w:spacing w:after="0" w:line="175"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In addition, the Company owns all of the stock of Capital Bancorp (MD) Statutory Trust I (the “Trust”). The Trust is a special purpose non-consolidated entity organized for the sole purpose of issuing trust preferred securities.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Basis of presentation:</w:t>
      </w:r>
    </w:p>
    <w:p>
      <w:pPr>
        <w:spacing w:after="0" w:line="217"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accompanying unaudited interim consolidated financial statements have been prepared in accordance with accounting principles generally accepted in the United States of America (“GAAP”) for interim financial information and with rules and regulations of the Securities and Exchange Commission (“SEC”) and include the activity of the Company and its wholly-owned subsidiaries, the Bank and Church Street Capital. The statements do not include all of the information and footnotes required by GAAP for complete financials statements. All adjustments have been made which, in the opinion of management, are necessary for a fair presentation of the results for the interim periods presented. Such adjustments are all of a normal and recurring nature. All significant inter-company accounts and transactions have been eliminated in consolidation. Certain prior period amounts have been reclassified to conform to the current period presentation. The results of operations for the three months ended March 31, 2022 are not necessarily indicative of the results that may be expected for the full year. These consolidated financial statements should be read in conjunction with the Company’s audited financial statements and the notes thereto as of December 31, 2021, included in the Company’s Annual Report on Form 10-K for the fiscal year ended December 31, 2021.</w:t>
      </w:r>
    </w:p>
    <w:p>
      <w:pPr>
        <w:spacing w:after="0" w:line="185"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The Company reports its activities as four business segments. In determining the appropriateness of segment definition, the Company considers components of the business about which financial information is available and regularly evaluated relative to resource allocation and performance assessment.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Risks and Uncertainties</w:t>
      </w:r>
    </w:p>
    <w:p>
      <w:pPr>
        <w:spacing w:after="0" w:line="217"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8"/>
          <w:szCs w:val="18"/>
          <w:color w:val="auto"/>
        </w:rPr>
        <w:t>The Company has been, and may continue to be, impacted by the coronavirus disease 2019 pandemic (“COVID-19”). In recent months, COVID-19 vaccination rates have begun to stabilize and restrictive measures have been eased in certain areas. However, uncertainty remains about the duration of the pandemic and the timing and strength of the global economy’s recovery. To address the economic impact of the pandemic in the U.S., multiple stimulus packages have been enacted to provide economic relief to individuals and businesses, including the Coronavirus Aid, Relief and Economic Security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262255</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617" w:right="339" w:bottom="1440" w:gutter="0" w:footer="0" w:header="0"/>
        </w:sectPr>
      </w:pPr>
    </w:p>
    <w:bookmarkStart w:id="10" w:name="page11"/>
    <w:bookmarkEnd w:id="10"/>
    <w:p>
      <w:pPr>
        <w:ind w:left="50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509905</wp:posOffset>
            </wp:positionH>
            <wp:positionV relativeFrom="page">
              <wp:posOffset>391795</wp:posOffset>
            </wp:positionV>
            <wp:extent cx="653732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37325" cy="17145"/>
                    </a:xfrm>
                    <a:prstGeom prst="rect">
                      <a:avLst/>
                    </a:prstGeom>
                    <a:noFill/>
                  </pic:spPr>
                </pic:pic>
              </a:graphicData>
            </a:graphic>
          </wp:anchor>
        </w:drawing>
        <w:t>Capital Bancorp, Inc. and Subsidiaries</w:t>
      </w:r>
    </w:p>
    <w:p>
      <w:pPr>
        <w:spacing w:after="0" w:line="10" w:lineRule="exact"/>
        <w:rPr>
          <w:sz w:val="20"/>
          <w:szCs w:val="20"/>
          <w:color w:val="auto"/>
        </w:rPr>
      </w:pPr>
    </w:p>
    <w:p>
      <w:pPr>
        <w:ind w:left="50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443865</wp:posOffset>
            </wp:positionV>
            <wp:extent cx="653732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5373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Note 1 - Nature of Business and Basis of Presentation (continued)</w:t>
      </w:r>
    </w:p>
    <w:p>
      <w:pPr>
        <w:spacing w:after="0" w:line="312"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(“CARES Act”), which established the Small Business Administration Paycheck Protection Program (“SBA-PPP”) and the American Rescue Plan Act of 2021 which was enacted in March 2021.</w:t>
      </w:r>
    </w:p>
    <w:p>
      <w:pPr>
        <w:spacing w:after="0" w:line="163"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As the pandemic evolves, the Company continues to evaluate processes in place to execute our business continuity plan and promote the health and safety of our employees.</w:t>
      </w:r>
    </w:p>
    <w:p>
      <w:pPr>
        <w:spacing w:after="0" w:line="163"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8"/>
          <w:szCs w:val="18"/>
          <w:color w:val="auto"/>
        </w:rPr>
        <w:t>Although overall economic activity regressed slightly in the U.S. during the first quarter of 2022, household spending remained strong and the unemployment rate declined substantially. The future direct and indirect impact of the pandemic on the Company’s businesses, results of operations and financial condition continues to remain uncertain. Should current economic conditions deteriorate or if the pandemic worsens, including as the result of the spread of the more easily communicable variants of COVID-19, the macroeconomic environment could have an adverse effect on our businesses, results of operations and financial condition.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Significant Accounting Policies:</w:t>
      </w:r>
    </w:p>
    <w:p>
      <w:pPr>
        <w:spacing w:after="0" w:line="217"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8"/>
          <w:szCs w:val="18"/>
          <w:color w:val="auto"/>
        </w:rPr>
        <w:t>The preparation of consolidated financial statements in accordance with GAAP requires estimates and judgments that affect the reported amounts of assets, liabilities, revenues and expenses and related disclosures of contingent assets and liabilities. The primary reference point for the estimates is historical experience and assumptions believed to be reasonable regarding the carrying value of certain assets and liabilities that are not readily available from other sources. Estimates are evaluated on an ongoing basis. Actual results may materially differ from these estimates under different assumptions or conditions.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w:t>
      </w:r>
    </w:p>
    <w:p>
      <w:pPr>
        <w:spacing w:after="0" w:line="217"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For purposes of reporting cash flows, cash and cash equivalents include cash on hand, amounts due from financial institutions, interest-bearing deposits with financial institutions and federal funds sold. Generally, federal funds are sold for one-day periods.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Investment securities</w:t>
      </w:r>
    </w:p>
    <w:p>
      <w:pPr>
        <w:spacing w:after="0" w:line="217"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8"/>
          <w:szCs w:val="18"/>
          <w:color w:val="auto"/>
        </w:rPr>
        <w:t>Investment securities are classified as available for sale and carried at fair value with unrealized gains and losses included in stockholders’ equity on an after-tax basis. Premiums and discounts on investment securities are amortized or accreted using the interest method. Changes in the fair value of debt securities available for sale are included in stockholders’ equity as unrealized gains and losses, net of the related tax effect. Unrealized losses are periodically reviewed to determine whether the loss represents an other than temporary impairment. Any unrealized losses judged to be other than a temporary impairment are charged to income.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Marketable Equity Securities</w:t>
      </w:r>
    </w:p>
    <w:p>
      <w:pPr>
        <w:spacing w:after="0" w:line="217"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Marketable equity securities are carried at fair value with realized gains and losses included in earnings. Premiums and discounts on investment securities are amortized or accreted using the interest method. Changes in the fair value of equity securities are also included in earnings as gain or loss on marketable equity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Loans held for sale</w:t>
      </w:r>
    </w:p>
    <w:p>
      <w:pPr>
        <w:spacing w:after="0" w:line="217"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Mortgage loans originated and intended for sale are recorded at fair value, determined individually, as of the balance sheet date. Fair value is determined based on outstanding investor commitments, or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262255</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11" w:name="page12"/>
    <w:bookmarkEnd w:id="11"/>
    <w:p>
      <w:pPr>
        <w:ind w:left="50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509905</wp:posOffset>
            </wp:positionH>
            <wp:positionV relativeFrom="page">
              <wp:posOffset>391795</wp:posOffset>
            </wp:positionV>
            <wp:extent cx="653732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537325" cy="17145"/>
                    </a:xfrm>
                    <a:prstGeom prst="rect">
                      <a:avLst/>
                    </a:prstGeom>
                    <a:noFill/>
                  </pic:spPr>
                </pic:pic>
              </a:graphicData>
            </a:graphic>
          </wp:anchor>
        </w:drawing>
        <w:t>Capital Bancorp, Inc. and Subsidiaries</w:t>
      </w:r>
    </w:p>
    <w:p>
      <w:pPr>
        <w:spacing w:after="0" w:line="10" w:lineRule="exact"/>
        <w:rPr>
          <w:sz w:val="20"/>
          <w:szCs w:val="20"/>
          <w:color w:val="auto"/>
        </w:rPr>
      </w:pPr>
    </w:p>
    <w:p>
      <w:pPr>
        <w:ind w:left="50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443865</wp:posOffset>
            </wp:positionV>
            <wp:extent cx="653732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5373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Note 1 - Nature of Business and Basis of Presentation (continued)</w:t>
      </w:r>
    </w:p>
    <w:p>
      <w:pPr>
        <w:spacing w:after="0" w:line="3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absence of such commitments, based on current investor yield requirements. Gains and losses on loan sales are determined by the specific-identification method. The Company’s current practice is to sell residential mortgage loans on a servicing released basis, and, therefore, it has no servicing rights recorded for the value of such servicing. Interest on loans held for sale is credited to income based on the principal amounts outstanding.</w:t>
      </w:r>
    </w:p>
    <w:p>
      <w:pPr>
        <w:spacing w:after="0" w:line="180" w:lineRule="exact"/>
        <w:rPr>
          <w:sz w:val="20"/>
          <w:szCs w:val="20"/>
          <w:color w:val="auto"/>
        </w:rPr>
      </w:pPr>
    </w:p>
    <w:p>
      <w:pPr>
        <w:jc w:val="both"/>
        <w:ind w:firstLine="318"/>
        <w:spacing w:after="0" w:line="216" w:lineRule="exact"/>
        <w:rPr>
          <w:sz w:val="20"/>
          <w:szCs w:val="20"/>
          <w:color w:val="auto"/>
        </w:rPr>
      </w:pPr>
      <w:r>
        <w:rPr>
          <w:rFonts w:ascii="Arial" w:cs="Arial" w:eastAsia="Arial" w:hAnsi="Arial"/>
          <w:sz w:val="18"/>
          <w:szCs w:val="18"/>
          <w:color w:val="auto"/>
        </w:rPr>
        <w:t>Upon sale and delivery, loans are legally isolated from the Company and the Company has no ability to restrict or constrain the ability of third</w:t>
      </w:r>
      <w:r>
        <w:rPr>
          <w:rFonts w:ascii="MS PGothic" w:cs="MS PGothic" w:eastAsia="MS PGothic" w:hAnsi="MS PGothic"/>
          <w:sz w:val="18"/>
          <w:szCs w:val="18"/>
          <w:color w:val="auto"/>
        </w:rPr>
        <w:t>‑</w:t>
      </w:r>
      <w:r>
        <w:rPr>
          <w:rFonts w:ascii="Arial" w:cs="Arial" w:eastAsia="Arial" w:hAnsi="Arial"/>
          <w:sz w:val="18"/>
          <w:szCs w:val="18"/>
          <w:color w:val="auto"/>
        </w:rPr>
        <w:t>party investors to pledge or exchange the mortgage loans. The Company does not have the entitlement or ability to repurchase the mortgage loans or unilaterally cause third</w:t>
      </w:r>
      <w:r>
        <w:rPr>
          <w:rFonts w:ascii="MS PGothic" w:cs="MS PGothic" w:eastAsia="MS PGothic" w:hAnsi="MS PGothic"/>
          <w:sz w:val="18"/>
          <w:szCs w:val="18"/>
          <w:color w:val="auto"/>
        </w:rPr>
        <w:t>‑</w:t>
      </w:r>
      <w:r>
        <w:rPr>
          <w:rFonts w:ascii="Arial" w:cs="Arial" w:eastAsia="Arial" w:hAnsi="Arial"/>
          <w:sz w:val="18"/>
          <w:szCs w:val="18"/>
          <w:color w:val="auto"/>
        </w:rPr>
        <w:t>party investors to put the mortgage loans back to the Company. Unrealized and realized gains on loan sales are determined using the specific-identification method and are recognized through mortgage banking activity in the Consolidated Statements of Income.</w:t>
      </w:r>
    </w:p>
    <w:p>
      <w:pPr>
        <w:spacing w:after="0" w:line="194"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The Company elects to measure loans held for sale at fair value to better align reported results with the underlying economic changes in value of the loans on the Company’s balance sheet.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Small Business Administration Paycheck Protection Program</w:t>
      </w:r>
    </w:p>
    <w:p>
      <w:pPr>
        <w:spacing w:after="0" w:line="217"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SBA-PPP is one of the centerpieces of the CARES Act which was passed on March 27, 2020 in response to the outbreak of COVID-19 and was supplemented with subsequent legislation. Overseen by the United States (“U.S.”) Treasury Department, the SBA-PPP offered cash-flow assistance to nonprofit and small business employers through guaranteed loans. Borrowers are eligible for forgiveness of principal and accrued interest on SBA-PPP loans to the extent that the proceeds are used to cover eligible payroll costs, interest costs, rent, and utility costs over a period between eight and twenty four weeks after the loan is made as long as the borrower retains its employees and their compensation levels. The CARES Act authorized the SBA to fully guarantee these loans.</w:t>
      </w:r>
    </w:p>
    <w:p>
      <w:pPr>
        <w:spacing w:after="0" w:line="185"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On December 27, 2020, the Consolidated Appropriations Act, 2021 (“CAA”) was signed into law. The CAA provides several amendments to the SBA-PPP, including additional funding for the first and second draws of PPP loans up to March 13, 2021. On March 30, 2021, the PPP Extension Act of 2021 was signed into law, which extended the program to May 31, 2021.</w:t>
      </w:r>
    </w:p>
    <w:p>
      <w:pPr>
        <w:spacing w:after="0" w:line="175"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8"/>
          <w:szCs w:val="18"/>
          <w:color w:val="auto"/>
        </w:rPr>
        <w:t>Due to the unique nature of these provisions, SBA-PPP loans have been disclosed as a separate balance sheet item. Origination fees received by the SBA are capitalized into the carrying amount of the loans. The deferred fee income, net of origination costs, is recognized over the life of the loan as an adjustment to yield using the effective interest method. SBA-PPP loans receivable as of March 31, 2022 totaled $52.4 million with $1.3 million of net unearned fees. SBA-PPP loans generated interest income of $2.1 million for the three months ended March 31, 2022 and $2.5 million for the three months ended March 31, 2021.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Loans and the Allowance for Loan Losses</w:t>
      </w:r>
    </w:p>
    <w:p>
      <w:pPr>
        <w:spacing w:after="0" w:line="217"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Loans are stated at the principal amount outstanding, adjusted for deferred origination fees and costs, discounts on loans acquired, and the allowance for loan losses. Interest is accrued based on the loan principal balances and stated interest rates. Origination fees and costs are recognized as an adjustment to the related loan yield using approximate interest methods. The Company discontinues the accrual of interest when any portion of the principal and/or interest is 90 days past due, or when it is probable that not all principal and interest payments will be collected, and collateral is insufficient to discharge the debt in full. Generally, interest payments on nonaccrual loans are recorded as a reduction of the principal balance.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262255</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12" w:name="page13"/>
    <w:bookmarkEnd w:id="12"/>
    <w:p>
      <w:pPr>
        <w:ind w:left="50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509905</wp:posOffset>
            </wp:positionH>
            <wp:positionV relativeFrom="page">
              <wp:posOffset>391795</wp:posOffset>
            </wp:positionV>
            <wp:extent cx="6537325" cy="16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537325" cy="16510"/>
                    </a:xfrm>
                    <a:prstGeom prst="rect">
                      <a:avLst/>
                    </a:prstGeom>
                    <a:noFill/>
                  </pic:spPr>
                </pic:pic>
              </a:graphicData>
            </a:graphic>
          </wp:anchor>
        </w:drawing>
        <w:t>Capital Bancorp, Inc. and Subsidiaries</w:t>
      </w:r>
    </w:p>
    <w:p>
      <w:pPr>
        <w:spacing w:after="0" w:line="10" w:lineRule="exact"/>
        <w:rPr>
          <w:sz w:val="20"/>
          <w:szCs w:val="20"/>
          <w:color w:val="auto"/>
        </w:rPr>
      </w:pPr>
    </w:p>
    <w:p>
      <w:pPr>
        <w:ind w:left="50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443865</wp:posOffset>
            </wp:positionV>
            <wp:extent cx="653732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5373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Note 1 - Nature of Business and Basis of Presentation (continued)</w:t>
      </w:r>
    </w:p>
    <w:p>
      <w:pPr>
        <w:spacing w:after="0" w:line="312"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Loans are considered impaired when, based on current information, management believes the Company will not collect all principal and interest payments according to contractual terms. Generally, loans are reviewed for impairment when the risk grade for a loan is downgraded to a classified asset category. The loans are evaluated for appropriate classification, accrual, impairment, and troubled debt restructure (“TDR”) status. If collection of principal is evaluated as doubtful, all payments are applied to principal. A modification of a loan is considered a TDR when a borrower is experiencing financial difficulty and the modification constitutes a concession; however, the CARES Act provided financial institutions optional temporary relief from TDR and impairment accounting for certain loan modifications related to the COVID-19 pandemic. Under Section 4013 of the CARES Act, banks may suspend (1) the requirement under GAAP for certain modifications that would otherwise be categorized as a TDR and (2) any determination that such loan modifications would be considered a TDR, including the related impairment for accounting purposes. To be eligible, each loan modification must be (1) related to the COVID-19 event; (2) executed on a loan that was not more than 30 days past due as of December 31, 2019; and (3) executed between March 1, 2020, and the earlier of (A) 60 days after the date of termination of the National Emergency or (B) December 31, 2020. The December 31, 2020 deadline was subsequently extended to January 1, 2022, by the CAA.</w:t>
      </w:r>
    </w:p>
    <w:p>
      <w:pPr>
        <w:spacing w:after="0" w:line="18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All other short-term modifications made on a good faith basis in response to COVID-19 to borrowers who were current prior to any relief, are not TDRs. This includes short-term modifications such as payment deferrals, fee waivers, extensions of repayment terms, and other delays in payment that are insignificant. Borrowers considered current are those that are less than 30 days past due on their contractual payments at the time a modification program is implemented.</w:t>
      </w:r>
    </w:p>
    <w:p>
      <w:pPr>
        <w:spacing w:after="0" w:line="180"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Loans are generally charged-off in part or in full when management determines the loan to be uncollectible. Factors for charge-off that may be considered include: repayments deemed to be projected beyond reasonable time frames, client bankruptcy and lack of assets, and/or collateral deficiencies.</w:t>
      </w:r>
    </w:p>
    <w:p>
      <w:pPr>
        <w:spacing w:after="0" w:line="175"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allowance for loan losses is estimated to adequately provide for probable future losses on existing loans. The allowance consists of specific and general components. For loans that are classified as impaired, an allowance is established when the collateral value, if the loan is collateral dependent, or the discounted cash flows of the impaired loan is lower than the carrying value of that loan. The general component covers pools of nonclassified loans and is based on historical loss experience adjusted with qualitative factors such as: trends in volume and terms of loans; levels of, and trends in, delinquencies and non-accruals; effects of any changes in lending policies, experience, ability and depth of management; national and local economic trends and conditions (with a specific evaluation of COVID-19 impact); commitments and concentrations of credit; changes in the quality of the Company’s loan review system; and the volume of loans with identified incomplete financial documentation. Actual loan performance may differ materially from those estimates. A loss is recognized as a charge to the allowance when management believes that collection of the loan is unlikely. Collections of loans previously charged off are added to the allowance at the time of recovery.</w:t>
      </w:r>
    </w:p>
    <w:p>
      <w:pPr>
        <w:spacing w:after="0" w:line="185"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Company determines the allowance for loan losses based on the accumulation of various components that are calculated independently in accordance with Financial Accounting Standards Board (“FASB”) Accounting Standards Codification (“ASC”) 450 for pools of loans, and ASC 310 for TDRs and for individually evaluated loans. The process for determining an appropriate allowance for loan losses is based on a comprehensive and consistently applied analysis of the loan portfolio. The analysis considers all significant factors that affect the collectibility of the portfolio and supports the credit losses estimated by this process. It is important to recognize that the related process, methodology, and underlying assumptions require a substantial degree of judgment. Additional disclosure on the allowance for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262255</wp:posOffset>
            </wp:positionV>
            <wp:extent cx="716026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13" w:name="page14"/>
    <w:bookmarkEnd w:id="13"/>
    <w:p>
      <w:pPr>
        <w:ind w:left="50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509905</wp:posOffset>
            </wp:positionH>
            <wp:positionV relativeFrom="page">
              <wp:posOffset>391795</wp:posOffset>
            </wp:positionV>
            <wp:extent cx="6537325" cy="165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537325" cy="16510"/>
                    </a:xfrm>
                    <a:prstGeom prst="rect">
                      <a:avLst/>
                    </a:prstGeom>
                    <a:noFill/>
                  </pic:spPr>
                </pic:pic>
              </a:graphicData>
            </a:graphic>
          </wp:anchor>
        </w:drawing>
        <w:t>Capital Bancorp, Inc. and Subsidiaries</w:t>
      </w:r>
    </w:p>
    <w:p>
      <w:pPr>
        <w:spacing w:after="0" w:line="10" w:lineRule="exact"/>
        <w:rPr>
          <w:sz w:val="20"/>
          <w:szCs w:val="20"/>
          <w:color w:val="auto"/>
        </w:rPr>
      </w:pPr>
    </w:p>
    <w:p>
      <w:pPr>
        <w:ind w:left="50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443865</wp:posOffset>
            </wp:positionV>
            <wp:extent cx="653732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5373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Note 1 - Nature of Business and Basis of Presentation (continued)</w:t>
      </w:r>
    </w:p>
    <w:p>
      <w:pPr>
        <w:spacing w:after="0" w:line="312"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 xml:space="preserve">losses, qualitative factors, and the potential COVID-19 impact can be found in Part II, Item 1A - Risk Factors and </w:t>
      </w:r>
      <w:r>
        <w:rPr>
          <w:rFonts w:ascii="Arial" w:cs="Arial" w:eastAsia="Arial" w:hAnsi="Arial"/>
          <w:sz w:val="18"/>
          <w:szCs w:val="18"/>
          <w:i w:val="1"/>
          <w:iCs w:val="1"/>
          <w:color w:val="auto"/>
        </w:rPr>
        <w:t>Note 5 - Portfolio Loans</w:t>
      </w:r>
      <w:r>
        <w:rPr>
          <w:rFonts w:ascii="Arial" w:cs="Arial" w:eastAsia="Arial" w:hAnsi="Arial"/>
          <w:sz w:val="18"/>
          <w:szCs w:val="18"/>
          <w:color w:val="auto"/>
        </w:rPr>
        <w:t xml:space="preserve"> </w:t>
      </w:r>
      <w:r>
        <w:rPr>
          <w:rFonts w:ascii="Arial" w:cs="Arial" w:eastAsia="Arial" w:hAnsi="Arial"/>
          <w:sz w:val="18"/>
          <w:szCs w:val="18"/>
          <w:i w:val="1"/>
          <w:iCs w:val="1"/>
          <w:color w:val="auto"/>
        </w:rPr>
        <w:t>Receivable</w:t>
      </w:r>
      <w:r>
        <w:rPr>
          <w:rFonts w:ascii="Arial" w:cs="Arial" w:eastAsia="Arial" w:hAnsi="Arial"/>
          <w:sz w:val="18"/>
          <w:szCs w:val="18"/>
          <w:color w:val="auto"/>
        </w:rPr>
        <w:t>.</w:t>
      </w:r>
    </w:p>
    <w:p>
      <w:pPr>
        <w:spacing w:after="0" w:line="163"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The allowance for loan losses for SBA-PPP loans were separately evaluated given the explicit government guarantee. This analysis, which incorporated historical experience with similar SBA guarantees and underwriting, concluded that the likelihood of loss was remote and therefore no allowance for loan losses was assigned to these loans.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Premises and equipment</w:t>
      </w:r>
    </w:p>
    <w:p>
      <w:pPr>
        <w:spacing w:after="0" w:line="217" w:lineRule="exact"/>
        <w:rPr>
          <w:sz w:val="20"/>
          <w:szCs w:val="20"/>
          <w:color w:val="auto"/>
        </w:rPr>
      </w:pPr>
    </w:p>
    <w:p>
      <w:pPr>
        <w:jc w:val="both"/>
        <w:ind w:firstLine="318"/>
        <w:spacing w:after="0" w:line="269" w:lineRule="auto"/>
        <w:rPr>
          <w:sz w:val="20"/>
          <w:szCs w:val="20"/>
          <w:color w:val="auto"/>
        </w:rPr>
      </w:pPr>
      <w:r>
        <w:rPr>
          <w:rFonts w:ascii="Arial" w:cs="Arial" w:eastAsia="Arial" w:hAnsi="Arial"/>
          <w:sz w:val="17"/>
          <w:szCs w:val="17"/>
          <w:color w:val="auto"/>
        </w:rPr>
        <w:t>Premises and equipment are stated at cost less accumulated depreciation and amortization. Depreciation and amortization are computed using the straight-line method over the estimated useful lives of the related property generally over two to seven years. Leasehold improvements are amortized over the estimated term of the respective leases, which may include renewal options where management has the positive intent to exercise such options, or the estimated useful lives of the improvements, whichever is less. The costs of major renewals and improvements are capitalized with the corresponding costs associated with amortization or depreciation included as a component of occupancy and equipment expense. Expenditures for maintenance, repairs, and minor replacements are charged to noninterest expenses as incurred.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Leases</w:t>
      </w:r>
    </w:p>
    <w:p>
      <w:pPr>
        <w:spacing w:after="0" w:line="21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 xml:space="preserve">The Company accounts for leases according to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and applies a right-of-use (“ROU”) model that requires a lessee to record, for all leases with a lease term of more than 12 months, an asset representing its right to use the underlying asset and a liability to make lease payments. The Company elected to apply the package of practical expedients permitting entities to not reassess: 1) whether any expired or existing contracts are or contain leases; 2) the lease classification for any expired or existing leases; and 3) initial direct costs for any existing leases. Additionally, as provided by ASU 2016-02, the Company elected not to apply the recognition requirements of ASC 842 to short-term leases, defined as leases with a term of 12 months or less, and to recognize the lease payments in net income on short-term leases on a straight-line basis over the lease term.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Derivative Financial Instruments</w:t>
      </w:r>
    </w:p>
    <w:p>
      <w:pPr>
        <w:spacing w:after="0" w:line="217"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Company enters into commitments to fund residential mortgage loans (interest rate locks) with the intention of selling them in the secondary market. The Company also enters into forward sales agreements for certain funded loans and loan commitments. The Company records unfunded commitments intended for loans held for sale and forward sales agreements at fair value with changes in fair value recorded as a component of mortgage banking revenue. Loans originated and intended for sale in the secondary market are carried at fair value. For pipeline loans which are not pre-sold to an investor, the Company endeavors to manage the interest rate risk on rate lock commitments by entering into forward sale contracts, whereby the Company obtains the right to deliver securities to investors in the future at a specified price. Such contracts are accounted for as derivatives and are recorded at fair value as derivative assets or liabilities, with changes in fair value recorded in mortgage banking revenue.</w:t>
      </w:r>
    </w:p>
    <w:p>
      <w:pPr>
        <w:spacing w:after="0" w:line="19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 xml:space="preserve">The Company accounts for derivative instruments and hedging activities according to guidelines established in ASC 815-10, </w:t>
      </w:r>
      <w:r>
        <w:rPr>
          <w:rFonts w:ascii="Arial" w:cs="Arial" w:eastAsia="Arial" w:hAnsi="Arial"/>
          <w:sz w:val="18"/>
          <w:szCs w:val="18"/>
          <w:i w:val="1"/>
          <w:iCs w:val="1"/>
          <w:color w:val="auto"/>
        </w:rPr>
        <w:t>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Derivative Instruments and Hedging Activities</w:t>
      </w:r>
      <w:r>
        <w:rPr>
          <w:rFonts w:ascii="Arial" w:cs="Arial" w:eastAsia="Arial" w:hAnsi="Arial"/>
          <w:sz w:val="18"/>
          <w:szCs w:val="18"/>
          <w:color w:val="auto"/>
        </w:rPr>
        <w:t>, as amended. The Company recognizes all derivatives as either assets or liabilities on the</w:t>
      </w:r>
      <w:r>
        <w:rPr>
          <w:rFonts w:ascii="Arial" w:cs="Arial" w:eastAsia="Arial" w:hAnsi="Arial"/>
          <w:sz w:val="18"/>
          <w:szCs w:val="18"/>
          <w:i w:val="1"/>
          <w:iCs w:val="1"/>
          <w:color w:val="auto"/>
        </w:rPr>
        <w:t xml:space="preserve"> </w:t>
      </w:r>
      <w:r>
        <w:rPr>
          <w:rFonts w:ascii="Arial" w:cs="Arial" w:eastAsia="Arial" w:hAnsi="Arial"/>
          <w:sz w:val="18"/>
          <w:szCs w:val="18"/>
          <w:color w:val="auto"/>
        </w:rPr>
        <w:t>balance sheet and measures those instruments at fair value. Changes in fair value of derivatives designated and accounted for as cash flow hedges, to the extent they are effective as hedges, are recorded in other comprehensive income,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262255</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14" w:name="page15"/>
    <w:bookmarkEnd w:id="14"/>
    <w:p>
      <w:pPr>
        <w:ind w:left="50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509905</wp:posOffset>
            </wp:positionH>
            <wp:positionV relativeFrom="page">
              <wp:posOffset>391795</wp:posOffset>
            </wp:positionV>
            <wp:extent cx="653732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537325" cy="17145"/>
                    </a:xfrm>
                    <a:prstGeom prst="rect">
                      <a:avLst/>
                    </a:prstGeom>
                    <a:noFill/>
                  </pic:spPr>
                </pic:pic>
              </a:graphicData>
            </a:graphic>
          </wp:anchor>
        </w:drawing>
        <w:t>Capital Bancorp, Inc. and Subsidiaries</w:t>
      </w:r>
    </w:p>
    <w:p>
      <w:pPr>
        <w:spacing w:after="0" w:line="10" w:lineRule="exact"/>
        <w:rPr>
          <w:sz w:val="20"/>
          <w:szCs w:val="20"/>
          <w:color w:val="auto"/>
        </w:rPr>
      </w:pPr>
    </w:p>
    <w:p>
      <w:pPr>
        <w:ind w:left="50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443865</wp:posOffset>
            </wp:positionV>
            <wp:extent cx="6537325" cy="165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537325"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Note 1 - Nature of Business and Basis of Presentation (continued)</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of deferred taxes. Any hedge ineffectiveness would be recognized in the income statement line item pertaining to the hedged item.</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Fair Value Measurements</w:t>
      </w:r>
    </w:p>
    <w:p>
      <w:pPr>
        <w:spacing w:after="0" w:line="217" w:lineRule="exact"/>
        <w:rPr>
          <w:sz w:val="20"/>
          <w:szCs w:val="20"/>
          <w:color w:val="auto"/>
        </w:rPr>
      </w:pPr>
    </w:p>
    <w:p>
      <w:pPr>
        <w:jc w:val="both"/>
        <w:ind w:right="40" w:firstLine="318"/>
        <w:spacing w:after="0" w:line="250" w:lineRule="auto"/>
        <w:rPr>
          <w:sz w:val="20"/>
          <w:szCs w:val="20"/>
          <w:color w:val="auto"/>
        </w:rPr>
      </w:pPr>
      <w:r>
        <w:rPr>
          <w:rFonts w:ascii="Arial" w:cs="Arial" w:eastAsia="Arial" w:hAnsi="Arial"/>
          <w:sz w:val="18"/>
          <w:szCs w:val="18"/>
          <w:color w:val="auto"/>
        </w:rPr>
        <w:t>Fair value is the price that would be received to sell an asset or paid to transfer a liability in the principal or most advantageous market for an asset or liability in an orderly transaction between market participants at the measurement date. The degree of management judgment involved in determining the fair value of a financial instrument is dependent upon the availability of quoted market prices or observable market inputs. For financial instruments that are traded actively and have quoted market prices or observable market inputs, there is minimal subjectivity involved in measuring fair value. However, when quoted market prices or observable market inputs are not fully available, significant management judgment may be necessary to estimate fair value. In developing our fair value estimates, we endeavor to maximize the use of observable inputs and minimize the use of unobservable inputs.</w:t>
      </w:r>
    </w:p>
    <w:p>
      <w:pPr>
        <w:spacing w:after="0" w:line="187" w:lineRule="exact"/>
        <w:rPr>
          <w:sz w:val="20"/>
          <w:szCs w:val="20"/>
          <w:color w:val="auto"/>
        </w:rPr>
      </w:pPr>
    </w:p>
    <w:p>
      <w:pPr>
        <w:jc w:val="both"/>
        <w:ind w:right="40" w:firstLine="318"/>
        <w:spacing w:after="0" w:line="253" w:lineRule="auto"/>
        <w:rPr>
          <w:sz w:val="20"/>
          <w:szCs w:val="20"/>
          <w:color w:val="auto"/>
        </w:rPr>
      </w:pPr>
      <w:r>
        <w:rPr>
          <w:rFonts w:ascii="Arial" w:cs="Arial" w:eastAsia="Arial" w:hAnsi="Arial"/>
          <w:sz w:val="18"/>
          <w:szCs w:val="18"/>
          <w:color w:val="auto"/>
        </w:rPr>
        <w:t>The fair value hierarchy defines Level 1 valuations as those based on quoted prices (unadjusted) for identical assets or liabilities in active markets. Level 2 valuations include inputs based on quoted prices for similar assets or liabilities in active markets, and inputs that are observable for the asset or liability, either directly or indirectly, for substantially the full term of the financial instrument. Level 3 valuations are based on at least one significant assumption not observable in the market, or significant management judgment or estimation, some of which may be internally developed.</w:t>
      </w:r>
    </w:p>
    <w:p>
      <w:pPr>
        <w:spacing w:after="0" w:line="181"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 xml:space="preserve">Financial assets that are recorded at fair value on a recurring basis include investment securities available for sale, loans held for sale, and derivative financial instruments. Financial liabilities that are recorded at fair value on a recurring basis are comprised of derivative financial instruments. Additional information is included in </w:t>
      </w:r>
      <w:r>
        <w:rPr>
          <w:rFonts w:ascii="Arial" w:cs="Arial" w:eastAsia="Arial" w:hAnsi="Arial"/>
          <w:sz w:val="18"/>
          <w:szCs w:val="18"/>
          <w:i w:val="1"/>
          <w:iCs w:val="1"/>
          <w:color w:val="auto"/>
        </w:rPr>
        <w:t>Note 8 - Fair Value</w:t>
      </w:r>
      <w:r>
        <w:rPr>
          <w:rFonts w:ascii="Arial" w:cs="Arial" w:eastAsia="Arial" w:hAnsi="Arial"/>
          <w:sz w:val="18"/>
          <w:szCs w:val="18"/>
          <w:color w:val="auto"/>
        </w:rPr>
        <w: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Bank-Owned Life Insurance</w:t>
      </w:r>
    </w:p>
    <w:p>
      <w:pPr>
        <w:spacing w:after="0" w:line="217"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The Company had $35.8 million in bank-owned life insurance at March 31, 2022. The Company recognized income, which is included in other noninterest income, of $252 thousand for the three months ended March 31, 2022. The Company had no bank-owned life insurance at March 31, 2021.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Income Taxes</w:t>
      </w:r>
    </w:p>
    <w:p>
      <w:pPr>
        <w:spacing w:after="0" w:line="217"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Deferred tax assets and liabilities are determined based on the difference between the financial statement and tax bases of assets and liabilities, using enacted tax rates in effect for the year in which the differences are expected to reverse. Deferred tax assets are recognized when it is deemed more likely than not that the benefits of such deferred income taxes will be realized.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Earnings per share:</w:t>
      </w:r>
    </w:p>
    <w:p>
      <w:pPr>
        <w:spacing w:after="0" w:line="21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Earnings per share is computed by dividing net income available to common stockholders by the weighted average number of shares outstanding. Diluted earnings per share is computed by dividing net income by the weighted average number of common shares outstanding, adjusted for the dilutive effect of stock options and restricted stock using the treasury stock method. At March 31, 2022, there were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262255</wp:posOffset>
            </wp:positionV>
            <wp:extent cx="716026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15" w:name="page16"/>
    <w:bookmarkEnd w:id="15"/>
    <w:p>
      <w:pPr>
        <w:ind w:left="50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509905</wp:posOffset>
            </wp:positionH>
            <wp:positionV relativeFrom="page">
              <wp:posOffset>391795</wp:posOffset>
            </wp:positionV>
            <wp:extent cx="653732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537325" cy="17145"/>
                    </a:xfrm>
                    <a:prstGeom prst="rect">
                      <a:avLst/>
                    </a:prstGeom>
                    <a:noFill/>
                  </pic:spPr>
                </pic:pic>
              </a:graphicData>
            </a:graphic>
          </wp:anchor>
        </w:drawing>
        <w:t>Capital Bancorp, Inc. and Subsidiaries</w:t>
      </w:r>
    </w:p>
    <w:p>
      <w:pPr>
        <w:spacing w:after="0" w:line="10" w:lineRule="exact"/>
        <w:rPr>
          <w:sz w:val="20"/>
          <w:szCs w:val="20"/>
          <w:color w:val="auto"/>
        </w:rPr>
      </w:pPr>
    </w:p>
    <w:p>
      <w:pPr>
        <w:ind w:left="50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443865</wp:posOffset>
            </wp:positionV>
            <wp:extent cx="653732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5373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Note 1 - Nature of Business and Basis of Presentation (continued)</w:t>
      </w:r>
    </w:p>
    <w:p>
      <w:pPr>
        <w:spacing w:after="0" w:line="312"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141,857 stock options excluded from the calculation as their effect would have been anti-dilutive, whereas at March 31, 2021 there were no such options.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Comprehensive loss:</w:t>
      </w:r>
    </w:p>
    <w:p>
      <w:pPr>
        <w:spacing w:after="0" w:line="217"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The Company reports as comprehensive loss all changes in stockholders' equity during the year from sources other than stockholders. Other comprehensive loss refers to all components (income, expenses, gains, and losses) of comprehensive loss that are excluded from net income.</w:t>
      </w:r>
    </w:p>
    <w:p>
      <w:pPr>
        <w:spacing w:after="0" w:line="17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Company's only component of other comprehensive loss is unrealized losses on investment securities available for sale, net of income taxes. Information concerning the Company's accumulated other comprehensive loss as of March 31, 2022 and December 31, 2021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20" w:type="dxa"/>
            <w:vAlign w:val="bottom"/>
            <w:gridSpan w:val="2"/>
          </w:tcPr>
          <w:p>
            <w:pPr>
              <w:ind w:left="20"/>
              <w:spacing w:after="0"/>
              <w:rPr>
                <w:sz w:val="20"/>
                <w:szCs w:val="20"/>
                <w:color w:val="auto"/>
              </w:rPr>
            </w:pPr>
            <w:r>
              <w:rPr>
                <w:rFonts w:ascii="Arial" w:cs="Arial" w:eastAsia="Arial" w:hAnsi="Arial"/>
                <w:sz w:val="11"/>
                <w:szCs w:val="11"/>
                <w:color w:val="auto"/>
              </w:rPr>
              <w:t>(in thousands)</w:t>
            </w:r>
          </w:p>
        </w:tc>
        <w:tc>
          <w:tcPr>
            <w:tcW w:w="320" w:type="dxa"/>
            <w:vAlign w:val="bottom"/>
          </w:tcPr>
          <w:p>
            <w:pPr>
              <w:spacing w:after="0"/>
              <w:rPr>
                <w:sz w:val="18"/>
                <w:szCs w:val="18"/>
                <w:color w:val="auto"/>
              </w:rPr>
            </w:pPr>
          </w:p>
        </w:tc>
        <w:tc>
          <w:tcPr>
            <w:tcW w:w="2000" w:type="dxa"/>
            <w:vAlign w:val="bottom"/>
            <w:gridSpan w:val="2"/>
          </w:tcPr>
          <w:p>
            <w:pPr>
              <w:ind w:left="220"/>
              <w:spacing w:after="0"/>
              <w:rPr>
                <w:sz w:val="20"/>
                <w:szCs w:val="20"/>
                <w:color w:val="auto"/>
              </w:rPr>
            </w:pPr>
            <w:r>
              <w:rPr>
                <w:rFonts w:ascii="Arial" w:cs="Arial" w:eastAsia="Arial" w:hAnsi="Arial"/>
                <w:sz w:val="16"/>
                <w:szCs w:val="16"/>
                <w:b w:val="1"/>
                <w:bCs w:val="1"/>
                <w:color w:val="auto"/>
              </w:rPr>
              <w:t>March 31, 2022</w:t>
            </w:r>
          </w:p>
        </w:tc>
        <w:tc>
          <w:tcPr>
            <w:tcW w:w="240" w:type="dxa"/>
            <w:vAlign w:val="bottom"/>
          </w:tcPr>
          <w:p>
            <w:pPr>
              <w:spacing w:after="0"/>
              <w:rPr>
                <w:sz w:val="18"/>
                <w:szCs w:val="18"/>
                <w:color w:val="auto"/>
              </w:rPr>
            </w:pPr>
          </w:p>
        </w:tc>
        <w:tc>
          <w:tcPr>
            <w:tcW w:w="1860" w:type="dxa"/>
            <w:vAlign w:val="bottom"/>
          </w:tcPr>
          <w:p>
            <w:pPr>
              <w:jc w:val="right"/>
              <w:ind w:right="261"/>
              <w:spacing w:after="0"/>
              <w:rPr>
                <w:sz w:val="20"/>
                <w:szCs w:val="20"/>
                <w:color w:val="auto"/>
              </w:rPr>
            </w:pPr>
            <w:r>
              <w:rPr>
                <w:rFonts w:ascii="Arial" w:cs="Arial" w:eastAsia="Arial" w:hAnsi="Arial"/>
                <w:sz w:val="16"/>
                <w:szCs w:val="16"/>
                <w:color w:val="auto"/>
              </w:rPr>
              <w:t>December 31, 2021</w:t>
            </w:r>
          </w:p>
        </w:tc>
      </w:tr>
      <w:tr>
        <w:trPr>
          <w:trHeight w:val="205"/>
        </w:trPr>
        <w:tc>
          <w:tcPr>
            <w:tcW w:w="6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Unrealized losses on securities available for sale</w:t>
            </w: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b w:val="1"/>
                <w:bCs w:val="1"/>
                <w:color w:val="auto"/>
                <w:w w:val="89"/>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(10,792)</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(1,504)</w:t>
            </w:r>
          </w:p>
        </w:tc>
      </w:tr>
      <w:tr>
        <w:trPr>
          <w:trHeight w:val="212"/>
        </w:trPr>
        <w:tc>
          <w:tcPr>
            <w:tcW w:w="67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Deferred tax benefit</w:t>
            </w:r>
          </w:p>
        </w:tc>
        <w:tc>
          <w:tcPr>
            <w:tcW w:w="3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2,969</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w:t>
            </w:r>
          </w:p>
        </w:tc>
      </w:tr>
      <w:tr>
        <w:trPr>
          <w:trHeight w:val="230"/>
        </w:trPr>
        <w:tc>
          <w:tcPr>
            <w:tcW w:w="67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Total accumulated comprehensive loss</w:t>
            </w: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b w:val="1"/>
                <w:bCs w:val="1"/>
                <w:color w:val="auto"/>
                <w:w w:val="8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(7,823)</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(1,076)</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Recently issued accounting pronouncements:</w:t>
      </w:r>
    </w:p>
    <w:p>
      <w:pPr>
        <w:spacing w:after="0" w:line="217"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In June 2016, the FASB issued guidance to change the accounting for loan losses and modify the impairment model for certain debt securities. In October 2019, the FASB voted to delay implementation and the new standard is now effective for fiscal years beginning after December 15, 2022, including the interim periods within those fiscal years. The Company expects the provisions of this standard to impact the Company’s consolidated financial statements, in particular, the level of the reserve for loan losses. The Company engaged a consultant to assist with the implementation of this ASU and has completed various milestones so as to ensure the timely implementation of the ASU. The Company has preliminary results and will begin refining the model in Q2 2022. The Company plans to refine assumptions, establish policy, complete model validation and identify expected financial statement impact over the next few quarters. The Company will apply the amendments to the ASU through a cumulative-effect adjustment to retained earnings as of the beginning of the year of adoption. While early adoption was permitted, the Company did not elect that option. In addition to its allowance for loan losses, the Company will also record an allowance for credit losses on held-to-maturity debt securities instead of applying the impairment model currently utilized. The amount of the adjustments will be impacted by each portfolio’s composition and credit quality at the adoption date as well as economic conditions and forecasts at that time.</w:t>
      </w:r>
    </w:p>
    <w:p>
      <w:pPr>
        <w:spacing w:after="0" w:line="189"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 March 2020, the FASB released ASU 2020-04 - Reference Rate Reform, Topic 848, which provides temporary guidance to ease the potential accounting burden in accounting for, or recognizing the effects from, reference rate reform on financial reporting. The new standard is a result of London Interbank Offered Rate (“LIBOR”) likely being discontinued as an available benchmark rate. The standard is elective and provides optional expedients and exceptions for applying GAAP to contracts, hedging relationships, and other transactions that reference LIBOR, or another reference rate expected to be discontinued. The amendments in the update are effective for all entities between March 12, 2020 and December 31, 2022. The Company is currently evaluating products and preparing to offer new rates. The adoption of this guidance is not expected to have a material impact on the Company’s financial statements.</w:t>
      </w:r>
    </w:p>
    <w:p>
      <w:pPr>
        <w:spacing w:after="0" w:line="187"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In March 2020, various regulatory agencies, including the Board of Governors of the Federal Reserve System and the Federal Deposit Insurance Corporation (“agencies”), issued an interagency statement on loan modifications and reporting for financial institutions working with customers affected by COVID-19.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253365</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16" w:name="page17"/>
    <w:bookmarkEnd w:id="16"/>
    <w:p>
      <w:pPr>
        <w:ind w:left="50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509905</wp:posOffset>
            </wp:positionH>
            <wp:positionV relativeFrom="page">
              <wp:posOffset>391795</wp:posOffset>
            </wp:positionV>
            <wp:extent cx="653732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537325" cy="17145"/>
                    </a:xfrm>
                    <a:prstGeom prst="rect">
                      <a:avLst/>
                    </a:prstGeom>
                    <a:noFill/>
                  </pic:spPr>
                </pic:pic>
              </a:graphicData>
            </a:graphic>
          </wp:anchor>
        </w:drawing>
        <w:t>Capital Bancorp, Inc. and Subsidiaries</w:t>
      </w:r>
    </w:p>
    <w:p>
      <w:pPr>
        <w:spacing w:after="0" w:line="10" w:lineRule="exact"/>
        <w:rPr>
          <w:sz w:val="20"/>
          <w:szCs w:val="20"/>
          <w:color w:val="auto"/>
        </w:rPr>
      </w:pPr>
    </w:p>
    <w:p>
      <w:pPr>
        <w:ind w:left="50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443865</wp:posOffset>
            </wp:positionV>
            <wp:extent cx="653732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5373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Note 1 - Nature of Business and Basis of Presentation (continued)</w:t>
      </w:r>
    </w:p>
    <w:p>
      <w:pPr>
        <w:spacing w:after="0" w:line="312"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interagency statement was effective immediately and impacted accounting for loan modifications. Under ASC 310-40, “Receivables - Troubled Debt Restructurings by Creditors,” a restructuring of debt constitutes a TDR if the creditor, for economic or legal reasons related to the debtor’s financial difficulties, grants a concession to the debtor that it would not otherwise consider. The agencies confirmed with the FASB that short-term modifications made on a good faith basis in response to COVID-19 to borrowers who were current prior to any relief, are not to be considered TDRs. Such modifications include short-term (e.g., six months) modifications that include payment deferrals of (i) principal and interest, (ii) interest only and (iii) principal only, fee waivers, extensions of repayment terms, and other delays in payment that are deemed insignificant. Borrowers considered current were those that were less than 30 days past due on their contractual payments at the time a modification program was implemented. As of March 31, 2022, the Company had offered payment deferrals for commercial and consumer customers for up to six months. The loan modifications offered to borrowers provided the borrower with payment relief in the form of reduced or deferred payments for up to 90 days (six months in selected instances) during which time interest is continuing to accrue.</w:t>
      </w:r>
    </w:p>
    <w:p>
      <w:pPr>
        <w:spacing w:after="0" w:line="185"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Other accounting standards that have been issued or proposed by the FASB or other standards-setting bodies are not expected to have a material impact on the Company's financial position, results of operations or cash flows.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Reclassifications:</w:t>
      </w:r>
    </w:p>
    <w:p>
      <w:pPr>
        <w:spacing w:after="0" w:line="217"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Certain reclassifications have been made to amounts reported in prior periods to conform to the current period presentation. The reclassifications had no material effect on net income or total stockholders' equity.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Subsequent Events:</w:t>
      </w:r>
    </w:p>
    <w:p>
      <w:pPr>
        <w:spacing w:after="0" w:line="217"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Subsequent events are events or transactions that occur after the balance sheet date but before financial statements are issued. Recognized subsequent events are events or transactions that provide additional evidence about conditions that existed at the date of the balance sheet, including the estimates inherent in the process of preparing financial statements. Non-recognized subsequent events are events that provide evidence about conditions that did not exist at the date of the balance sheet but arose after that date. Management has reviewed events through the date the financial statements were available to be issued and no subsequent events occurred requiring accrual or disclosure.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Cash and Cash Equivalents</w:t>
      </w:r>
    </w:p>
    <w:p>
      <w:pPr>
        <w:spacing w:after="0" w:line="219"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Cash and cash equivalents include cash and amounts due from banks, interest-bearing deposits and federal funds sold. The Bank is required by regulations to maintain an average cash reserve balance based on a percentage of deposits. At March 31, 2022 and December 31, 2021, the requirements were satisfied by amounts on deposit with the Federal Reserve Bank and cash on hand.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Investment Securities</w:t>
      </w:r>
    </w:p>
    <w:p>
      <w:pPr>
        <w:spacing w:after="0" w:line="219"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The amortized cost and estimated fair value of investment securities at March 31, 2022 and December 31, 2021 are summarized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262255</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17" w:name="page18"/>
    <w:bookmarkEnd w:id="17"/>
    <w:p>
      <w:pPr>
        <w:ind w:left="50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509905</wp:posOffset>
            </wp:positionH>
            <wp:positionV relativeFrom="page">
              <wp:posOffset>391795</wp:posOffset>
            </wp:positionV>
            <wp:extent cx="653732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537325" cy="17145"/>
                    </a:xfrm>
                    <a:prstGeom prst="rect">
                      <a:avLst/>
                    </a:prstGeom>
                    <a:noFill/>
                  </pic:spPr>
                </pic:pic>
              </a:graphicData>
            </a:graphic>
          </wp:anchor>
        </w:drawing>
        <w:t>Capital Bancorp, Inc. and Subsidiaries</w:t>
      </w:r>
    </w:p>
    <w:p>
      <w:pPr>
        <w:ind w:left="50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6350</wp:posOffset>
            </wp:positionV>
            <wp:extent cx="653732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537325" cy="17145"/>
                    </a:xfrm>
                    <a:prstGeom prst="rect">
                      <a:avLst/>
                    </a:prstGeom>
                    <a:noFill/>
                  </pic:spPr>
                </pic:pic>
              </a:graphicData>
            </a:graphic>
          </wp:anchor>
        </w:drawing>
      </w:r>
    </w:p>
    <w:p>
      <w:pPr>
        <w:spacing w:after="0" w:line="263"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Note 3 - Investment Securities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Investment Securities Available for Sale</w:t>
      </w:r>
    </w:p>
    <w:p>
      <w:pPr>
        <w:spacing w:after="0" w:line="34" w:lineRule="exact"/>
        <w:rPr>
          <w:sz w:val="20"/>
          <w:szCs w:val="20"/>
          <w:color w:val="auto"/>
        </w:rPr>
      </w:pPr>
    </w:p>
    <w:p>
      <w:pPr>
        <w:ind w:left="340"/>
        <w:spacing w:after="0"/>
        <w:rPr>
          <w:sz w:val="20"/>
          <w:szCs w:val="20"/>
          <w:color w:val="auto"/>
        </w:rPr>
      </w:pPr>
      <w:r>
        <w:rPr>
          <w:rFonts w:ascii="Arial" w:cs="Arial" w:eastAsia="Arial" w:hAnsi="Arial"/>
          <w:sz w:val="11"/>
          <w:szCs w:val="11"/>
          <w:color w:val="auto"/>
        </w:rPr>
        <w:t>(in thousands)</w:t>
      </w:r>
    </w:p>
    <w:p>
      <w:pPr>
        <w:spacing w:after="0" w:line="9" w:lineRule="exact"/>
        <w:rPr>
          <w:sz w:val="20"/>
          <w:szCs w:val="20"/>
          <w:color w:val="auto"/>
        </w:rPr>
      </w:pPr>
    </w:p>
    <w:tbl>
      <w:tblPr>
        <w:tblLayout w:type="fixed"/>
        <w:tblInd w:w="3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March 31, 2022</w:t>
            </w:r>
          </w:p>
        </w:tc>
        <w:tc>
          <w:tcPr>
            <w:tcW w:w="26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center"/>
              <w:ind w:right="189"/>
              <w:spacing w:after="0"/>
              <w:rPr>
                <w:sz w:val="20"/>
                <w:szCs w:val="20"/>
                <w:color w:val="auto"/>
              </w:rPr>
            </w:pPr>
            <w:r>
              <w:rPr>
                <w:rFonts w:ascii="Arial" w:cs="Arial" w:eastAsia="Arial" w:hAnsi="Arial"/>
                <w:sz w:val="14"/>
                <w:szCs w:val="14"/>
                <w:b w:val="1"/>
                <w:bCs w:val="1"/>
                <w:color w:val="auto"/>
              </w:rPr>
              <w:t>Amortized</w:t>
            </w:r>
          </w:p>
        </w:tc>
        <w:tc>
          <w:tcPr>
            <w:tcW w:w="1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center"/>
              <w:ind w:right="189"/>
              <w:spacing w:after="0"/>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center"/>
              <w:ind w:right="189"/>
              <w:spacing w:after="0"/>
              <w:rPr>
                <w:sz w:val="20"/>
                <w:szCs w:val="20"/>
                <w:color w:val="auto"/>
              </w:rPr>
            </w:pPr>
            <w:r>
              <w:rPr>
                <w:rFonts w:ascii="Arial" w:cs="Arial" w:eastAsia="Arial" w:hAnsi="Arial"/>
                <w:sz w:val="14"/>
                <w:szCs w:val="14"/>
                <w:b w:val="1"/>
                <w:bCs w:val="1"/>
                <w:color w:val="auto"/>
                <w:w w:val="98"/>
              </w:rPr>
              <w:t>Unrealized</w:t>
            </w:r>
          </w:p>
        </w:tc>
        <w:tc>
          <w:tcPr>
            <w:tcW w:w="10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2"/>
          </w:tcPr>
          <w:p>
            <w:pPr>
              <w:jc w:val="center"/>
              <w:ind w:right="380"/>
              <w:spacing w:after="0" w:line="122" w:lineRule="exact"/>
              <w:rPr>
                <w:sz w:val="20"/>
                <w:szCs w:val="20"/>
                <w:color w:val="auto"/>
              </w:rPr>
            </w:pPr>
            <w:r>
              <w:rPr>
                <w:rFonts w:ascii="Arial" w:cs="Arial" w:eastAsia="Arial" w:hAnsi="Arial"/>
                <w:sz w:val="14"/>
                <w:szCs w:val="14"/>
                <w:b w:val="1"/>
                <w:bCs w:val="1"/>
                <w:color w:val="auto"/>
                <w:w w:val="96"/>
              </w:rPr>
              <w:t>Cost</w:t>
            </w:r>
          </w:p>
        </w:tc>
        <w:tc>
          <w:tcPr>
            <w:tcW w:w="260" w:type="dxa"/>
            <w:vAlign w:val="bottom"/>
          </w:tcPr>
          <w:p>
            <w:pPr>
              <w:spacing w:after="0"/>
              <w:rPr>
                <w:sz w:val="12"/>
                <w:szCs w:val="12"/>
                <w:color w:val="auto"/>
              </w:rPr>
            </w:pPr>
          </w:p>
        </w:tc>
        <w:tc>
          <w:tcPr>
            <w:tcW w:w="1420" w:type="dxa"/>
            <w:vAlign w:val="bottom"/>
            <w:gridSpan w:val="2"/>
          </w:tcPr>
          <w:p>
            <w:pPr>
              <w:jc w:val="center"/>
              <w:ind w:right="380"/>
              <w:spacing w:after="0" w:line="122" w:lineRule="exact"/>
              <w:rPr>
                <w:sz w:val="20"/>
                <w:szCs w:val="20"/>
                <w:color w:val="auto"/>
              </w:rPr>
            </w:pPr>
            <w:r>
              <w:rPr>
                <w:rFonts w:ascii="Arial" w:cs="Arial" w:eastAsia="Arial" w:hAnsi="Arial"/>
                <w:sz w:val="14"/>
                <w:szCs w:val="14"/>
                <w:b w:val="1"/>
                <w:bCs w:val="1"/>
                <w:color w:val="auto"/>
              </w:rPr>
              <w:t>Gains</w:t>
            </w:r>
          </w:p>
        </w:tc>
        <w:tc>
          <w:tcPr>
            <w:tcW w:w="260" w:type="dxa"/>
            <w:vAlign w:val="bottom"/>
          </w:tcPr>
          <w:p>
            <w:pPr>
              <w:spacing w:after="0"/>
              <w:rPr>
                <w:sz w:val="12"/>
                <w:szCs w:val="12"/>
                <w:color w:val="auto"/>
              </w:rPr>
            </w:pPr>
          </w:p>
        </w:tc>
        <w:tc>
          <w:tcPr>
            <w:tcW w:w="1420" w:type="dxa"/>
            <w:vAlign w:val="bottom"/>
            <w:gridSpan w:val="2"/>
          </w:tcPr>
          <w:p>
            <w:pPr>
              <w:jc w:val="center"/>
              <w:ind w:right="360"/>
              <w:spacing w:after="0" w:line="122" w:lineRule="exact"/>
              <w:rPr>
                <w:sz w:val="20"/>
                <w:szCs w:val="20"/>
                <w:color w:val="auto"/>
              </w:rPr>
            </w:pPr>
            <w:r>
              <w:rPr>
                <w:rFonts w:ascii="Arial" w:cs="Arial" w:eastAsia="Arial" w:hAnsi="Arial"/>
                <w:sz w:val="14"/>
                <w:szCs w:val="14"/>
                <w:b w:val="1"/>
                <w:bCs w:val="1"/>
                <w:color w:val="auto"/>
              </w:rPr>
              <w:t>Losses</w:t>
            </w:r>
          </w:p>
        </w:tc>
        <w:tc>
          <w:tcPr>
            <w:tcW w:w="360" w:type="dxa"/>
            <w:vAlign w:val="bottom"/>
          </w:tcPr>
          <w:p>
            <w:pPr>
              <w:spacing w:after="0"/>
              <w:rPr>
                <w:sz w:val="12"/>
                <w:szCs w:val="12"/>
                <w:color w:val="auto"/>
              </w:rPr>
            </w:pPr>
          </w:p>
        </w:tc>
        <w:tc>
          <w:tcPr>
            <w:tcW w:w="980" w:type="dxa"/>
            <w:vAlign w:val="bottom"/>
          </w:tcPr>
          <w:p>
            <w:pPr>
              <w:jc w:val="right"/>
              <w:ind w:right="309"/>
              <w:spacing w:after="0" w:line="122"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3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shd w:val="clear" w:color="auto" w:fill="CCEEFF"/>
          </w:tcPr>
          <w:p>
            <w:pPr>
              <w:spacing w:after="0"/>
              <w:rPr>
                <w:sz w:val="15"/>
                <w:szCs w:val="15"/>
                <w:color w:val="auto"/>
              </w:rPr>
            </w:pPr>
          </w:p>
        </w:tc>
        <w:tc>
          <w:tcPr>
            <w:tcW w:w="4640" w:type="dxa"/>
            <w:vAlign w:val="bottom"/>
            <w:gridSpan w:val="3"/>
            <w:shd w:val="clear" w:color="auto" w:fill="CCEEFF"/>
          </w:tcPr>
          <w:p>
            <w:pPr>
              <w:spacing w:after="0"/>
              <w:rPr>
                <w:sz w:val="20"/>
                <w:szCs w:val="20"/>
                <w:color w:val="auto"/>
              </w:rPr>
            </w:pPr>
            <w:r>
              <w:rPr>
                <w:rFonts w:ascii="Arial" w:cs="Arial" w:eastAsia="Arial" w:hAnsi="Arial"/>
                <w:sz w:val="14"/>
                <w:szCs w:val="14"/>
                <w:b w:val="1"/>
                <w:bCs w:val="1"/>
                <w:i w:val="1"/>
                <w:iCs w:val="1"/>
                <w:color w:val="auto"/>
              </w:rPr>
              <w:t>Available for sale</w:t>
            </w:r>
          </w:p>
        </w:tc>
        <w:tc>
          <w:tcPr>
            <w:tcW w:w="2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40" w:type="dxa"/>
            <w:vAlign w:val="bottom"/>
            <w:gridSpan w:val="3"/>
          </w:tcPr>
          <w:p>
            <w:pPr>
              <w:ind w:left="120"/>
              <w:spacing w:after="0"/>
              <w:rPr>
                <w:sz w:val="20"/>
                <w:szCs w:val="20"/>
                <w:color w:val="auto"/>
              </w:rPr>
            </w:pPr>
            <w:r>
              <w:rPr>
                <w:rFonts w:ascii="Arial" w:cs="Arial" w:eastAsia="Arial" w:hAnsi="Arial"/>
                <w:sz w:val="14"/>
                <w:szCs w:val="14"/>
                <w:color w:val="auto"/>
              </w:rPr>
              <w:t>U.S. Treasuries</w:t>
            </w:r>
          </w:p>
        </w:tc>
        <w:tc>
          <w:tcPr>
            <w:tcW w:w="260" w:type="dxa"/>
            <w:vAlign w:val="bottom"/>
          </w:tcPr>
          <w:p>
            <w:pPr>
              <w:jc w:val="right"/>
              <w:ind w:right="89"/>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132,338</w:t>
            </w:r>
          </w:p>
        </w:tc>
        <w:tc>
          <w:tcPr>
            <w:tcW w:w="120" w:type="dxa"/>
            <w:vAlign w:val="bottom"/>
          </w:tcPr>
          <w:p>
            <w:pPr>
              <w:spacing w:after="0"/>
              <w:rPr>
                <w:sz w:val="17"/>
                <w:szCs w:val="17"/>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b w:val="1"/>
                <w:bCs w:val="1"/>
                <w:color w:val="auto"/>
              </w:rPr>
              <w:t>$</w:t>
            </w:r>
          </w:p>
        </w:tc>
        <w:tc>
          <w:tcPr>
            <w:tcW w:w="14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jc w:val="right"/>
              <w:ind w:right="89"/>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(8,138)</w:t>
            </w:r>
          </w:p>
        </w:tc>
        <w:tc>
          <w:tcPr>
            <w:tcW w:w="100" w:type="dxa"/>
            <w:vAlign w:val="bottom"/>
          </w:tcPr>
          <w:p>
            <w:pPr>
              <w:spacing w:after="0"/>
              <w:rPr>
                <w:sz w:val="17"/>
                <w:szCs w:val="17"/>
                <w:color w:val="auto"/>
              </w:rPr>
            </w:pPr>
          </w:p>
        </w:tc>
        <w:tc>
          <w:tcPr>
            <w:tcW w:w="360" w:type="dxa"/>
            <w:vAlign w:val="bottom"/>
          </w:tcPr>
          <w:p>
            <w:pPr>
              <w:jc w:val="right"/>
              <w:ind w:right="189"/>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124,2</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46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Municipal</w:t>
            </w: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10,822</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(1,413)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40" w:type="dxa"/>
            <w:vAlign w:val="bottom"/>
            <w:gridSpan w:val="3"/>
          </w:tcPr>
          <w:p>
            <w:pPr>
              <w:ind w:left="120"/>
              <w:spacing w:after="0"/>
              <w:rPr>
                <w:sz w:val="20"/>
                <w:szCs w:val="20"/>
                <w:color w:val="auto"/>
              </w:rPr>
            </w:pPr>
            <w:r>
              <w:rPr>
                <w:rFonts w:ascii="Arial" w:cs="Arial" w:eastAsia="Arial" w:hAnsi="Arial"/>
                <w:sz w:val="14"/>
                <w:szCs w:val="14"/>
                <w:color w:val="auto"/>
              </w:rPr>
              <w:t>Corporate</w:t>
            </w:r>
          </w:p>
        </w:tc>
        <w:tc>
          <w:tcPr>
            <w:tcW w:w="2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5,000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(153)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4,8</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46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Asset-backed securities</w:t>
            </w: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9,866</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9,8</w:t>
            </w: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4640" w:type="dxa"/>
            <w:vAlign w:val="bottom"/>
            <w:tcBorders>
              <w:bottom w:val="single" w:sz="8" w:color="CCEEFF"/>
            </w:tcBorders>
            <w:gridSpan w:val="3"/>
          </w:tcPr>
          <w:p>
            <w:pPr>
              <w:ind w:left="120"/>
              <w:spacing w:after="0"/>
              <w:rPr>
                <w:sz w:val="20"/>
                <w:szCs w:val="20"/>
                <w:color w:val="auto"/>
              </w:rPr>
            </w:pPr>
            <w:r>
              <w:rPr>
                <w:rFonts w:ascii="Arial" w:cs="Arial" w:eastAsia="Arial" w:hAnsi="Arial"/>
                <w:sz w:val="14"/>
                <w:szCs w:val="14"/>
                <w:color w:val="auto"/>
              </w:rPr>
              <w:t>Mortgage-backed securities</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25,478</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(1,051)</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24,4</w:t>
            </w:r>
          </w:p>
        </w:tc>
        <w:tc>
          <w:tcPr>
            <w:tcW w:w="0" w:type="dxa"/>
            <w:vAlign w:val="bottom"/>
          </w:tcPr>
          <w:p>
            <w:pPr>
              <w:spacing w:after="0"/>
              <w:rPr>
                <w:sz w:val="1"/>
                <w:szCs w:val="1"/>
                <w:color w:val="auto"/>
              </w:rPr>
            </w:pPr>
          </w:p>
        </w:tc>
      </w:tr>
      <w:tr>
        <w:trPr>
          <w:trHeight w:val="218"/>
        </w:trPr>
        <w:tc>
          <w:tcPr>
            <w:tcW w:w="20" w:type="dxa"/>
            <w:vAlign w:val="bottom"/>
            <w:tcBorders>
              <w:bottom w:val="single" w:sz="8" w:color="CCEEFF"/>
            </w:tcBorders>
            <w:shd w:val="clear" w:color="auto" w:fill="CCEEFF"/>
          </w:tcPr>
          <w:p>
            <w:pPr>
              <w:spacing w:after="0"/>
              <w:rPr>
                <w:sz w:val="18"/>
                <w:szCs w:val="18"/>
                <w:color w:val="auto"/>
              </w:rPr>
            </w:pPr>
          </w:p>
        </w:tc>
        <w:tc>
          <w:tcPr>
            <w:tcW w:w="464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183,504</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(10,798)</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172,7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auto"/>
            </w:tcBorders>
            <w:gridSpan w:val="2"/>
            <w:shd w:val="clear" w:color="auto" w:fill="CCEEFF"/>
          </w:tcPr>
          <w:p>
            <w:pPr>
              <w:spacing w:after="0" w:line="159" w:lineRule="exact"/>
              <w:rPr>
                <w:sz w:val="20"/>
                <w:szCs w:val="20"/>
                <w:color w:val="auto"/>
              </w:rPr>
            </w:pPr>
            <w:r>
              <w:rPr>
                <w:rFonts w:ascii="Arial" w:cs="Arial" w:eastAsia="Arial" w:hAnsi="Arial"/>
                <w:sz w:val="14"/>
                <w:szCs w:val="14"/>
                <w:b w:val="1"/>
                <w:bCs w:val="1"/>
                <w:color w:val="auto"/>
                <w:w w:val="99"/>
              </w:rPr>
              <w:t>December 31, 2021</w:t>
            </w:r>
          </w:p>
        </w:tc>
        <w:tc>
          <w:tcPr>
            <w:tcW w:w="33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4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Available for sale</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46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U.S. Treasuries</w:t>
            </w: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132,452</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640" w:type="dxa"/>
            <w:vAlign w:val="bottom"/>
            <w:gridSpan w:val="3"/>
          </w:tcPr>
          <w:p>
            <w:pPr>
              <w:ind w:left="120"/>
              <w:spacing w:after="0"/>
              <w:rPr>
                <w:sz w:val="20"/>
                <w:szCs w:val="20"/>
                <w:color w:val="auto"/>
              </w:rPr>
            </w:pPr>
            <w:r>
              <w:rPr>
                <w:rFonts w:ascii="Arial" w:cs="Arial" w:eastAsia="Arial" w:hAnsi="Arial"/>
                <w:sz w:val="14"/>
                <w:szCs w:val="14"/>
                <w:color w:val="auto"/>
              </w:rPr>
              <w:t>Municipal</w:t>
            </w:r>
          </w:p>
        </w:tc>
        <w:tc>
          <w:tcPr>
            <w:tcW w:w="2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10,825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(394)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6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Corporate</w:t>
            </w: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640" w:type="dxa"/>
            <w:vAlign w:val="bottom"/>
            <w:gridSpan w:val="3"/>
          </w:tcPr>
          <w:p>
            <w:pPr>
              <w:ind w:left="120"/>
              <w:spacing w:after="0"/>
              <w:rPr>
                <w:sz w:val="20"/>
                <w:szCs w:val="20"/>
                <w:color w:val="auto"/>
              </w:rPr>
            </w:pPr>
            <w:r>
              <w:rPr>
                <w:rFonts w:ascii="Arial" w:cs="Arial" w:eastAsia="Arial" w:hAnsi="Arial"/>
                <w:sz w:val="14"/>
                <w:szCs w:val="14"/>
                <w:color w:val="auto"/>
              </w:rPr>
              <w:t>Asset-backed securities</w:t>
            </w:r>
          </w:p>
        </w:tc>
        <w:tc>
          <w:tcPr>
            <w:tcW w:w="2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10,093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46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Mortgage-backed securities</w:t>
            </w:r>
          </w:p>
        </w:tc>
        <w:tc>
          <w:tcPr>
            <w:tcW w:w="2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27,589</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514</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640" w:type="dxa"/>
            <w:vAlign w:val="bottom"/>
            <w:gridSpan w:val="3"/>
          </w:tcPr>
          <w:p>
            <w:pPr>
              <w:ind w:left="200"/>
              <w:spacing w:after="0"/>
              <w:rPr>
                <w:sz w:val="20"/>
                <w:szCs w:val="20"/>
                <w:color w:val="auto"/>
              </w:rPr>
            </w:pPr>
            <w:r>
              <w:rPr>
                <w:rFonts w:ascii="Arial" w:cs="Arial" w:eastAsia="Arial" w:hAnsi="Arial"/>
                <w:sz w:val="14"/>
                <w:szCs w:val="14"/>
                <w:color w:val="auto"/>
              </w:rPr>
              <w:t>Total</w:t>
            </w: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185,959</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661</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(2,165)</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There were no securities sold during the three months ended March 31, 2022 or March 31, 2021.</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Information related to unrealized losses in the investment portfolio as of March 31, 2022 and December 31, 2021 is summarized as follows:</w:t>
      </w:r>
    </w:p>
    <w:p>
      <w:pPr>
        <w:spacing w:after="0" w:line="271"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Investment Securities Unrealized Losses</w:t>
      </w:r>
    </w:p>
    <w:p>
      <w:pPr>
        <w:spacing w:after="0" w:line="34" w:lineRule="exact"/>
        <w:rPr>
          <w:sz w:val="20"/>
          <w:szCs w:val="20"/>
          <w:color w:val="auto"/>
        </w:rPr>
      </w:pPr>
    </w:p>
    <w:tbl>
      <w:tblPr>
        <w:tblLayout w:type="fixed"/>
        <w:tblInd w:w="32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3740" w:type="dxa"/>
            <w:vAlign w:val="bottom"/>
            <w:gridSpan w:val="3"/>
          </w:tcPr>
          <w:p>
            <w:pPr>
              <w:spacing w:after="0"/>
              <w:rPr>
                <w:sz w:val="20"/>
                <w:szCs w:val="20"/>
                <w:color w:val="auto"/>
              </w:rPr>
            </w:pPr>
            <w:r>
              <w:rPr>
                <w:rFonts w:ascii="Arial" w:cs="Arial" w:eastAsia="Arial" w:hAnsi="Arial"/>
                <w:sz w:val="11"/>
                <w:szCs w:val="11"/>
                <w:color w:val="auto"/>
              </w:rPr>
              <w:t>(in thousands)</w:t>
            </w:r>
          </w:p>
        </w:tc>
        <w:tc>
          <w:tcPr>
            <w:tcW w:w="2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429"/>
              <w:spacing w:after="0"/>
              <w:rPr>
                <w:sz w:val="20"/>
                <w:szCs w:val="20"/>
                <w:color w:val="auto"/>
              </w:rPr>
            </w:pPr>
            <w:r>
              <w:rPr>
                <w:rFonts w:ascii="Arial" w:cs="Arial" w:eastAsia="Arial" w:hAnsi="Arial"/>
                <w:sz w:val="14"/>
                <w:szCs w:val="14"/>
                <w:b w:val="1"/>
                <w:bCs w:val="1"/>
                <w:color w:val="auto"/>
              </w:rPr>
              <w:t>Less than 12 months</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449"/>
              <w:spacing w:after="0"/>
              <w:rPr>
                <w:sz w:val="20"/>
                <w:szCs w:val="20"/>
                <w:color w:val="auto"/>
              </w:rPr>
            </w:pPr>
            <w:r>
              <w:rPr>
                <w:rFonts w:ascii="Arial" w:cs="Arial" w:eastAsia="Arial" w:hAnsi="Arial"/>
                <w:sz w:val="14"/>
                <w:szCs w:val="14"/>
                <w:b w:val="1"/>
                <w:bCs w:val="1"/>
                <w:color w:val="auto"/>
              </w:rPr>
              <w:t>12 months or longer</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Total</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March 31, 2022</w:t>
            </w:r>
          </w:p>
        </w:tc>
        <w:tc>
          <w:tcPr>
            <w:tcW w:w="220" w:type="dxa"/>
            <w:vAlign w:val="bottom"/>
          </w:tcPr>
          <w:p>
            <w:pPr>
              <w:spacing w:after="0"/>
              <w:rPr>
                <w:sz w:val="12"/>
                <w:szCs w:val="12"/>
                <w:color w:val="auto"/>
              </w:rPr>
            </w:pPr>
          </w:p>
        </w:tc>
        <w:tc>
          <w:tcPr>
            <w:tcW w:w="940" w:type="dxa"/>
            <w:vAlign w:val="bottom"/>
            <w:gridSpan w:val="2"/>
          </w:tcPr>
          <w:p>
            <w:pPr>
              <w:jc w:val="center"/>
              <w:ind w:right="360"/>
              <w:spacing w:after="0" w:line="139" w:lineRule="exact"/>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2"/>
                <w:szCs w:val="12"/>
                <w:color w:val="auto"/>
              </w:rPr>
            </w:pPr>
          </w:p>
        </w:tc>
        <w:tc>
          <w:tcPr>
            <w:tcW w:w="1180" w:type="dxa"/>
            <w:vAlign w:val="bottom"/>
            <w:gridSpan w:val="2"/>
          </w:tcPr>
          <w:p>
            <w:pPr>
              <w:jc w:val="center"/>
              <w:ind w:right="300"/>
              <w:spacing w:after="0" w:line="139" w:lineRule="exact"/>
              <w:rPr>
                <w:sz w:val="20"/>
                <w:szCs w:val="20"/>
                <w:color w:val="auto"/>
              </w:rPr>
            </w:pPr>
            <w:r>
              <w:rPr>
                <w:rFonts w:ascii="Arial" w:cs="Arial" w:eastAsia="Arial" w:hAnsi="Arial"/>
                <w:sz w:val="14"/>
                <w:szCs w:val="14"/>
                <w:b w:val="1"/>
                <w:bCs w:val="1"/>
                <w:color w:val="auto"/>
              </w:rPr>
              <w:t>Unrealized</w:t>
            </w:r>
          </w:p>
        </w:tc>
        <w:tc>
          <w:tcPr>
            <w:tcW w:w="200" w:type="dxa"/>
            <w:vAlign w:val="bottom"/>
          </w:tcPr>
          <w:p>
            <w:pPr>
              <w:spacing w:after="0"/>
              <w:rPr>
                <w:sz w:val="12"/>
                <w:szCs w:val="12"/>
                <w:color w:val="auto"/>
              </w:rPr>
            </w:pPr>
          </w:p>
        </w:tc>
        <w:tc>
          <w:tcPr>
            <w:tcW w:w="960" w:type="dxa"/>
            <w:vAlign w:val="bottom"/>
            <w:gridSpan w:val="2"/>
          </w:tcPr>
          <w:p>
            <w:pPr>
              <w:jc w:val="center"/>
              <w:ind w:right="340"/>
              <w:spacing w:after="0" w:line="139" w:lineRule="exact"/>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2"/>
                <w:szCs w:val="12"/>
                <w:color w:val="auto"/>
              </w:rPr>
            </w:pPr>
          </w:p>
        </w:tc>
        <w:tc>
          <w:tcPr>
            <w:tcW w:w="1160" w:type="dxa"/>
            <w:vAlign w:val="bottom"/>
            <w:gridSpan w:val="2"/>
          </w:tcPr>
          <w:p>
            <w:pPr>
              <w:jc w:val="center"/>
              <w:ind w:right="280"/>
              <w:spacing w:after="0" w:line="139" w:lineRule="exact"/>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12"/>
                <w:szCs w:val="12"/>
                <w:color w:val="auto"/>
              </w:rPr>
            </w:pPr>
          </w:p>
        </w:tc>
        <w:tc>
          <w:tcPr>
            <w:tcW w:w="800" w:type="dxa"/>
            <w:vAlign w:val="bottom"/>
          </w:tcPr>
          <w:p>
            <w:pPr>
              <w:jc w:val="right"/>
              <w:ind w:right="289"/>
              <w:spacing w:after="0" w:line="139" w:lineRule="exact"/>
              <w:rPr>
                <w:sz w:val="20"/>
                <w:szCs w:val="20"/>
                <w:color w:val="auto"/>
              </w:rPr>
            </w:pPr>
            <w:r>
              <w:rPr>
                <w:rFonts w:ascii="Arial" w:cs="Arial" w:eastAsia="Arial" w:hAnsi="Arial"/>
                <w:sz w:val="14"/>
                <w:szCs w:val="14"/>
                <w:b w:val="1"/>
                <w:bCs w:val="1"/>
                <w:color w:val="auto"/>
              </w:rPr>
              <w:t>Fair</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ind w:right="9"/>
              <w:spacing w:after="0" w:line="139" w:lineRule="exact"/>
              <w:rPr>
                <w:sz w:val="20"/>
                <w:szCs w:val="20"/>
                <w:color w:val="auto"/>
              </w:rPr>
            </w:pPr>
            <w:r>
              <w:rPr>
                <w:rFonts w:ascii="Arial" w:cs="Arial" w:eastAsia="Arial" w:hAnsi="Arial"/>
                <w:sz w:val="14"/>
                <w:szCs w:val="14"/>
                <w:b w:val="1"/>
                <w:bCs w:val="1"/>
                <w:color w:val="auto"/>
              </w:rPr>
              <w:t>Unrealized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74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jc w:val="center"/>
              <w:ind w:right="340"/>
              <w:spacing w:after="0" w:line="146" w:lineRule="exact"/>
              <w:rPr>
                <w:sz w:val="20"/>
                <w:szCs w:val="20"/>
                <w:color w:val="auto"/>
              </w:rPr>
            </w:pPr>
            <w:r>
              <w:rPr>
                <w:rFonts w:ascii="Arial" w:cs="Arial" w:eastAsia="Arial" w:hAnsi="Arial"/>
                <w:sz w:val="14"/>
                <w:szCs w:val="14"/>
                <w:b w:val="1"/>
                <w:bCs w:val="1"/>
                <w:color w:val="auto"/>
                <w:w w:val="96"/>
              </w:rPr>
              <w:t>Value</w:t>
            </w:r>
          </w:p>
        </w:tc>
        <w:tc>
          <w:tcPr>
            <w:tcW w:w="180" w:type="dxa"/>
            <w:vAlign w:val="bottom"/>
          </w:tcPr>
          <w:p>
            <w:pPr>
              <w:spacing w:after="0"/>
              <w:rPr>
                <w:sz w:val="12"/>
                <w:szCs w:val="12"/>
                <w:color w:val="auto"/>
              </w:rPr>
            </w:pPr>
          </w:p>
        </w:tc>
        <w:tc>
          <w:tcPr>
            <w:tcW w:w="1180" w:type="dxa"/>
            <w:vAlign w:val="bottom"/>
            <w:gridSpan w:val="2"/>
          </w:tcPr>
          <w:p>
            <w:pPr>
              <w:jc w:val="center"/>
              <w:ind w:right="300"/>
              <w:spacing w:after="0" w:line="146" w:lineRule="exact"/>
              <w:rPr>
                <w:sz w:val="20"/>
                <w:szCs w:val="20"/>
                <w:color w:val="auto"/>
              </w:rPr>
            </w:pPr>
            <w:r>
              <w:rPr>
                <w:rFonts w:ascii="Arial" w:cs="Arial" w:eastAsia="Arial" w:hAnsi="Arial"/>
                <w:sz w:val="14"/>
                <w:szCs w:val="14"/>
                <w:b w:val="1"/>
                <w:bCs w:val="1"/>
                <w:color w:val="auto"/>
                <w:w w:val="99"/>
              </w:rPr>
              <w:t>Losses</w:t>
            </w:r>
          </w:p>
        </w:tc>
        <w:tc>
          <w:tcPr>
            <w:tcW w:w="200" w:type="dxa"/>
            <w:vAlign w:val="bottom"/>
          </w:tcPr>
          <w:p>
            <w:pPr>
              <w:spacing w:after="0"/>
              <w:rPr>
                <w:sz w:val="12"/>
                <w:szCs w:val="12"/>
                <w:color w:val="auto"/>
              </w:rPr>
            </w:pPr>
          </w:p>
        </w:tc>
        <w:tc>
          <w:tcPr>
            <w:tcW w:w="960" w:type="dxa"/>
            <w:vAlign w:val="bottom"/>
            <w:gridSpan w:val="2"/>
          </w:tcPr>
          <w:p>
            <w:pPr>
              <w:jc w:val="center"/>
              <w:ind w:right="320"/>
              <w:spacing w:after="0" w:line="146" w:lineRule="exact"/>
              <w:rPr>
                <w:sz w:val="20"/>
                <w:szCs w:val="20"/>
                <w:color w:val="auto"/>
              </w:rPr>
            </w:pPr>
            <w:r>
              <w:rPr>
                <w:rFonts w:ascii="Arial" w:cs="Arial" w:eastAsia="Arial" w:hAnsi="Arial"/>
                <w:sz w:val="14"/>
                <w:szCs w:val="14"/>
                <w:b w:val="1"/>
                <w:bCs w:val="1"/>
                <w:color w:val="auto"/>
                <w:w w:val="96"/>
              </w:rPr>
              <w:t>Value</w:t>
            </w:r>
          </w:p>
        </w:tc>
        <w:tc>
          <w:tcPr>
            <w:tcW w:w="180" w:type="dxa"/>
            <w:vAlign w:val="bottom"/>
          </w:tcPr>
          <w:p>
            <w:pPr>
              <w:spacing w:after="0"/>
              <w:rPr>
                <w:sz w:val="12"/>
                <w:szCs w:val="12"/>
                <w:color w:val="auto"/>
              </w:rPr>
            </w:pPr>
          </w:p>
        </w:tc>
        <w:tc>
          <w:tcPr>
            <w:tcW w:w="1160" w:type="dxa"/>
            <w:vAlign w:val="bottom"/>
            <w:gridSpan w:val="2"/>
          </w:tcPr>
          <w:p>
            <w:pPr>
              <w:jc w:val="center"/>
              <w:ind w:right="280"/>
              <w:spacing w:after="0" w:line="146" w:lineRule="exact"/>
              <w:rPr>
                <w:sz w:val="20"/>
                <w:szCs w:val="20"/>
                <w:color w:val="auto"/>
              </w:rPr>
            </w:pPr>
            <w:r>
              <w:rPr>
                <w:rFonts w:ascii="Arial" w:cs="Arial" w:eastAsia="Arial" w:hAnsi="Arial"/>
                <w:sz w:val="14"/>
                <w:szCs w:val="14"/>
                <w:b w:val="1"/>
                <w:bCs w:val="1"/>
                <w:color w:val="auto"/>
                <w:w w:val="99"/>
              </w:rPr>
              <w:t>Losses</w:t>
            </w:r>
          </w:p>
        </w:tc>
        <w:tc>
          <w:tcPr>
            <w:tcW w:w="220" w:type="dxa"/>
            <w:vAlign w:val="bottom"/>
          </w:tcPr>
          <w:p>
            <w:pPr>
              <w:spacing w:after="0"/>
              <w:rPr>
                <w:sz w:val="12"/>
                <w:szCs w:val="12"/>
                <w:color w:val="auto"/>
              </w:rPr>
            </w:pPr>
          </w:p>
        </w:tc>
        <w:tc>
          <w:tcPr>
            <w:tcW w:w="800" w:type="dxa"/>
            <w:vAlign w:val="bottom"/>
          </w:tcPr>
          <w:p>
            <w:pPr>
              <w:jc w:val="right"/>
              <w:ind w:right="229"/>
              <w:spacing w:after="0" w:line="146" w:lineRule="exact"/>
              <w:rPr>
                <w:sz w:val="20"/>
                <w:szCs w:val="20"/>
                <w:color w:val="auto"/>
              </w:rPr>
            </w:pPr>
            <w:r>
              <w:rPr>
                <w:rFonts w:ascii="Arial" w:cs="Arial" w:eastAsia="Arial" w:hAnsi="Arial"/>
                <w:sz w:val="14"/>
                <w:szCs w:val="14"/>
                <w:b w:val="1"/>
                <w:bCs w:val="1"/>
                <w:color w:val="auto"/>
              </w:rPr>
              <w:t>Value</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ind w:right="129"/>
              <w:spacing w:after="0" w:line="146" w:lineRule="exact"/>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4"/>
                <w:szCs w:val="14"/>
                <w:color w:val="auto"/>
              </w:rPr>
              <w:t>U.S. Treasuries</w:t>
            </w:r>
          </w:p>
        </w:tc>
        <w:tc>
          <w:tcPr>
            <w:tcW w:w="2740" w:type="dxa"/>
            <w:vAlign w:val="bottom"/>
            <w:gridSpan w:val="2"/>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740" w:type="dxa"/>
            <w:vAlign w:val="bottom"/>
            <w:gridSpan w:val="2"/>
            <w:vMerge w:val="continue"/>
          </w:tcPr>
          <w:p>
            <w:pPr>
              <w:spacing w:after="0"/>
              <w:rPr>
                <w:sz w:val="16"/>
                <w:szCs w:val="16"/>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b w:val="1"/>
                <w:bCs w:val="1"/>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124,200</w:t>
            </w:r>
          </w:p>
        </w:tc>
        <w:tc>
          <w:tcPr>
            <w:tcW w:w="12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(8,138)</w:t>
            </w:r>
          </w:p>
        </w:tc>
        <w:tc>
          <w:tcPr>
            <w:tcW w:w="120" w:type="dxa"/>
            <w:vAlign w:val="bottom"/>
          </w:tcPr>
          <w:p>
            <w:pPr>
              <w:spacing w:after="0"/>
              <w:rPr>
                <w:sz w:val="16"/>
                <w:szCs w:val="16"/>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b w:val="1"/>
                <w:bCs w:val="1"/>
                <w:color w:val="auto"/>
                <w:w w:val="76"/>
              </w:rPr>
              <w:t>$</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60" w:type="dxa"/>
            <w:vAlign w:val="bottom"/>
            <w:gridSpan w:val="2"/>
          </w:tcPr>
          <w:p>
            <w:pPr>
              <w:ind w:left="84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124,200</w:t>
            </w:r>
          </w:p>
        </w:tc>
        <w:tc>
          <w:tcPr>
            <w:tcW w:w="4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(8,13</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37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Municipal</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6,210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(938)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2,690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(475)</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8,900</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740" w:type="dxa"/>
            <w:vAlign w:val="bottom"/>
            <w:gridSpan w:val="3"/>
          </w:tcPr>
          <w:p>
            <w:pPr>
              <w:spacing w:after="0"/>
              <w:rPr>
                <w:sz w:val="20"/>
                <w:szCs w:val="20"/>
                <w:color w:val="auto"/>
              </w:rPr>
            </w:pPr>
            <w:r>
              <w:rPr>
                <w:rFonts w:ascii="Arial" w:cs="Arial" w:eastAsia="Arial" w:hAnsi="Arial"/>
                <w:sz w:val="14"/>
                <w:szCs w:val="14"/>
                <w:color w:val="auto"/>
              </w:rPr>
              <w:t>Corporate</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4,372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(128)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475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4,847</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(15</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37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Asset-backed securities</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7,827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1,996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9,823</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w:t>
            </w: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374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color w:val="auto"/>
              </w:rPr>
              <w:t>Mortgage-backed securities</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14,074</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(571)</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9,425</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(480)</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23,499</w:t>
            </w: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(1,05</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37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Total</w:t>
            </w: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156,683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(9,801)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14,586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(997)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171,269</w:t>
            </w:r>
          </w:p>
        </w:tc>
        <w:tc>
          <w:tcPr>
            <w:tcW w:w="4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(10,79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auto"/>
            </w:tcBorders>
            <w:gridSpan w:val="2"/>
            <w:shd w:val="clear" w:color="auto" w:fill="CCEEFF"/>
          </w:tcPr>
          <w:p>
            <w:pPr>
              <w:spacing w:after="0" w:line="159" w:lineRule="exact"/>
              <w:rPr>
                <w:sz w:val="20"/>
                <w:szCs w:val="20"/>
                <w:color w:val="auto"/>
              </w:rPr>
            </w:pPr>
            <w:r>
              <w:rPr>
                <w:rFonts w:ascii="Arial" w:cs="Arial" w:eastAsia="Arial" w:hAnsi="Arial"/>
                <w:sz w:val="14"/>
                <w:szCs w:val="14"/>
                <w:b w:val="1"/>
                <w:bCs w:val="1"/>
                <w:color w:val="auto"/>
                <w:w w:val="99"/>
              </w:rPr>
              <w:t>December 31, 2021</w:t>
            </w:r>
          </w:p>
        </w:tc>
        <w:tc>
          <w:tcPr>
            <w:tcW w:w="24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740" w:type="dxa"/>
            <w:vAlign w:val="bottom"/>
            <w:gridSpan w:val="3"/>
          </w:tcPr>
          <w:p>
            <w:pPr>
              <w:spacing w:after="0"/>
              <w:rPr>
                <w:sz w:val="20"/>
                <w:szCs w:val="20"/>
                <w:color w:val="auto"/>
              </w:rPr>
            </w:pPr>
            <w:r>
              <w:rPr>
                <w:rFonts w:ascii="Arial" w:cs="Arial" w:eastAsia="Arial" w:hAnsi="Arial"/>
                <w:sz w:val="14"/>
                <w:szCs w:val="14"/>
                <w:color w:val="auto"/>
              </w:rPr>
              <w:t>U.S. Treasuries</w:t>
            </w: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110,191</w:t>
            </w:r>
          </w:p>
        </w:tc>
        <w:tc>
          <w:tcPr>
            <w:tcW w:w="12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(1,496)</w:t>
            </w:r>
          </w:p>
        </w:tc>
        <w:tc>
          <w:tcPr>
            <w:tcW w:w="120" w:type="dxa"/>
            <w:vAlign w:val="bottom"/>
          </w:tcPr>
          <w:p>
            <w:pPr>
              <w:spacing w:after="0"/>
              <w:rPr>
                <w:sz w:val="16"/>
                <w:szCs w:val="16"/>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16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110,191</w:t>
            </w:r>
          </w:p>
        </w:tc>
        <w:tc>
          <w:tcPr>
            <w:tcW w:w="40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7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Municipal</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5,750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8,769</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740" w:type="dxa"/>
            <w:vAlign w:val="bottom"/>
            <w:gridSpan w:val="3"/>
          </w:tcPr>
          <w:p>
            <w:pPr>
              <w:spacing w:after="0"/>
              <w:rPr>
                <w:sz w:val="20"/>
                <w:szCs w:val="20"/>
                <w:color w:val="auto"/>
              </w:rPr>
            </w:pPr>
            <w:r>
              <w:rPr>
                <w:rFonts w:ascii="Arial" w:cs="Arial" w:eastAsia="Arial" w:hAnsi="Arial"/>
                <w:sz w:val="14"/>
                <w:szCs w:val="14"/>
                <w:color w:val="auto"/>
              </w:rPr>
              <w:t>Corporate</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4,448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486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4,934</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7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Asset-backed securities</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2,115</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4"/>
        </w:trPr>
        <w:tc>
          <w:tcPr>
            <w:tcW w:w="20" w:type="dxa"/>
            <w:vAlign w:val="bottom"/>
            <w:tcBorders>
              <w:bottom w:val="single" w:sz="8" w:color="CCEEFF"/>
            </w:tcBorders>
          </w:tcPr>
          <w:p>
            <w:pPr>
              <w:spacing w:after="0"/>
              <w:rPr>
                <w:sz w:val="16"/>
                <w:szCs w:val="16"/>
                <w:color w:val="auto"/>
              </w:rPr>
            </w:pPr>
          </w:p>
        </w:tc>
        <w:tc>
          <w:tcPr>
            <w:tcW w:w="374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color w:val="auto"/>
              </w:rPr>
              <w:t>Mortgage-backed securities</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14,114</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2,124</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16,238</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7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Total</w:t>
            </w: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134,503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7,744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142,247</w:t>
            </w:r>
          </w:p>
        </w:tc>
        <w:tc>
          <w:tcPr>
            <w:tcW w:w="4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jc w:val="both"/>
        <w:ind w:right="100" w:firstLine="318"/>
        <w:spacing w:after="0" w:line="255" w:lineRule="auto"/>
        <w:rPr>
          <w:sz w:val="20"/>
          <w:szCs w:val="20"/>
          <w:color w:val="auto"/>
        </w:rPr>
      </w:pPr>
      <w:r>
        <w:rPr>
          <w:rFonts w:ascii="Arial" w:cs="Arial" w:eastAsia="Arial" w:hAnsi="Arial"/>
          <w:sz w:val="18"/>
          <w:szCs w:val="18"/>
          <w:color w:val="auto"/>
        </w:rPr>
        <w:t>At March 31, 2022, there were two municipal securities, one corporate security, one asset-backed security, and two mortgage-backed securities that had been in an unrealized loss position for greater than twelve months. At December 31, 2021 there were two municipal securities, one corporate security, one asset-backed security, and one mortgage-backed security that had been in an unrealized loss position for greater than twelve months. Management believes that the unrealized losses at March 31, 2022 and</w:t>
      </w:r>
    </w:p>
    <w:p>
      <w:pPr>
        <w:sectPr>
          <w:pgSz w:w="11900" w:h="16838" w:orient="portrait"/>
          <w:cols w:equalWidth="0" w:num="1">
            <w:col w:w="11340"/>
          </w:cols>
          <w:pgMar w:left="320" w:top="61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260985</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617" w:right="239" w:bottom="1440" w:gutter="0" w:footer="0" w:header="0"/>
          <w:type w:val="continuous"/>
        </w:sectPr>
      </w:pPr>
    </w:p>
    <w:bookmarkStart w:id="18" w:name="page19"/>
    <w:bookmarkEnd w:id="18"/>
    <w:p>
      <w:pPr>
        <w:ind w:left="50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509905</wp:posOffset>
            </wp:positionH>
            <wp:positionV relativeFrom="page">
              <wp:posOffset>391795</wp:posOffset>
            </wp:positionV>
            <wp:extent cx="6537325" cy="165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537325" cy="16510"/>
                    </a:xfrm>
                    <a:prstGeom prst="rect">
                      <a:avLst/>
                    </a:prstGeom>
                    <a:noFill/>
                  </pic:spPr>
                </pic:pic>
              </a:graphicData>
            </a:graphic>
          </wp:anchor>
        </w:drawing>
        <w:t>Capital Bancorp, Inc. and Subsidiaries</w:t>
      </w:r>
    </w:p>
    <w:p>
      <w:pPr>
        <w:ind w:left="50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6350</wp:posOffset>
            </wp:positionV>
            <wp:extent cx="653732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537325" cy="17145"/>
                    </a:xfrm>
                    <a:prstGeom prst="rect">
                      <a:avLst/>
                    </a:prstGeom>
                    <a:noFill/>
                  </pic:spPr>
                </pic:pic>
              </a:graphicData>
            </a:graphic>
          </wp:anchor>
        </w:drawing>
      </w:r>
    </w:p>
    <w:p>
      <w:pPr>
        <w:spacing w:after="0" w:line="263"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Note 3 - Investment Securities (continued)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resulted from changes in interest rates and current market conditions and not as a result of credit deterioration.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Management has the ability and the intent to hold these investment securities until maturity or until they recover in value.</w:t>
      </w:r>
    </w:p>
    <w:p>
      <w:pPr>
        <w:spacing w:after="0" w:line="20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There were no pledged securities at March 31, 2022 or December 31, 2021.</w:t>
      </w:r>
    </w:p>
    <w:p>
      <w:pPr>
        <w:spacing w:after="0" w:line="217"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Contractual maturities of investment securities at March 31, 2022 and December 31, 2021 are shown below. Actual maturities may differ from contractual maturities because borrowers may have the right to call or prepay obligations with or without call premiums or prepayment penalties.</w:t>
      </w:r>
    </w:p>
    <w:p>
      <w:pPr>
        <w:spacing w:after="0" w:line="21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Contractual Maturities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669"/>
              <w:spacing w:after="0"/>
              <w:rPr>
                <w:sz w:val="20"/>
                <w:szCs w:val="20"/>
                <w:color w:val="auto"/>
              </w:rPr>
            </w:pPr>
            <w:r>
              <w:rPr>
                <w:rFonts w:ascii="Arial" w:cs="Arial" w:eastAsia="Arial" w:hAnsi="Arial"/>
                <w:sz w:val="14"/>
                <w:szCs w:val="14"/>
                <w:b w:val="1"/>
                <w:bCs w:val="1"/>
                <w:color w:val="auto"/>
              </w:rPr>
              <w:t>March 31, 2022</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549"/>
              <w:spacing w:after="0"/>
              <w:rPr>
                <w:sz w:val="20"/>
                <w:szCs w:val="20"/>
                <w:color w:val="auto"/>
              </w:rPr>
            </w:pPr>
            <w:r>
              <w:rPr>
                <w:rFonts w:ascii="Arial" w:cs="Arial" w:eastAsia="Arial" w:hAnsi="Arial"/>
                <w:sz w:val="14"/>
                <w:szCs w:val="14"/>
                <w:b w:val="1"/>
                <w:bCs w:val="1"/>
                <w:color w:val="auto"/>
              </w:rPr>
              <w:t>December 31, 2021</w:t>
            </w:r>
          </w:p>
        </w:tc>
      </w:tr>
      <w:tr>
        <w:trPr>
          <w:trHeight w:val="143"/>
        </w:trPr>
        <w:tc>
          <w:tcPr>
            <w:tcW w:w="5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ind w:left="80"/>
              <w:spacing w:after="0" w:line="143" w:lineRule="exact"/>
              <w:rPr>
                <w:sz w:val="20"/>
                <w:szCs w:val="20"/>
                <w:color w:val="auto"/>
              </w:rPr>
            </w:pPr>
            <w:r>
              <w:rPr>
                <w:rFonts w:ascii="Arial" w:cs="Arial" w:eastAsia="Arial" w:hAnsi="Arial"/>
                <w:sz w:val="14"/>
                <w:szCs w:val="14"/>
                <w:b w:val="1"/>
                <w:bCs w:val="1"/>
                <w:color w:val="auto"/>
              </w:rPr>
              <w:t>Amortized</w:t>
            </w:r>
          </w:p>
        </w:tc>
        <w:tc>
          <w:tcPr>
            <w:tcW w:w="260" w:type="dxa"/>
            <w:vAlign w:val="bottom"/>
          </w:tcPr>
          <w:p>
            <w:pPr>
              <w:spacing w:after="0"/>
              <w:rPr>
                <w:sz w:val="12"/>
                <w:szCs w:val="12"/>
                <w:color w:val="auto"/>
              </w:rPr>
            </w:pPr>
          </w:p>
        </w:tc>
        <w:tc>
          <w:tcPr>
            <w:tcW w:w="1040" w:type="dxa"/>
            <w:vAlign w:val="bottom"/>
            <w:gridSpan w:val="2"/>
          </w:tcPr>
          <w:p>
            <w:pPr>
              <w:ind w:left="220"/>
              <w:spacing w:after="0" w:line="143" w:lineRule="exact"/>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2"/>
                <w:szCs w:val="12"/>
                <w:color w:val="auto"/>
              </w:rPr>
            </w:pPr>
          </w:p>
        </w:tc>
        <w:tc>
          <w:tcPr>
            <w:tcW w:w="1120" w:type="dxa"/>
            <w:vAlign w:val="bottom"/>
            <w:gridSpan w:val="2"/>
          </w:tcPr>
          <w:p>
            <w:pPr>
              <w:ind w:left="80"/>
              <w:spacing w:after="0" w:line="143" w:lineRule="exact"/>
              <w:rPr>
                <w:sz w:val="20"/>
                <w:szCs w:val="20"/>
                <w:color w:val="auto"/>
              </w:rPr>
            </w:pPr>
            <w:r>
              <w:rPr>
                <w:rFonts w:ascii="Arial" w:cs="Arial" w:eastAsia="Arial" w:hAnsi="Arial"/>
                <w:sz w:val="14"/>
                <w:szCs w:val="14"/>
                <w:b w:val="1"/>
                <w:bCs w:val="1"/>
                <w:color w:val="auto"/>
              </w:rPr>
              <w:t>Amortized</w:t>
            </w:r>
          </w:p>
        </w:tc>
        <w:tc>
          <w:tcPr>
            <w:tcW w:w="260" w:type="dxa"/>
            <w:vAlign w:val="bottom"/>
          </w:tcPr>
          <w:p>
            <w:pPr>
              <w:spacing w:after="0"/>
              <w:rPr>
                <w:sz w:val="12"/>
                <w:szCs w:val="12"/>
                <w:color w:val="auto"/>
              </w:rPr>
            </w:pPr>
          </w:p>
        </w:tc>
        <w:tc>
          <w:tcPr>
            <w:tcW w:w="940" w:type="dxa"/>
            <w:vAlign w:val="bottom"/>
          </w:tcPr>
          <w:p>
            <w:pPr>
              <w:jc w:val="right"/>
              <w:ind w:right="389"/>
              <w:spacing w:after="0" w:line="143" w:lineRule="exact"/>
              <w:rPr>
                <w:sz w:val="20"/>
                <w:szCs w:val="20"/>
                <w:color w:val="auto"/>
              </w:rPr>
            </w:pPr>
            <w:r>
              <w:rPr>
                <w:rFonts w:ascii="Arial" w:cs="Arial" w:eastAsia="Arial" w:hAnsi="Arial"/>
                <w:sz w:val="14"/>
                <w:szCs w:val="14"/>
                <w:b w:val="1"/>
                <w:bCs w:val="1"/>
                <w:color w:val="auto"/>
              </w:rPr>
              <w:t>Fair</w:t>
            </w:r>
          </w:p>
        </w:tc>
      </w:tr>
      <w:tr>
        <w:trPr>
          <w:trHeight w:val="182"/>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thousands)</w:t>
            </w: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Value</w:t>
            </w:r>
          </w:p>
        </w:tc>
      </w:tr>
      <w:tr>
        <w:trPr>
          <w:trHeight w:val="192"/>
        </w:trPr>
        <w:tc>
          <w:tcPr>
            <w:tcW w:w="5800" w:type="dxa"/>
            <w:vAlign w:val="bottom"/>
            <w:gridSpan w:val="2"/>
          </w:tcPr>
          <w:p>
            <w:pPr>
              <w:ind w:left="20"/>
              <w:spacing w:after="0"/>
              <w:rPr>
                <w:sz w:val="20"/>
                <w:szCs w:val="20"/>
                <w:color w:val="auto"/>
              </w:rPr>
            </w:pPr>
            <w:r>
              <w:rPr>
                <w:rFonts w:ascii="Arial" w:cs="Arial" w:eastAsia="Arial" w:hAnsi="Arial"/>
                <w:sz w:val="14"/>
                <w:szCs w:val="14"/>
                <w:color w:val="auto"/>
              </w:rPr>
              <w:t>Over one to five years</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58,554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55,397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58,602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57,650</w:t>
            </w:r>
          </w:p>
        </w:tc>
      </w:tr>
      <w:tr>
        <w:trPr>
          <w:trHeight w:val="199"/>
        </w:trPr>
        <w:tc>
          <w:tcPr>
            <w:tcW w:w="58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Over five to ten years</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78,784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73,650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78,850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78,285</w:t>
            </w:r>
          </w:p>
        </w:tc>
      </w:tr>
      <w:tr>
        <w:trPr>
          <w:trHeight w:val="198"/>
        </w:trPr>
        <w:tc>
          <w:tcPr>
            <w:tcW w:w="5800" w:type="dxa"/>
            <w:vAlign w:val="bottom"/>
            <w:gridSpan w:val="2"/>
          </w:tcPr>
          <w:p>
            <w:pPr>
              <w:ind w:left="20"/>
              <w:spacing w:after="0"/>
              <w:rPr>
                <w:sz w:val="20"/>
                <w:szCs w:val="20"/>
                <w:color w:val="auto"/>
              </w:rPr>
            </w:pPr>
            <w:r>
              <w:rPr>
                <w:rFonts w:ascii="Arial" w:cs="Arial" w:eastAsia="Arial" w:hAnsi="Arial"/>
                <w:sz w:val="14"/>
                <w:szCs w:val="14"/>
                <w:color w:val="auto"/>
              </w:rPr>
              <w:t>Over ten years</w:t>
            </w: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10,822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9,414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10,825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10,474</w:t>
            </w:r>
          </w:p>
        </w:tc>
      </w:tr>
      <w:tr>
        <w:trPr>
          <w:trHeight w:val="199"/>
        </w:trPr>
        <w:tc>
          <w:tcPr>
            <w:tcW w:w="5800" w:type="dxa"/>
            <w:vAlign w:val="bottom"/>
            <w:gridSpan w:val="2"/>
            <w:shd w:val="clear" w:color="auto" w:fill="CCEEFF"/>
          </w:tcPr>
          <w:p>
            <w:pPr>
              <w:ind w:left="20"/>
              <w:spacing w:after="0" w:line="200" w:lineRule="exact"/>
              <w:rPr>
                <w:sz w:val="20"/>
                <w:szCs w:val="20"/>
                <w:color w:val="auto"/>
              </w:rPr>
            </w:pPr>
            <w:r>
              <w:rPr>
                <w:rFonts w:ascii="Arial" w:cs="Arial" w:eastAsia="Arial" w:hAnsi="Arial"/>
                <w:sz w:val="14"/>
                <w:szCs w:val="14"/>
                <w:color w:val="auto"/>
              </w:rPr>
              <w:t>Asset-backed securities</w:t>
            </w:r>
            <w:r>
              <w:rPr>
                <w:rFonts w:ascii="Arial" w:cs="Arial" w:eastAsia="Arial" w:hAnsi="Arial"/>
                <w:sz w:val="18"/>
                <w:szCs w:val="18"/>
                <w:color w:val="auto"/>
                <w:vertAlign w:val="superscript"/>
              </w:rPr>
              <w:t>(1)</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9,866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9,823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10,093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10,140</w:t>
            </w:r>
          </w:p>
        </w:tc>
      </w:tr>
      <w:tr>
        <w:trPr>
          <w:trHeight w:val="199"/>
        </w:trPr>
        <w:tc>
          <w:tcPr>
            <w:tcW w:w="5800" w:type="dxa"/>
            <w:vAlign w:val="bottom"/>
            <w:tcBorders>
              <w:bottom w:val="single" w:sz="8" w:color="CCEEFF"/>
            </w:tcBorders>
            <w:gridSpan w:val="2"/>
          </w:tcPr>
          <w:p>
            <w:pPr>
              <w:ind w:left="20"/>
              <w:spacing w:after="0" w:line="199" w:lineRule="exact"/>
              <w:rPr>
                <w:sz w:val="20"/>
                <w:szCs w:val="20"/>
                <w:color w:val="auto"/>
              </w:rPr>
            </w:pPr>
            <w:r>
              <w:rPr>
                <w:rFonts w:ascii="Arial" w:cs="Arial" w:eastAsia="Arial" w:hAnsi="Arial"/>
                <w:sz w:val="14"/>
                <w:szCs w:val="14"/>
                <w:color w:val="auto"/>
              </w:rPr>
              <w:t>Mortgage-backed securities</w:t>
            </w:r>
            <w:r>
              <w:rPr>
                <w:rFonts w:ascii="Arial" w:cs="Arial" w:eastAsia="Arial" w:hAnsi="Arial"/>
                <w:sz w:val="18"/>
                <w:szCs w:val="18"/>
                <w:color w:val="auto"/>
                <w:vertAlign w:val="superscript"/>
              </w:rPr>
              <w:t>(1)</w:t>
            </w: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25,478</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24,428</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27,589</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27,906</w:t>
            </w:r>
          </w:p>
        </w:tc>
      </w:tr>
      <w:tr>
        <w:trPr>
          <w:trHeight w:val="217"/>
        </w:trPr>
        <w:tc>
          <w:tcPr>
            <w:tcW w:w="58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183,504</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172,712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185,959</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184,455</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4" w:lineRule="exact"/>
        <w:rPr>
          <w:sz w:val="20"/>
          <w:szCs w:val="20"/>
          <w:color w:val="auto"/>
        </w:rPr>
      </w:pPr>
    </w:p>
    <w:p>
      <w:pPr>
        <w:ind w:left="160" w:hanging="154"/>
        <w:spacing w:after="0"/>
        <w:tabs>
          <w:tab w:leader="none" w:pos="160" w:val="left"/>
        </w:tabs>
        <w:numPr>
          <w:ilvl w:val="0"/>
          <w:numId w:val="3"/>
        </w:numPr>
        <w:rPr>
          <w:rFonts w:ascii="Arial" w:cs="Arial" w:eastAsia="Arial" w:hAnsi="Arial"/>
          <w:sz w:val="7"/>
          <w:szCs w:val="7"/>
          <w:color w:val="auto"/>
        </w:rPr>
      </w:pPr>
      <w:r>
        <w:rPr>
          <w:rFonts w:ascii="Arial" w:cs="Arial" w:eastAsia="Arial" w:hAnsi="Arial"/>
          <w:sz w:val="11"/>
          <w:szCs w:val="11"/>
          <w:color w:val="auto"/>
        </w:rPr>
        <w:t>Asset-backed and Mortgage-backed securities are due in monthly installments.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262255</wp:posOffset>
            </wp:positionV>
            <wp:extent cx="716026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617" w:right="339" w:bottom="1440" w:gutter="0" w:footer="0" w:header="0"/>
        </w:sectPr>
      </w:pPr>
    </w:p>
    <w:bookmarkStart w:id="19" w:name="page20"/>
    <w:bookmarkEnd w:id="19"/>
    <w:p>
      <w:pPr>
        <w:ind w:left="66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610870</wp:posOffset>
            </wp:positionH>
            <wp:positionV relativeFrom="page">
              <wp:posOffset>391795</wp:posOffset>
            </wp:positionV>
            <wp:extent cx="653732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537325" cy="17145"/>
                    </a:xfrm>
                    <a:prstGeom prst="rect">
                      <a:avLst/>
                    </a:prstGeom>
                    <a:noFill/>
                  </pic:spPr>
                </pic:pic>
              </a:graphicData>
            </a:graphic>
          </wp:anchor>
        </w:drawing>
        <w:t>Capital Bancorp, Inc. and Subsidiaries</w:t>
      </w:r>
    </w:p>
    <w:p>
      <w:pPr>
        <w:ind w:left="66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6350</wp:posOffset>
            </wp:positionV>
            <wp:extent cx="653732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537325" cy="17145"/>
                    </a:xfrm>
                    <a:prstGeom prst="rect">
                      <a:avLst/>
                    </a:prstGeom>
                    <a:noFill/>
                  </pic:spPr>
                </pic:pic>
              </a:graphicData>
            </a:graphic>
          </wp:anchor>
        </w:drawing>
      </w:r>
    </w:p>
    <w:p>
      <w:pPr>
        <w:spacing w:after="0" w:line="26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 4 - SBA-PPP Loans Receivable</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ind w:right="100" w:firstLine="318"/>
        <w:spacing w:after="0" w:line="260" w:lineRule="auto"/>
        <w:rPr>
          <w:sz w:val="20"/>
          <w:szCs w:val="20"/>
          <w:color w:val="auto"/>
        </w:rPr>
      </w:pPr>
      <w:r>
        <w:rPr>
          <w:rFonts w:ascii="Arial" w:cs="Arial" w:eastAsia="Arial" w:hAnsi="Arial"/>
          <w:sz w:val="18"/>
          <w:szCs w:val="18"/>
          <w:color w:val="auto"/>
        </w:rPr>
        <w:t>Pursuant to the CARES Act, the SBA-PPP provides forgivable loans to small businesses to enable them to maintain payroll, hire back employees who have been laid off, and cover applicable overhead. SBA-PPP loans have an interest rate of 1%, have two or five year terms, and carry a 100% guarantee of the SBA.</w:t>
      </w:r>
    </w:p>
    <w:p>
      <w:pPr>
        <w:spacing w:after="0" w:line="175" w:lineRule="exact"/>
        <w:rPr>
          <w:sz w:val="20"/>
          <w:szCs w:val="20"/>
          <w:color w:val="auto"/>
        </w:rPr>
      </w:pPr>
    </w:p>
    <w:p>
      <w:pPr>
        <w:jc w:val="both"/>
        <w:ind w:right="100" w:firstLine="318"/>
        <w:spacing w:after="0" w:line="260" w:lineRule="auto"/>
        <w:rPr>
          <w:sz w:val="20"/>
          <w:szCs w:val="20"/>
          <w:color w:val="auto"/>
        </w:rPr>
      </w:pPr>
      <w:r>
        <w:rPr>
          <w:rFonts w:ascii="Arial" w:cs="Arial" w:eastAsia="Arial" w:hAnsi="Arial"/>
          <w:sz w:val="18"/>
          <w:szCs w:val="18"/>
          <w:color w:val="auto"/>
        </w:rPr>
        <w:t>SBA-PPP gross loans receivable totaled $52.4 million at March 31, 2022, and $111.5 million at December 31, 2021, and were all rated as pass credits and were not past due, nonaccrual, TDR, or otherwise impaired. Unearned net fees associated with the SBA-PPP loans amounted to $1.3 million at March 31, 2022 compared to $3.2 million at December 31, 2021.</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Portfolio Loans Receivable</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Major classifications of portfolio loans as are as follows:</w:t>
      </w:r>
    </w:p>
    <w:p>
      <w:pPr>
        <w:spacing w:after="0" w:line="259"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Portfolio Loan Categories</w:t>
      </w:r>
    </w:p>
    <w:p>
      <w:pPr>
        <w:spacing w:after="0" w:line="34" w:lineRule="exact"/>
        <w:rPr>
          <w:sz w:val="20"/>
          <w:szCs w:val="20"/>
          <w:color w:val="auto"/>
        </w:rPr>
      </w:pPr>
    </w:p>
    <w:tbl>
      <w:tblPr>
        <w:tblLayout w:type="fixed"/>
        <w:tblInd w:w="320" w:type="dxa"/>
        <w:tblCellMar>
          <w:top w:w="0" w:type="dxa"/>
          <w:left w:w="0" w:type="dxa"/>
          <w:bottom w:w="0" w:type="dxa"/>
          <w:right w:w="0" w:type="dxa"/>
        </w:tblCellMar>
      </w:tblPr>
      <w:tr>
        <w:trPr>
          <w:trHeight w:val="194"/>
        </w:trPr>
        <w:tc>
          <w:tcPr>
            <w:tcW w:w="710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300" w:type="dxa"/>
            <w:vAlign w:val="bottom"/>
          </w:tcPr>
          <w:p>
            <w:pPr>
              <w:spacing w:after="0"/>
              <w:rPr>
                <w:sz w:val="16"/>
                <w:szCs w:val="16"/>
                <w:color w:val="auto"/>
              </w:rPr>
            </w:pPr>
          </w:p>
        </w:tc>
        <w:tc>
          <w:tcPr>
            <w:tcW w:w="178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 2022</w:t>
            </w:r>
          </w:p>
        </w:tc>
        <w:tc>
          <w:tcPr>
            <w:tcW w:w="240" w:type="dxa"/>
            <w:vAlign w:val="bottom"/>
          </w:tcPr>
          <w:p>
            <w:pPr>
              <w:spacing w:after="0"/>
              <w:rPr>
                <w:sz w:val="16"/>
                <w:szCs w:val="16"/>
                <w:color w:val="auto"/>
              </w:rPr>
            </w:pPr>
          </w:p>
        </w:tc>
        <w:tc>
          <w:tcPr>
            <w:tcW w:w="1600" w:type="dxa"/>
            <w:vAlign w:val="bottom"/>
          </w:tcPr>
          <w:p>
            <w:pPr>
              <w:jc w:val="right"/>
              <w:ind w:right="141"/>
              <w:spacing w:after="0"/>
              <w:rPr>
                <w:sz w:val="20"/>
                <w:szCs w:val="20"/>
                <w:color w:val="auto"/>
              </w:rPr>
            </w:pPr>
            <w:r>
              <w:rPr>
                <w:rFonts w:ascii="Arial" w:cs="Arial" w:eastAsia="Arial" w:hAnsi="Arial"/>
                <w:sz w:val="14"/>
                <w:szCs w:val="14"/>
                <w:b w:val="1"/>
                <w:bCs w:val="1"/>
                <w:color w:val="auto"/>
              </w:rPr>
              <w:t>December 31, 2021</w:t>
            </w:r>
          </w:p>
        </w:tc>
      </w:tr>
      <w:tr>
        <w:trPr>
          <w:trHeight w:val="191"/>
        </w:trPr>
        <w:tc>
          <w:tcPr>
            <w:tcW w:w="7100" w:type="dxa"/>
            <w:vAlign w:val="bottom"/>
          </w:tcPr>
          <w:p>
            <w:pPr>
              <w:ind w:left="20"/>
              <w:spacing w:after="0"/>
              <w:rPr>
                <w:sz w:val="20"/>
                <w:szCs w:val="20"/>
                <w:color w:val="auto"/>
              </w:rPr>
            </w:pPr>
            <w:r>
              <w:rPr>
                <w:rFonts w:ascii="Arial" w:cs="Arial" w:eastAsia="Arial" w:hAnsi="Arial"/>
                <w:sz w:val="16"/>
                <w:szCs w:val="16"/>
                <w:color w:val="auto"/>
              </w:rPr>
              <w:t>Real estate:</w:t>
            </w:r>
          </w:p>
        </w:tc>
        <w:tc>
          <w:tcPr>
            <w:tcW w:w="30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spacing w:after="0"/>
              <w:rPr>
                <w:sz w:val="16"/>
                <w:szCs w:val="16"/>
                <w:color w:val="auto"/>
              </w:rPr>
            </w:pPr>
          </w:p>
        </w:tc>
      </w:tr>
      <w:tr>
        <w:trPr>
          <w:trHeight w:val="213"/>
        </w:trPr>
        <w:tc>
          <w:tcPr>
            <w:tcW w:w="7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Residential</w:t>
            </w:r>
          </w:p>
        </w:tc>
        <w:tc>
          <w:tcPr>
            <w:tcW w:w="300" w:type="dxa"/>
            <w:vAlign w:val="bottom"/>
            <w:shd w:val="clear" w:color="auto" w:fill="CCEEFF"/>
          </w:tcPr>
          <w:p>
            <w:pPr>
              <w:jc w:val="right"/>
              <w:ind w:right="101"/>
              <w:spacing w:after="0"/>
              <w:rPr>
                <w:sz w:val="20"/>
                <w:szCs w:val="20"/>
                <w:color w:val="auto"/>
              </w:rPr>
            </w:pPr>
            <w:r>
              <w:rPr>
                <w:rFonts w:ascii="Arial" w:cs="Arial" w:eastAsia="Arial" w:hAnsi="Arial"/>
                <w:sz w:val="16"/>
                <w:szCs w:val="16"/>
                <w:b w:val="1"/>
                <w:bCs w:val="1"/>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420,242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401,60</w:t>
            </w:r>
          </w:p>
        </w:tc>
      </w:tr>
      <w:tr>
        <w:trPr>
          <w:trHeight w:val="212"/>
        </w:trPr>
        <w:tc>
          <w:tcPr>
            <w:tcW w:w="7100" w:type="dxa"/>
            <w:vAlign w:val="bottom"/>
          </w:tcPr>
          <w:p>
            <w:pPr>
              <w:ind w:left="140"/>
              <w:spacing w:after="0"/>
              <w:rPr>
                <w:sz w:val="20"/>
                <w:szCs w:val="20"/>
                <w:color w:val="auto"/>
              </w:rPr>
            </w:pPr>
            <w:r>
              <w:rPr>
                <w:rFonts w:ascii="Arial" w:cs="Arial" w:eastAsia="Arial" w:hAnsi="Arial"/>
                <w:sz w:val="16"/>
                <w:szCs w:val="16"/>
                <w:color w:val="auto"/>
              </w:rPr>
              <w:t>Commercial</w:t>
            </w:r>
          </w:p>
        </w:tc>
        <w:tc>
          <w:tcPr>
            <w:tcW w:w="3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b w:val="1"/>
                <w:bCs w:val="1"/>
                <w:color w:val="auto"/>
              </w:rPr>
              <w:t>564,725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556,33</w:t>
            </w:r>
          </w:p>
        </w:tc>
      </w:tr>
      <w:tr>
        <w:trPr>
          <w:trHeight w:val="212"/>
        </w:trPr>
        <w:tc>
          <w:tcPr>
            <w:tcW w:w="7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Construction</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245,722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255,14</w:t>
            </w:r>
          </w:p>
        </w:tc>
      </w:tr>
      <w:tr>
        <w:trPr>
          <w:trHeight w:val="212"/>
        </w:trPr>
        <w:tc>
          <w:tcPr>
            <w:tcW w:w="7100" w:type="dxa"/>
            <w:vAlign w:val="bottom"/>
          </w:tcPr>
          <w:p>
            <w:pPr>
              <w:ind w:left="20"/>
              <w:spacing w:after="0"/>
              <w:rPr>
                <w:sz w:val="20"/>
                <w:szCs w:val="20"/>
                <w:color w:val="auto"/>
              </w:rPr>
            </w:pPr>
            <w:r>
              <w:rPr>
                <w:rFonts w:ascii="Arial" w:cs="Arial" w:eastAsia="Arial" w:hAnsi="Arial"/>
                <w:sz w:val="16"/>
                <w:szCs w:val="16"/>
                <w:color w:val="auto"/>
              </w:rPr>
              <w:t>Commercial and Industrial</w:t>
            </w:r>
          </w:p>
        </w:tc>
        <w:tc>
          <w:tcPr>
            <w:tcW w:w="3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b w:val="1"/>
                <w:bCs w:val="1"/>
                <w:color w:val="auto"/>
              </w:rPr>
              <w:t>177,504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175,95</w:t>
            </w:r>
          </w:p>
        </w:tc>
      </w:tr>
      <w:tr>
        <w:trPr>
          <w:trHeight w:val="212"/>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Credit card</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123,750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141,12</w:t>
            </w:r>
          </w:p>
        </w:tc>
      </w:tr>
      <w:tr>
        <w:trPr>
          <w:trHeight w:val="212"/>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consumer</w:t>
            </w:r>
          </w:p>
        </w:tc>
        <w:tc>
          <w:tcPr>
            <w:tcW w:w="3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909</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w:t>
            </w:r>
          </w:p>
        </w:tc>
      </w:tr>
      <w:tr>
        <w:trPr>
          <w:trHeight w:val="205"/>
        </w:trPr>
        <w:tc>
          <w:tcPr>
            <w:tcW w:w="7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Portfolio loans receivable, gross</w:t>
            </w:r>
          </w:p>
        </w:tc>
        <w:tc>
          <w:tcPr>
            <w:tcW w:w="3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1,532,852</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1,531,20</w:t>
            </w:r>
          </w:p>
        </w:tc>
      </w:tr>
      <w:tr>
        <w:trPr>
          <w:trHeight w:val="212"/>
        </w:trPr>
        <w:tc>
          <w:tcPr>
            <w:tcW w:w="7100" w:type="dxa"/>
            <w:vAlign w:val="bottom"/>
          </w:tcPr>
          <w:p>
            <w:pPr>
              <w:ind w:left="20"/>
              <w:spacing w:after="0"/>
              <w:rPr>
                <w:sz w:val="20"/>
                <w:szCs w:val="20"/>
                <w:color w:val="auto"/>
              </w:rPr>
            </w:pPr>
            <w:r>
              <w:rPr>
                <w:rFonts w:ascii="Arial" w:cs="Arial" w:eastAsia="Arial" w:hAnsi="Arial"/>
                <w:sz w:val="16"/>
                <w:szCs w:val="16"/>
                <w:color w:val="auto"/>
              </w:rPr>
              <w:t>Deferred origination fees, net</w:t>
            </w:r>
          </w:p>
        </w:tc>
        <w:tc>
          <w:tcPr>
            <w:tcW w:w="3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b w:val="1"/>
                <w:bCs w:val="1"/>
                <w:color w:val="auto"/>
              </w:rPr>
              <w:t>(6,596)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(7,22</w:t>
            </w:r>
          </w:p>
        </w:tc>
      </w:tr>
      <w:tr>
        <w:trPr>
          <w:trHeight w:val="212"/>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Allowance for loan losses</w:t>
            </w:r>
          </w:p>
        </w:tc>
        <w:tc>
          <w:tcPr>
            <w:tcW w:w="3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(25,252)</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(25,18</w:t>
            </w:r>
          </w:p>
        </w:tc>
      </w:tr>
      <w:tr>
        <w:trPr>
          <w:trHeight w:val="205"/>
        </w:trPr>
        <w:tc>
          <w:tcPr>
            <w:tcW w:w="7100" w:type="dxa"/>
            <w:vAlign w:val="bottom"/>
          </w:tcPr>
          <w:p>
            <w:pPr>
              <w:ind w:left="140"/>
              <w:spacing w:after="0"/>
              <w:rPr>
                <w:sz w:val="20"/>
                <w:szCs w:val="20"/>
                <w:color w:val="auto"/>
              </w:rPr>
            </w:pPr>
            <w:r>
              <w:rPr>
                <w:rFonts w:ascii="Arial" w:cs="Arial" w:eastAsia="Arial" w:hAnsi="Arial"/>
                <w:sz w:val="16"/>
                <w:szCs w:val="16"/>
                <w:color w:val="auto"/>
              </w:rPr>
              <w:t>Portfolio loans receivable, net</w:t>
            </w:r>
          </w:p>
        </w:tc>
        <w:tc>
          <w:tcPr>
            <w:tcW w:w="3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1,501,004</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1,498,80</w:t>
            </w:r>
          </w:p>
        </w:tc>
      </w:tr>
      <w:tr>
        <w:trPr>
          <w:trHeight w:val="20"/>
        </w:trPr>
        <w:tc>
          <w:tcPr>
            <w:tcW w:w="7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both"/>
        <w:ind w:right="100" w:firstLine="318"/>
        <w:spacing w:after="0" w:line="260" w:lineRule="auto"/>
        <w:rPr>
          <w:sz w:val="20"/>
          <w:szCs w:val="20"/>
          <w:color w:val="auto"/>
        </w:rPr>
      </w:pPr>
      <w:r>
        <w:rPr>
          <w:rFonts w:ascii="Arial" w:cs="Arial" w:eastAsia="Arial" w:hAnsi="Arial"/>
          <w:sz w:val="18"/>
          <w:szCs w:val="18"/>
          <w:color w:val="auto"/>
        </w:rPr>
        <w:t>The Company makes loans to customers located primarily in the Washington, D.C. and Baltimore, Maryland metropolitan areas. Although the loan portfolio is diversified, its performance is influenced by the regional economy. The Company’s loan categories, excluding SBA-PPP loans, previously discussed in Note 4, are described below.</w:t>
      </w:r>
    </w:p>
    <w:p>
      <w:pPr>
        <w:spacing w:after="0" w:line="175" w:lineRule="exact"/>
        <w:rPr>
          <w:sz w:val="20"/>
          <w:szCs w:val="20"/>
          <w:color w:val="auto"/>
        </w:rPr>
      </w:pPr>
    </w:p>
    <w:p>
      <w:pPr>
        <w:jc w:val="both"/>
        <w:ind w:right="100" w:firstLine="318"/>
        <w:spacing w:after="0" w:line="251" w:lineRule="auto"/>
        <w:rPr>
          <w:sz w:val="20"/>
          <w:szCs w:val="20"/>
          <w:color w:val="auto"/>
        </w:rPr>
      </w:pPr>
      <w:r>
        <w:rPr>
          <w:rFonts w:ascii="Arial" w:cs="Arial" w:eastAsia="Arial" w:hAnsi="Arial"/>
          <w:sz w:val="18"/>
          <w:szCs w:val="18"/>
          <w:i w:val="1"/>
          <w:iCs w:val="1"/>
          <w:color w:val="auto"/>
        </w:rPr>
        <w:t>Residential Real Estate Loans</w:t>
      </w:r>
      <w:r>
        <w:rPr>
          <w:rFonts w:ascii="Arial" w:cs="Arial" w:eastAsia="Arial" w:hAnsi="Arial"/>
          <w:sz w:val="18"/>
          <w:szCs w:val="18"/>
          <w:color w:val="auto"/>
        </w:rPr>
        <w:t>. One-to-four family mortgage loans are primarily secured by owner-occupied primary residences and, to a</w:t>
      </w:r>
      <w:r>
        <w:rPr>
          <w:rFonts w:ascii="Arial" w:cs="Arial" w:eastAsia="Arial" w:hAnsi="Arial"/>
          <w:sz w:val="18"/>
          <w:szCs w:val="18"/>
          <w:i w:val="1"/>
          <w:iCs w:val="1"/>
          <w:color w:val="auto"/>
        </w:rPr>
        <w:t xml:space="preserve"> </w:t>
      </w:r>
      <w:r>
        <w:rPr>
          <w:rFonts w:ascii="Arial" w:cs="Arial" w:eastAsia="Arial" w:hAnsi="Arial"/>
          <w:sz w:val="18"/>
          <w:szCs w:val="18"/>
          <w:color w:val="auto"/>
        </w:rPr>
        <w:t>lesser extent, investor owned residences. Residential loans are originated through the commercial sales teams and Capital Bank Home Loans division. Residential loans also include home equity lines of credit. Owner-occupied residential real estate loans usually have fixed rates for five or seven years and adjust on an annual basis after the initial term based on a typical maturity of 30 years. Investor residential real estate loans are generally based on 25-year terms with a balloon payment due after five years. Generally, the required minimum debt service coverage ratio is 115%.</w:t>
      </w:r>
    </w:p>
    <w:p>
      <w:pPr>
        <w:spacing w:after="0" w:line="185" w:lineRule="exact"/>
        <w:rPr>
          <w:sz w:val="20"/>
          <w:szCs w:val="20"/>
          <w:color w:val="auto"/>
        </w:rPr>
      </w:pPr>
    </w:p>
    <w:p>
      <w:pPr>
        <w:jc w:val="both"/>
        <w:ind w:right="100" w:firstLine="318"/>
        <w:spacing w:after="0" w:line="251" w:lineRule="auto"/>
        <w:rPr>
          <w:sz w:val="20"/>
          <w:szCs w:val="20"/>
          <w:color w:val="auto"/>
        </w:rPr>
      </w:pPr>
      <w:r>
        <w:rPr>
          <w:rFonts w:ascii="Arial" w:cs="Arial" w:eastAsia="Arial" w:hAnsi="Arial"/>
          <w:sz w:val="18"/>
          <w:szCs w:val="18"/>
          <w:i w:val="1"/>
          <w:iCs w:val="1"/>
          <w:color w:val="auto"/>
        </w:rPr>
        <w:t>Commercial Real Estate Loans</w:t>
      </w:r>
      <w:r>
        <w:rPr>
          <w:rFonts w:ascii="Arial" w:cs="Arial" w:eastAsia="Arial" w:hAnsi="Arial"/>
          <w:sz w:val="18"/>
          <w:szCs w:val="18"/>
          <w:color w:val="auto"/>
        </w:rPr>
        <w:t>. Commercial real estate loans are originated on owner-occupied and non-owner-occupied properties. These</w:t>
      </w:r>
      <w:r>
        <w:rPr>
          <w:rFonts w:ascii="Arial" w:cs="Arial" w:eastAsia="Arial" w:hAnsi="Arial"/>
          <w:sz w:val="18"/>
          <w:szCs w:val="18"/>
          <w:i w:val="1"/>
          <w:iCs w:val="1"/>
          <w:color w:val="auto"/>
        </w:rPr>
        <w:t xml:space="preserve"> </w:t>
      </w:r>
      <w:r>
        <w:rPr>
          <w:rFonts w:ascii="Arial" w:cs="Arial" w:eastAsia="Arial" w:hAnsi="Arial"/>
          <w:sz w:val="18"/>
          <w:szCs w:val="18"/>
          <w:color w:val="auto"/>
        </w:rPr>
        <w:t>loans may be more adversely affected by conditions in the real estate markets or in the general economy. Commercial loans that are secured by owner-occupied commercial real estate and primarily collateralized by operating cash flows are also included in this category of loans. As of March 31, 2022, there were approximately $309.2 million of owner-occupied commercial real estate loans, representing approximately 55% of the commercial real estate portfolio. Commercial real estate loan terms are generally extended for 10 years or less and amortize generally over 25 years or less. The interest rates on commercial real estate loans generally have initial fixed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262255</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617" w:right="239" w:bottom="1440" w:gutter="0" w:footer="0" w:header="0"/>
        </w:sectPr>
      </w:pPr>
    </w:p>
    <w:bookmarkStart w:id="20" w:name="page21"/>
    <w:bookmarkEnd w:id="20"/>
    <w:p>
      <w:pPr>
        <w:ind w:left="3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408940</wp:posOffset>
            </wp:positionH>
            <wp:positionV relativeFrom="page">
              <wp:posOffset>391795</wp:posOffset>
            </wp:positionV>
            <wp:extent cx="666369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663690" cy="17145"/>
                    </a:xfrm>
                    <a:prstGeom prst="rect">
                      <a:avLst/>
                    </a:prstGeom>
                    <a:noFill/>
                  </pic:spPr>
                </pic:pic>
              </a:graphicData>
            </a:graphic>
          </wp:anchor>
        </w:drawing>
        <w:t>Capital Bancorp, Inc. and Subsidiaries</w:t>
      </w:r>
    </w:p>
    <w:p>
      <w:pPr>
        <w:ind w:left="34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6350</wp:posOffset>
            </wp:positionV>
            <wp:extent cx="6663690" cy="165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663690" cy="16510"/>
                    </a:xfrm>
                    <a:prstGeom prst="rect">
                      <a:avLst/>
                    </a:prstGeom>
                    <a:noFill/>
                  </pic:spPr>
                </pic:pic>
              </a:graphicData>
            </a:graphic>
          </wp:anchor>
        </w:drawing>
      </w:r>
    </w:p>
    <w:p>
      <w:pPr>
        <w:spacing w:after="0" w:line="26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5 - Portfolio Loans Receivable (continued)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terms that adjust typically at five years. Origination fees are routinely charged for services. Personal guarantees from the principal owners of the business are generally required, supported by a review of the principal owners’ personal financial statements and global debt service obligations. The properties securing the portfolio are diverse in type. This diversity may help reduce the exposure to adverse economic events that affect any single industry.</w:t>
      </w:r>
    </w:p>
    <w:p>
      <w:pPr>
        <w:spacing w:after="0" w:line="180"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i w:val="1"/>
          <w:iCs w:val="1"/>
          <w:color w:val="auto"/>
        </w:rPr>
        <w:t>Construction Loans</w:t>
      </w:r>
      <w:r>
        <w:rPr>
          <w:rFonts w:ascii="Arial" w:cs="Arial" w:eastAsia="Arial" w:hAnsi="Arial"/>
          <w:sz w:val="18"/>
          <w:szCs w:val="18"/>
          <w:color w:val="auto"/>
        </w:rPr>
        <w:t>. Construction loans are offered within the Company’s Washington, D.C. and Baltimore, Maryland metropolitan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areas to builders primarily for the construction of single-family homes and condominium and townhouse conversions or renovations and, to a lesser extent, to individuals. Construction loans typically have terms of 12 to 18 months. The Company frequently transitions the end purchaser to permanent financing or re-underwriting and sale into the secondary market through Capital Bank Home Loans. According to underwriting standards, the ratio of loan principal to collateral value, as established by an independent appraisal, cannot exceed 75% for investor-owned and 80% for owner-occupied properties. Exceptions are sometimes made. Semi-annual stress testing of the construction loan portfolio is conducted, and underlying real estate conditions are monitored as well as trends of sales outcomes versus underwriting valuations as part of ongoing risk management efforts. The borrowers’ progress in construction buildout is monitored to enforce the original underwriting guidelines for construction milestones and completion timelines.</w:t>
      </w:r>
    </w:p>
    <w:p>
      <w:pPr>
        <w:spacing w:after="0" w:line="187"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i w:val="1"/>
          <w:iCs w:val="1"/>
          <w:color w:val="auto"/>
        </w:rPr>
        <w:t>Commercial and Industrial</w:t>
      </w:r>
      <w:r>
        <w:rPr>
          <w:rFonts w:ascii="Arial" w:cs="Arial" w:eastAsia="Arial" w:hAnsi="Arial"/>
          <w:sz w:val="18"/>
          <w:szCs w:val="18"/>
          <w:color w:val="auto"/>
        </w:rPr>
        <w:t>. In addition to other loan products, general commercial loans, including commercial lines of credit, working</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loans, term loans, equipment financing, letters of credit and other loan products are offered, primarily in target markets, and underwritten based on each borrower’s ability to service debt from income. These loans are primarily made based on the identified cash flows of the borrower and secondarily, on the underlying collateral provided by the borrower. Most commercial business loans are secured by a lien on general business assets including, among other things, available real estate, accounts receivable, promissory notes, inventory and equipment. Personal guaranties from the borrower or other principal are generally obtained.</w:t>
      </w:r>
    </w:p>
    <w:p>
      <w:pPr>
        <w:spacing w:after="0" w:line="181" w:lineRule="exact"/>
        <w:rPr>
          <w:sz w:val="20"/>
          <w:szCs w:val="20"/>
          <w:color w:val="auto"/>
        </w:rPr>
      </w:pPr>
    </w:p>
    <w:p>
      <w:pPr>
        <w:jc w:val="both"/>
        <w:ind w:firstLine="318"/>
        <w:spacing w:after="0" w:line="243" w:lineRule="auto"/>
        <w:rPr>
          <w:sz w:val="20"/>
          <w:szCs w:val="20"/>
          <w:color w:val="auto"/>
        </w:rPr>
      </w:pPr>
      <w:r>
        <w:rPr>
          <w:rFonts w:ascii="Arial" w:cs="Arial" w:eastAsia="Arial" w:hAnsi="Arial"/>
          <w:sz w:val="18"/>
          <w:szCs w:val="18"/>
          <w:i w:val="1"/>
          <w:iCs w:val="1"/>
          <w:color w:val="auto"/>
        </w:rPr>
        <w:t>Credit Cards</w:t>
      </w:r>
      <w:r>
        <w:rPr>
          <w:rFonts w:ascii="Arial" w:cs="Arial" w:eastAsia="Arial" w:hAnsi="Arial"/>
          <w:sz w:val="18"/>
          <w:szCs w:val="18"/>
          <w:color w:val="auto"/>
        </w:rPr>
        <w:t>. Through the OpenSky</w:t>
      </w:r>
      <w:r>
        <w:rPr>
          <w:rFonts w:ascii="Arial" w:cs="Arial" w:eastAsia="Arial" w:hAnsi="Arial"/>
          <w:sz w:val="22"/>
          <w:szCs w:val="22"/>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credit card division, the Company offers secured, partially secured, and unsecured credit cards on a</w:t>
      </w:r>
      <w:r>
        <w:rPr>
          <w:rFonts w:ascii="Arial" w:cs="Arial" w:eastAsia="Arial" w:hAnsi="Arial"/>
          <w:sz w:val="18"/>
          <w:szCs w:val="18"/>
          <w:i w:val="1"/>
          <w:iCs w:val="1"/>
          <w:color w:val="auto"/>
        </w:rPr>
        <w:t xml:space="preserve"> </w:t>
      </w:r>
      <w:r>
        <w:rPr>
          <w:rFonts w:ascii="Arial" w:cs="Arial" w:eastAsia="Arial" w:hAnsi="Arial"/>
          <w:sz w:val="18"/>
          <w:szCs w:val="18"/>
          <w:color w:val="auto"/>
        </w:rPr>
        <w:t>nationwide basis to under-banked populations and those looking to rebuild their credit scores through a fully digital and mobile platform. The secured lines of credit are secured by a noninterest bearing demand account at the Bank in an amount equal to the full credit limit of the credit card. For the partially secured lines of credit, the Bank offers certain customers an unsecured line in excess of their secured line of credit by using a proprietary scoring model, which considers credit score and repayment history (typically a minimum of six months of on-time repayments, but ultimately determined on a case-by-case basis). Partially secured and unsecured credit cards are only extended to existing secured card customers who have demonstrated sound credit behaviors. Approximately $111.7 million and $126.6 million of the $122.0 million and $140.2 million in secured and partially secured credit card balances were protected by savings deposits held by the Company as of March 31, 2022 and December 31, 2021, respectively, while $1.7 million and $951 thousand of the credit card balances were related to the unsecured credit cards for the same periods.</w:t>
      </w:r>
    </w:p>
    <w:p>
      <w:pPr>
        <w:spacing w:after="0" w:line="194"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i w:val="1"/>
          <w:iCs w:val="1"/>
          <w:color w:val="auto"/>
        </w:rPr>
        <w:t>Other Consumer Loans</w:t>
      </w:r>
      <w:r>
        <w:rPr>
          <w:rFonts w:ascii="Arial" w:cs="Arial" w:eastAsia="Arial" w:hAnsi="Arial"/>
          <w:sz w:val="18"/>
          <w:szCs w:val="18"/>
          <w:color w:val="auto"/>
        </w:rPr>
        <w:t>. To a limited extent and typically as an accommodation to existing customers, personal consumer loans, such as,</w:t>
      </w:r>
      <w:r>
        <w:rPr>
          <w:rFonts w:ascii="Arial" w:cs="Arial" w:eastAsia="Arial" w:hAnsi="Arial"/>
          <w:sz w:val="18"/>
          <w:szCs w:val="18"/>
          <w:i w:val="1"/>
          <w:iCs w:val="1"/>
          <w:color w:val="auto"/>
        </w:rPr>
        <w:t xml:space="preserve"> </w:t>
      </w:r>
      <w:r>
        <w:rPr>
          <w:rFonts w:ascii="Arial" w:cs="Arial" w:eastAsia="Arial" w:hAnsi="Arial"/>
          <w:sz w:val="18"/>
          <w:szCs w:val="18"/>
          <w:color w:val="auto"/>
        </w:rPr>
        <w:t>for example, term loans, car loans or boat loans are offered.</w:t>
      </w:r>
    </w:p>
    <w:p>
      <w:pPr>
        <w:spacing w:after="0" w:line="16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Loans acquired through acquisitions are recorded at estimated fair value on their purchase date with no carryover of the related allowance for loan losses. In estimating the fair value of loans acquired, certain factors were considered, including the remaining lives of the acquired loans, payment history, estimated prepayments, estimated loss ratios, estimated value of the underlying collateral and the net present value of cash flows expected. Discounts on loans that were not considered impaired at acquisition were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262255</wp:posOffset>
            </wp:positionV>
            <wp:extent cx="716026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617" w:right="339" w:bottom="1440" w:gutter="0" w:footer="0" w:header="0"/>
        </w:sectPr>
      </w:pPr>
    </w:p>
    <w:bookmarkStart w:id="21" w:name="page22"/>
    <w:bookmarkEnd w:id="21"/>
    <w:p>
      <w:pPr>
        <w:ind w:left="3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408940</wp:posOffset>
            </wp:positionH>
            <wp:positionV relativeFrom="page">
              <wp:posOffset>391795</wp:posOffset>
            </wp:positionV>
            <wp:extent cx="666369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663690" cy="17145"/>
                    </a:xfrm>
                    <a:prstGeom prst="rect">
                      <a:avLst/>
                    </a:prstGeom>
                    <a:noFill/>
                  </pic:spPr>
                </pic:pic>
              </a:graphicData>
            </a:graphic>
          </wp:anchor>
        </w:drawing>
        <w:t>Capital Bancorp, Inc. and Subsidiaries</w:t>
      </w:r>
    </w:p>
    <w:p>
      <w:pPr>
        <w:ind w:left="34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6350</wp:posOffset>
            </wp:positionV>
            <wp:extent cx="6663690" cy="165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663690" cy="16510"/>
                    </a:xfrm>
                    <a:prstGeom prst="rect">
                      <a:avLst/>
                    </a:prstGeom>
                    <a:noFill/>
                  </pic:spPr>
                </pic:pic>
              </a:graphicData>
            </a:graphic>
          </wp:anchor>
        </w:drawing>
      </w:r>
    </w:p>
    <w:p>
      <w:pPr>
        <w:spacing w:after="0" w:line="26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5 - Portfolio Loans Receivable (continued)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ind w:right="100"/>
        <w:spacing w:after="0" w:line="253" w:lineRule="auto"/>
        <w:rPr>
          <w:sz w:val="20"/>
          <w:szCs w:val="20"/>
          <w:color w:val="auto"/>
        </w:rPr>
      </w:pPr>
      <w:r>
        <w:rPr>
          <w:rFonts w:ascii="Arial" w:cs="Arial" w:eastAsia="Arial" w:hAnsi="Arial"/>
          <w:sz w:val="18"/>
          <w:szCs w:val="18"/>
          <w:color w:val="auto"/>
        </w:rPr>
        <w:t>recorded as an accretable discount, which will be recognized in interest income over the terms of the related loans. For loans considered to be impaired at acquisition, the difference between the contractually required payments and expected cash flows are recorded as a non-accretable discount. The remaining non-accretable discounts on loans acquired was $285 thousand as of March 31, 2022 and December 31, 2021. Loans with non-accretable discounts had carrying values of $810 thousand and $818 thousand as of March 31, 2022 and December 31, 2021, respectively.</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Accretable discounts on loans acquired is summarized as follows:</w:t>
      </w:r>
    </w:p>
    <w:p>
      <w:pPr>
        <w:spacing w:after="0" w:line="2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Accretable Discounts on Loans Acquired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84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20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4"/>
          </w:tcPr>
          <w:p>
            <w:pPr>
              <w:jc w:val="right"/>
              <w:ind w:right="669"/>
              <w:spacing w:after="0"/>
              <w:rPr>
                <w:sz w:val="20"/>
                <w:szCs w:val="20"/>
                <w:color w:val="auto"/>
              </w:rPr>
            </w:pPr>
            <w:r>
              <w:rPr>
                <w:rFonts w:ascii="Arial" w:cs="Arial" w:eastAsia="Arial" w:hAnsi="Arial"/>
                <w:sz w:val="14"/>
                <w:szCs w:val="14"/>
                <w:b w:val="1"/>
                <w:bCs w:val="1"/>
                <w:color w:val="auto"/>
              </w:rPr>
              <w:t>For the Three Months Ended</w:t>
            </w:r>
          </w:p>
        </w:tc>
      </w:tr>
      <w:tr>
        <w:trPr>
          <w:trHeight w:val="191"/>
        </w:trPr>
        <w:tc>
          <w:tcPr>
            <w:tcW w:w="7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2022</w:t>
            </w:r>
          </w:p>
        </w:tc>
        <w:tc>
          <w:tcPr>
            <w:tcW w:w="200" w:type="dxa"/>
            <w:vAlign w:val="bottom"/>
          </w:tcPr>
          <w:p>
            <w:pPr>
              <w:spacing w:after="0"/>
              <w:rPr>
                <w:sz w:val="16"/>
                <w:szCs w:val="16"/>
                <w:color w:val="auto"/>
              </w:rPr>
            </w:pPr>
          </w:p>
        </w:tc>
        <w:tc>
          <w:tcPr>
            <w:tcW w:w="1440" w:type="dxa"/>
            <w:vAlign w:val="bottom"/>
          </w:tcPr>
          <w:p>
            <w:pPr>
              <w:jc w:val="right"/>
              <w:ind w:right="249"/>
              <w:spacing w:after="0"/>
              <w:rPr>
                <w:sz w:val="20"/>
                <w:szCs w:val="20"/>
                <w:color w:val="auto"/>
              </w:rPr>
            </w:pPr>
            <w:r>
              <w:rPr>
                <w:rFonts w:ascii="Arial" w:cs="Arial" w:eastAsia="Arial" w:hAnsi="Arial"/>
                <w:sz w:val="14"/>
                <w:szCs w:val="14"/>
                <w:b w:val="1"/>
                <w:bCs w:val="1"/>
                <w:color w:val="auto"/>
              </w:rPr>
              <w:t>March 31, 2021</w:t>
            </w:r>
          </w:p>
        </w:tc>
      </w:tr>
      <w:tr>
        <w:trPr>
          <w:trHeight w:val="193"/>
        </w:trPr>
        <w:tc>
          <w:tcPr>
            <w:tcW w:w="7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Accretable discount at beginning of period</w:t>
            </w:r>
          </w:p>
        </w:tc>
        <w:tc>
          <w:tcPr>
            <w:tcW w:w="20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166</w:t>
            </w: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w:t>
            </w:r>
          </w:p>
        </w:tc>
      </w:tr>
      <w:tr>
        <w:trPr>
          <w:trHeight w:val="198"/>
        </w:trPr>
        <w:tc>
          <w:tcPr>
            <w:tcW w:w="784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Less: Accretion and payoff of loans</w:t>
            </w: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r>
      <w:tr>
        <w:trPr>
          <w:trHeight w:val="218"/>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Accretable discount at end of period</w:t>
            </w: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164</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218</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both"/>
        <w:ind w:right="100"/>
        <w:spacing w:after="0" w:line="274" w:lineRule="auto"/>
        <w:rPr>
          <w:sz w:val="20"/>
          <w:szCs w:val="20"/>
          <w:color w:val="auto"/>
        </w:rPr>
      </w:pPr>
      <w:r>
        <w:rPr>
          <w:rFonts w:ascii="Arial" w:cs="Arial" w:eastAsia="Arial" w:hAnsi="Arial"/>
          <w:sz w:val="18"/>
          <w:szCs w:val="18"/>
          <w:color w:val="auto"/>
        </w:rPr>
        <w:t>The following tables set forth the changes in the allowance for loan losses and an allocation of the allowance for loan losses by class for the three months ended March 31, 2022 and March 31, 2021.</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Allowance for Loan Losses</w:t>
      </w:r>
    </w:p>
    <w:p>
      <w:pPr>
        <w:spacing w:after="0" w:line="69" w:lineRule="exact"/>
        <w:rPr>
          <w:sz w:val="20"/>
          <w:szCs w:val="20"/>
          <w:color w:val="auto"/>
        </w:rPr>
      </w:pPr>
    </w:p>
    <w:tbl>
      <w:tblPr>
        <w:tblLayout w:type="fixed"/>
        <w:tblInd w:w="320" w:type="dxa"/>
        <w:tblCellMar>
          <w:top w:w="0" w:type="dxa"/>
          <w:left w:w="0" w:type="dxa"/>
          <w:bottom w:w="0" w:type="dxa"/>
          <w:right w:w="0" w:type="dxa"/>
        </w:tblCellMar>
      </w:tblPr>
      <w:tr>
        <w:trPr>
          <w:trHeight w:val="140"/>
        </w:trPr>
        <w:tc>
          <w:tcPr>
            <w:tcW w:w="20" w:type="dxa"/>
            <w:vAlign w:val="bottom"/>
          </w:tcPr>
          <w:p>
            <w:pPr>
              <w:spacing w:after="0"/>
              <w:rPr>
                <w:sz w:val="12"/>
                <w:szCs w:val="12"/>
                <w:color w:val="auto"/>
              </w:rPr>
            </w:pPr>
          </w:p>
        </w:tc>
        <w:tc>
          <w:tcPr>
            <w:tcW w:w="4740" w:type="dxa"/>
            <w:vAlign w:val="bottom"/>
            <w:gridSpan w:val="2"/>
          </w:tcPr>
          <w:p>
            <w:pPr>
              <w:spacing w:after="0"/>
              <w:rPr>
                <w:sz w:val="20"/>
                <w:szCs w:val="20"/>
                <w:color w:val="auto"/>
              </w:rPr>
            </w:pPr>
            <w:r>
              <w:rPr>
                <w:rFonts w:ascii="Arial" w:cs="Arial" w:eastAsia="Arial" w:hAnsi="Arial"/>
                <w:sz w:val="11"/>
                <w:szCs w:val="11"/>
                <w:color w:val="auto"/>
              </w:rPr>
              <w:t>(in thousands)</w:t>
            </w:r>
          </w:p>
        </w:tc>
        <w:tc>
          <w:tcPr>
            <w:tcW w:w="180" w:type="dxa"/>
            <w:vAlign w:val="bottom"/>
          </w:tcPr>
          <w:p>
            <w:pPr>
              <w:spacing w:after="0"/>
              <w:rPr>
                <w:sz w:val="12"/>
                <w:szCs w:val="12"/>
                <w:color w:val="auto"/>
              </w:rPr>
            </w:pPr>
          </w:p>
        </w:tc>
        <w:tc>
          <w:tcPr>
            <w:tcW w:w="11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9"/>
              </w:rPr>
              <w:t>Beginning</w:t>
            </w:r>
          </w:p>
        </w:tc>
        <w:tc>
          <w:tcPr>
            <w:tcW w:w="140" w:type="dxa"/>
            <w:vAlign w:val="bottom"/>
          </w:tcPr>
          <w:p>
            <w:pPr>
              <w:spacing w:after="0"/>
              <w:rPr>
                <w:sz w:val="12"/>
                <w:szCs w:val="12"/>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Provision for</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vMerge w:val="restart"/>
          </w:tcPr>
          <w:p>
            <w:pPr>
              <w:jc w:val="right"/>
              <w:ind w:right="69"/>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4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Three Months Ended March 31, 2022</w:t>
            </w:r>
          </w:p>
        </w:tc>
        <w:tc>
          <w:tcPr>
            <w:tcW w:w="18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Charge-Offs</w:t>
            </w:r>
          </w:p>
        </w:tc>
        <w:tc>
          <w:tcPr>
            <w:tcW w:w="16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Recoveries</w:t>
            </w:r>
          </w:p>
        </w:tc>
        <w:tc>
          <w:tcPr>
            <w:tcW w:w="2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280"/>
              <w:spacing w:after="0" w:line="146" w:lineRule="exact"/>
              <w:rPr>
                <w:sz w:val="20"/>
                <w:szCs w:val="20"/>
                <w:color w:val="auto"/>
              </w:rPr>
            </w:pPr>
            <w:r>
              <w:rPr>
                <w:rFonts w:ascii="Arial" w:cs="Arial" w:eastAsia="Arial" w:hAnsi="Arial"/>
                <w:sz w:val="14"/>
                <w:szCs w:val="14"/>
                <w:b w:val="1"/>
                <w:bCs w:val="1"/>
                <w:color w:val="auto"/>
              </w:rPr>
              <w:t>Balance</w:t>
            </w:r>
          </w:p>
        </w:tc>
        <w:tc>
          <w:tcPr>
            <w:tcW w:w="140" w:type="dxa"/>
            <w:vAlign w:val="bottom"/>
          </w:tcPr>
          <w:p>
            <w:pPr>
              <w:spacing w:after="0"/>
              <w:rPr>
                <w:sz w:val="12"/>
                <w:szCs w:val="12"/>
                <w:color w:val="auto"/>
              </w:rPr>
            </w:pPr>
          </w:p>
        </w:tc>
        <w:tc>
          <w:tcPr>
            <w:tcW w:w="1200" w:type="dxa"/>
            <w:vAlign w:val="bottom"/>
            <w:gridSpan w:val="2"/>
          </w:tcPr>
          <w:p>
            <w:pPr>
              <w:ind w:left="40"/>
              <w:spacing w:after="0" w:line="146" w:lineRule="exact"/>
              <w:rPr>
                <w:sz w:val="20"/>
                <w:szCs w:val="20"/>
                <w:color w:val="auto"/>
              </w:rPr>
            </w:pPr>
            <w:r>
              <w:rPr>
                <w:rFonts w:ascii="Arial" w:cs="Arial" w:eastAsia="Arial" w:hAnsi="Arial"/>
                <w:sz w:val="14"/>
                <w:szCs w:val="14"/>
                <w:b w:val="1"/>
                <w:bCs w:val="1"/>
                <w:color w:val="auto"/>
              </w:rPr>
              <w:t>Loan Losses</w:t>
            </w: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ind w:right="29"/>
              <w:spacing w:after="0" w:line="146" w:lineRule="exact"/>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4"/>
                <w:szCs w:val="14"/>
                <w:color w:val="auto"/>
              </w:rPr>
              <w:t>Real estate:</w:t>
            </w:r>
          </w:p>
        </w:tc>
        <w:tc>
          <w:tcPr>
            <w:tcW w:w="230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2440" w:type="dxa"/>
            <w:vAlign w:val="bottom"/>
            <w:vMerge w:val="continue"/>
          </w:tcPr>
          <w:p>
            <w:pPr>
              <w:spacing w:after="0"/>
              <w:rPr>
                <w:sz w:val="15"/>
                <w:szCs w:val="15"/>
                <w:color w:val="auto"/>
              </w:rPr>
            </w:pPr>
          </w:p>
        </w:tc>
        <w:tc>
          <w:tcPr>
            <w:tcW w:w="23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7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Residential</w:t>
            </w: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5,612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220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160" w:type="dxa"/>
            <w:vAlign w:val="bottom"/>
            <w:gridSpan w:val="2"/>
            <w:shd w:val="clear" w:color="auto" w:fill="CCEEFF"/>
          </w:tcPr>
          <w:p>
            <w:pPr>
              <w:ind w:left="84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740" w:type="dxa"/>
            <w:vAlign w:val="bottom"/>
            <w:gridSpan w:val="2"/>
          </w:tcPr>
          <w:p>
            <w:pPr>
              <w:ind w:left="120"/>
              <w:spacing w:after="0"/>
              <w:rPr>
                <w:sz w:val="20"/>
                <w:szCs w:val="20"/>
                <w:color w:val="auto"/>
              </w:rPr>
            </w:pPr>
            <w:r>
              <w:rPr>
                <w:rFonts w:ascii="Arial" w:cs="Arial" w:eastAsia="Arial" w:hAnsi="Arial"/>
                <w:sz w:val="14"/>
                <w:szCs w:val="14"/>
                <w:color w:val="auto"/>
              </w:rPr>
              <w:t>Commercial</w:t>
            </w: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8,566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9"/>
              <w:spacing w:after="0"/>
              <w:rPr>
                <w:sz w:val="20"/>
                <w:szCs w:val="20"/>
                <w:color w:val="auto"/>
              </w:rPr>
            </w:pPr>
            <w:r>
              <w:rPr>
                <w:rFonts w:ascii="Arial" w:cs="Arial" w:eastAsia="Arial" w:hAnsi="Arial"/>
                <w:sz w:val="14"/>
                <w:szCs w:val="14"/>
                <w:b w:val="1"/>
                <w:bCs w:val="1"/>
                <w:color w:val="auto"/>
              </w:rPr>
              <w:t>152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ind w:left="8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8,7</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47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Construction</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4,699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ind w:left="84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740" w:type="dxa"/>
            <w:vAlign w:val="bottom"/>
            <w:gridSpan w:val="2"/>
          </w:tcPr>
          <w:p>
            <w:pPr>
              <w:spacing w:after="0"/>
              <w:rPr>
                <w:sz w:val="20"/>
                <w:szCs w:val="20"/>
                <w:color w:val="auto"/>
              </w:rPr>
            </w:pPr>
            <w:r>
              <w:rPr>
                <w:rFonts w:ascii="Arial" w:cs="Arial" w:eastAsia="Arial" w:hAnsi="Arial"/>
                <w:sz w:val="14"/>
                <w:szCs w:val="14"/>
                <w:color w:val="auto"/>
              </w:rPr>
              <w:t>Commercial and Industrial</w:t>
            </w: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2,637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(287)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ind w:left="8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2,3</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Credit card</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3,655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961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ind w:left="680"/>
              <w:spacing w:after="0"/>
              <w:rPr>
                <w:sz w:val="20"/>
                <w:szCs w:val="20"/>
                <w:color w:val="auto"/>
              </w:rPr>
            </w:pPr>
            <w:r>
              <w:rPr>
                <w:rFonts w:ascii="Arial" w:cs="Arial" w:eastAsia="Arial" w:hAnsi="Arial"/>
                <w:sz w:val="14"/>
                <w:szCs w:val="14"/>
                <w:b w:val="1"/>
                <w:bCs w:val="1"/>
                <w:color w:val="auto"/>
              </w:rPr>
              <w:t>(899)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740" w:type="dxa"/>
            <w:vAlign w:val="bottom"/>
            <w:gridSpan w:val="2"/>
          </w:tcPr>
          <w:p>
            <w:pPr>
              <w:spacing w:after="0"/>
              <w:rPr>
                <w:sz w:val="20"/>
                <w:szCs w:val="20"/>
                <w:color w:val="auto"/>
              </w:rPr>
            </w:pPr>
            <w:r>
              <w:rPr>
                <w:rFonts w:ascii="Arial" w:cs="Arial" w:eastAsia="Arial" w:hAnsi="Arial"/>
                <w:sz w:val="14"/>
                <w:szCs w:val="14"/>
                <w:color w:val="auto"/>
              </w:rPr>
              <w:t>Other consumer</w:t>
            </w: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ind w:left="8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74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25,181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952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Borders>
              <w:top w:val="single" w:sz="8" w:color="auto"/>
              <w:bottom w:val="single" w:sz="8" w:color="auto"/>
            </w:tcBorders>
            <w:shd w:val="clear" w:color="auto" w:fill="CCEEFF"/>
          </w:tcPr>
          <w:p>
            <w:pPr>
              <w:ind w:left="680"/>
              <w:spacing w:after="0"/>
              <w:rPr>
                <w:sz w:val="20"/>
                <w:szCs w:val="20"/>
                <w:color w:val="auto"/>
              </w:rPr>
            </w:pPr>
            <w:r>
              <w:rPr>
                <w:rFonts w:ascii="Arial" w:cs="Arial" w:eastAsia="Arial" w:hAnsi="Arial"/>
                <w:sz w:val="14"/>
                <w:szCs w:val="14"/>
                <w:b w:val="1"/>
                <w:bCs w:val="1"/>
                <w:color w:val="auto"/>
              </w:rPr>
              <w:t>(899)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7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b w:val="1"/>
                <w:bCs w:val="1"/>
                <w:color w:val="auto"/>
              </w:rPr>
              <w:t>Three Months Ended March 31, 2021</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474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4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Real estate:</w:t>
            </w:r>
          </w:p>
        </w:tc>
        <w:tc>
          <w:tcPr>
            <w:tcW w:w="2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7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Residential</w:t>
            </w: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7,153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740" w:type="dxa"/>
            <w:vAlign w:val="bottom"/>
            <w:gridSpan w:val="2"/>
          </w:tcPr>
          <w:p>
            <w:pPr>
              <w:ind w:left="120"/>
              <w:spacing w:after="0"/>
              <w:rPr>
                <w:sz w:val="20"/>
                <w:szCs w:val="20"/>
                <w:color w:val="auto"/>
              </w:rPr>
            </w:pPr>
            <w:r>
              <w:rPr>
                <w:rFonts w:ascii="Arial" w:cs="Arial" w:eastAsia="Arial" w:hAnsi="Arial"/>
                <w:sz w:val="14"/>
                <w:szCs w:val="14"/>
                <w:color w:val="auto"/>
              </w:rPr>
              <w:t>Commercial</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6,786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9"/>
              <w:spacing w:after="0"/>
              <w:rPr>
                <w:sz w:val="20"/>
                <w:szCs w:val="20"/>
                <w:color w:val="auto"/>
              </w:rPr>
            </w:pPr>
            <w:r>
              <w:rPr>
                <w:rFonts w:ascii="Arial" w:cs="Arial" w:eastAsia="Arial" w:hAnsi="Arial"/>
                <w:sz w:val="14"/>
                <w:szCs w:val="14"/>
                <w:color w:val="auto"/>
              </w:rPr>
              <w:t>576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7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Construction</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4,595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740" w:type="dxa"/>
            <w:vAlign w:val="bottom"/>
            <w:gridSpan w:val="2"/>
          </w:tcPr>
          <w:p>
            <w:pPr>
              <w:spacing w:after="0"/>
              <w:rPr>
                <w:sz w:val="20"/>
                <w:szCs w:val="20"/>
                <w:color w:val="auto"/>
              </w:rPr>
            </w:pPr>
            <w:r>
              <w:rPr>
                <w:rFonts w:ascii="Arial" w:cs="Arial" w:eastAsia="Arial" w:hAnsi="Arial"/>
                <w:sz w:val="14"/>
                <w:szCs w:val="14"/>
                <w:color w:val="auto"/>
              </w:rPr>
              <w:t>Commercial and Industrial</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2,417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9"/>
              <w:spacing w:after="0"/>
              <w:rPr>
                <w:sz w:val="20"/>
                <w:szCs w:val="20"/>
                <w:color w:val="auto"/>
              </w:rPr>
            </w:pPr>
            <w:r>
              <w:rPr>
                <w:rFonts w:ascii="Arial" w:cs="Arial" w:eastAsia="Arial" w:hAnsi="Arial"/>
                <w:sz w:val="14"/>
                <w:szCs w:val="14"/>
                <w:color w:val="auto"/>
              </w:rPr>
              <w:t>136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ind w:left="680"/>
              <w:spacing w:after="0"/>
              <w:rPr>
                <w:sz w:val="20"/>
                <w:szCs w:val="20"/>
                <w:color w:val="auto"/>
              </w:rPr>
            </w:pPr>
            <w:r>
              <w:rPr>
                <w:rFonts w:ascii="Arial" w:cs="Arial" w:eastAsia="Arial" w:hAnsi="Arial"/>
                <w:sz w:val="14"/>
                <w:szCs w:val="14"/>
                <w:color w:val="auto"/>
              </w:rPr>
              <w:t>(104)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Credit card</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ind w:left="680"/>
              <w:spacing w:after="0"/>
              <w:rPr>
                <w:sz w:val="20"/>
                <w:szCs w:val="20"/>
                <w:color w:val="auto"/>
              </w:rPr>
            </w:pPr>
            <w:r>
              <w:rPr>
                <w:rFonts w:ascii="Arial" w:cs="Arial" w:eastAsia="Arial" w:hAnsi="Arial"/>
                <w:sz w:val="14"/>
                <w:szCs w:val="14"/>
                <w:color w:val="auto"/>
              </w:rPr>
              <w:t>(300)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740" w:type="dxa"/>
            <w:vAlign w:val="bottom"/>
            <w:gridSpan w:val="2"/>
          </w:tcPr>
          <w:p>
            <w:pPr>
              <w:spacing w:after="0"/>
              <w:rPr>
                <w:sz w:val="20"/>
                <w:szCs w:val="20"/>
                <w:color w:val="auto"/>
              </w:rPr>
            </w:pPr>
            <w:r>
              <w:rPr>
                <w:rFonts w:ascii="Arial" w:cs="Arial" w:eastAsia="Arial" w:hAnsi="Arial"/>
                <w:sz w:val="14"/>
                <w:szCs w:val="14"/>
                <w:color w:val="auto"/>
              </w:rPr>
              <w:t>Other consumer</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9"/>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74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23,434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503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CEEFF"/>
          </w:tcPr>
          <w:p>
            <w:pPr>
              <w:ind w:left="680"/>
              <w:spacing w:after="0"/>
              <w:rPr>
                <w:sz w:val="20"/>
                <w:szCs w:val="20"/>
                <w:color w:val="auto"/>
              </w:rPr>
            </w:pPr>
            <w:r>
              <w:rPr>
                <w:rFonts w:ascii="Arial" w:cs="Arial" w:eastAsia="Arial" w:hAnsi="Arial"/>
                <w:sz w:val="14"/>
                <w:szCs w:val="14"/>
                <w:color w:val="auto"/>
              </w:rPr>
              <w:t>(404)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253365</wp:posOffset>
            </wp:positionV>
            <wp:extent cx="716026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617" w:right="239" w:bottom="1440" w:gutter="0" w:footer="0" w:header="0"/>
        </w:sectPr>
      </w:pPr>
    </w:p>
    <w:bookmarkStart w:id="22" w:name="page23"/>
    <w:bookmarkEnd w:id="22"/>
    <w:p>
      <w:pPr>
        <w:ind w:left="3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408940</wp:posOffset>
            </wp:positionH>
            <wp:positionV relativeFrom="page">
              <wp:posOffset>391795</wp:posOffset>
            </wp:positionV>
            <wp:extent cx="666369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663690" cy="17145"/>
                    </a:xfrm>
                    <a:prstGeom prst="rect">
                      <a:avLst/>
                    </a:prstGeom>
                    <a:noFill/>
                  </pic:spPr>
                </pic:pic>
              </a:graphicData>
            </a:graphic>
          </wp:anchor>
        </w:drawing>
        <w:t>Capital Bancorp, Inc. and Subsidiaries</w:t>
      </w:r>
    </w:p>
    <w:p>
      <w:pPr>
        <w:ind w:left="34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6350</wp:posOffset>
            </wp:positionV>
            <wp:extent cx="666369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26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5 - Portfolio Loans Receivable (continued)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ind w:right="100" w:firstLine="318"/>
        <w:spacing w:after="0" w:line="260" w:lineRule="auto"/>
        <w:rPr>
          <w:sz w:val="20"/>
          <w:szCs w:val="20"/>
          <w:color w:val="auto"/>
        </w:rPr>
      </w:pPr>
      <w:r>
        <w:rPr>
          <w:rFonts w:ascii="Arial" w:cs="Arial" w:eastAsia="Arial" w:hAnsi="Arial"/>
          <w:sz w:val="18"/>
          <w:szCs w:val="18"/>
          <w:color w:val="auto"/>
        </w:rPr>
        <w:t>As mentioned in Note 1, the allowance for loan losses is estimated to adequately provide for probable future losses on existing loans. A major consideration in the determination of the allowance for loan loss on the credit card portfolio is based on historical loss experience in that portfolio and is calculated using both secured and unsecured loan balances.</w:t>
      </w:r>
    </w:p>
    <w:p>
      <w:pPr>
        <w:spacing w:after="0" w:line="175" w:lineRule="exact"/>
        <w:rPr>
          <w:sz w:val="20"/>
          <w:szCs w:val="20"/>
          <w:color w:val="auto"/>
        </w:rPr>
      </w:pPr>
    </w:p>
    <w:p>
      <w:pPr>
        <w:jc w:val="both"/>
        <w:ind w:right="100" w:firstLine="318"/>
        <w:spacing w:after="0" w:line="255" w:lineRule="auto"/>
        <w:rPr>
          <w:sz w:val="20"/>
          <w:szCs w:val="20"/>
          <w:color w:val="auto"/>
        </w:rPr>
      </w:pPr>
      <w:r>
        <w:rPr>
          <w:rFonts w:ascii="Arial" w:cs="Arial" w:eastAsia="Arial" w:hAnsi="Arial"/>
          <w:sz w:val="18"/>
          <w:szCs w:val="18"/>
          <w:color w:val="auto"/>
        </w:rPr>
        <w:t>The following tables present, by class and reserving methodology, the allocation of the allowance for loan losses and the gross investment in loans. The allowance for loan losses consists of specific and general components. The specific component relates to loans that are individually classified as impaired. The general component covers non-impaired loans and is based on historical loss experience adjusted for current economic factors.</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Allowance for Loan Loss Composition</w:t>
      </w:r>
    </w:p>
    <w:p>
      <w:pPr>
        <w:spacing w:after="0" w:line="50" w:lineRule="exact"/>
        <w:rPr>
          <w:sz w:val="20"/>
          <w:szCs w:val="20"/>
          <w:color w:val="auto"/>
        </w:rPr>
      </w:pPr>
    </w:p>
    <w:tbl>
      <w:tblPr>
        <w:tblLayout w:type="fixed"/>
        <w:tblInd w:w="32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60" w:type="dxa"/>
            <w:vAlign w:val="bottom"/>
            <w:gridSpan w:val="5"/>
          </w:tcPr>
          <w:p>
            <w:pPr>
              <w:jc w:val="center"/>
              <w:ind w:right="340"/>
              <w:spacing w:after="0"/>
              <w:rPr>
                <w:sz w:val="20"/>
                <w:szCs w:val="20"/>
                <w:color w:val="auto"/>
              </w:rPr>
            </w:pPr>
            <w:r>
              <w:rPr>
                <w:rFonts w:ascii="Arial" w:cs="Arial" w:eastAsia="Arial" w:hAnsi="Arial"/>
                <w:sz w:val="12"/>
                <w:szCs w:val="12"/>
                <w:b w:val="1"/>
                <w:bCs w:val="1"/>
                <w:color w:val="auto"/>
              </w:rPr>
              <w:t>Allowance for Loan Losses</w:t>
            </w:r>
          </w:p>
        </w:tc>
        <w:tc>
          <w:tcPr>
            <w:tcW w:w="240" w:type="dxa"/>
            <w:vAlign w:val="bottom"/>
          </w:tcPr>
          <w:p>
            <w:pPr>
              <w:spacing w:after="0"/>
              <w:rPr>
                <w:sz w:val="12"/>
                <w:szCs w:val="12"/>
                <w:color w:val="auto"/>
              </w:rPr>
            </w:pPr>
          </w:p>
        </w:tc>
        <w:tc>
          <w:tcPr>
            <w:tcW w:w="2540" w:type="dxa"/>
            <w:vAlign w:val="bottom"/>
            <w:gridSpan w:val="4"/>
          </w:tcPr>
          <w:p>
            <w:pPr>
              <w:jc w:val="center"/>
              <w:spacing w:after="0"/>
              <w:rPr>
                <w:sz w:val="20"/>
                <w:szCs w:val="20"/>
                <w:color w:val="auto"/>
              </w:rPr>
            </w:pPr>
            <w:r>
              <w:rPr>
                <w:rFonts w:ascii="Arial" w:cs="Arial" w:eastAsia="Arial" w:hAnsi="Arial"/>
                <w:sz w:val="12"/>
                <w:szCs w:val="12"/>
                <w:b w:val="1"/>
                <w:bCs w:val="1"/>
                <w:color w:val="auto"/>
              </w:rPr>
              <w:t>Outstanding Portfolio</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60" w:type="dxa"/>
            <w:vAlign w:val="bottom"/>
            <w:gridSpan w:val="5"/>
          </w:tcPr>
          <w:p>
            <w:pPr>
              <w:jc w:val="center"/>
              <w:ind w:right="360"/>
              <w:spacing w:after="0" w:line="128" w:lineRule="exact"/>
              <w:rPr>
                <w:sz w:val="20"/>
                <w:szCs w:val="20"/>
                <w:color w:val="auto"/>
              </w:rPr>
            </w:pPr>
            <w:r>
              <w:rPr>
                <w:rFonts w:ascii="Arial" w:cs="Arial" w:eastAsia="Arial" w:hAnsi="Arial"/>
                <w:sz w:val="12"/>
                <w:szCs w:val="12"/>
                <w:b w:val="1"/>
                <w:bCs w:val="1"/>
                <w:color w:val="auto"/>
              </w:rPr>
              <w:t>Ending Balance Evaluated</w:t>
            </w:r>
          </w:p>
        </w:tc>
        <w:tc>
          <w:tcPr>
            <w:tcW w:w="240" w:type="dxa"/>
            <w:vAlign w:val="bottom"/>
          </w:tcPr>
          <w:p>
            <w:pPr>
              <w:spacing w:after="0"/>
              <w:rPr>
                <w:sz w:val="11"/>
                <w:szCs w:val="11"/>
                <w:color w:val="auto"/>
              </w:rPr>
            </w:pPr>
          </w:p>
        </w:tc>
        <w:tc>
          <w:tcPr>
            <w:tcW w:w="2540" w:type="dxa"/>
            <w:vAlign w:val="bottom"/>
            <w:gridSpan w:val="4"/>
          </w:tcPr>
          <w:p>
            <w:pPr>
              <w:jc w:val="center"/>
              <w:spacing w:after="0" w:line="128" w:lineRule="exact"/>
              <w:rPr>
                <w:sz w:val="20"/>
                <w:szCs w:val="20"/>
                <w:color w:val="auto"/>
              </w:rPr>
            </w:pPr>
            <w:r>
              <w:rPr>
                <w:rFonts w:ascii="Arial" w:cs="Arial" w:eastAsia="Arial" w:hAnsi="Arial"/>
                <w:sz w:val="12"/>
                <w:szCs w:val="12"/>
                <w:b w:val="1"/>
                <w:bCs w:val="1"/>
                <w:color w:val="auto"/>
              </w:rPr>
              <w:t>Loan Balances Evaluated</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120" w:type="dxa"/>
            <w:vAlign w:val="bottom"/>
            <w:gridSpan w:val="3"/>
          </w:tcPr>
          <w:p>
            <w:pPr>
              <w:spacing w:after="0"/>
              <w:rPr>
                <w:sz w:val="20"/>
                <w:szCs w:val="20"/>
                <w:color w:val="auto"/>
              </w:rPr>
            </w:pPr>
            <w:r>
              <w:rPr>
                <w:rFonts w:ascii="Arial" w:cs="Arial" w:eastAsia="Arial" w:hAnsi="Arial"/>
                <w:sz w:val="11"/>
                <w:szCs w:val="11"/>
                <w:color w:val="auto"/>
              </w:rPr>
              <w:t>(in thousands)</w:t>
            </w:r>
          </w:p>
        </w:tc>
        <w:tc>
          <w:tcPr>
            <w:tcW w:w="24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4"/>
          </w:tcPr>
          <w:p>
            <w:pPr>
              <w:jc w:val="center"/>
              <w:ind w:right="170"/>
              <w:spacing w:after="0"/>
              <w:rPr>
                <w:sz w:val="20"/>
                <w:szCs w:val="20"/>
                <w:color w:val="auto"/>
              </w:rPr>
            </w:pPr>
            <w:r>
              <w:rPr>
                <w:rFonts w:ascii="Arial" w:cs="Arial" w:eastAsia="Arial" w:hAnsi="Arial"/>
                <w:sz w:val="12"/>
                <w:szCs w:val="12"/>
                <w:b w:val="1"/>
                <w:bCs w:val="1"/>
                <w:color w:val="auto"/>
              </w:rPr>
              <w:t>for Impairment:</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4"/>
          </w:tcPr>
          <w:p>
            <w:pPr>
              <w:jc w:val="center"/>
              <w:spacing w:after="0"/>
              <w:rPr>
                <w:sz w:val="20"/>
                <w:szCs w:val="20"/>
                <w:color w:val="auto"/>
              </w:rPr>
            </w:pPr>
            <w:r>
              <w:rPr>
                <w:rFonts w:ascii="Arial" w:cs="Arial" w:eastAsia="Arial" w:hAnsi="Arial"/>
                <w:sz w:val="12"/>
                <w:szCs w:val="12"/>
                <w:b w:val="1"/>
                <w:bCs w:val="1"/>
                <w:color w:val="auto"/>
              </w:rPr>
              <w:t>for Impairment: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120" w:type="dxa"/>
            <w:vAlign w:val="bottom"/>
            <w:gridSpan w:val="3"/>
          </w:tcPr>
          <w:p>
            <w:pPr>
              <w:spacing w:after="0" w:line="159" w:lineRule="exact"/>
              <w:rPr>
                <w:sz w:val="20"/>
                <w:szCs w:val="20"/>
                <w:color w:val="auto"/>
              </w:rPr>
            </w:pPr>
            <w:r>
              <w:rPr>
                <w:rFonts w:ascii="Arial" w:cs="Arial" w:eastAsia="Arial" w:hAnsi="Arial"/>
                <w:sz w:val="14"/>
                <w:szCs w:val="14"/>
                <w:b w:val="1"/>
                <w:bCs w:val="1"/>
                <w:color w:val="auto"/>
              </w:rPr>
              <w:t>March 31, 2022</w:t>
            </w:r>
          </w:p>
        </w:tc>
        <w:tc>
          <w:tcPr>
            <w:tcW w:w="240" w:type="dxa"/>
            <w:vAlign w:val="bottom"/>
          </w:tcPr>
          <w:p>
            <w:pPr>
              <w:spacing w:after="0"/>
              <w:rPr>
                <w:sz w:val="13"/>
                <w:szCs w:val="13"/>
                <w:color w:val="auto"/>
              </w:rPr>
            </w:pPr>
          </w:p>
        </w:tc>
        <w:tc>
          <w:tcPr>
            <w:tcW w:w="1320" w:type="dxa"/>
            <w:vAlign w:val="bottom"/>
            <w:gridSpan w:val="2"/>
          </w:tcPr>
          <w:p>
            <w:pPr>
              <w:ind w:left="140"/>
              <w:spacing w:after="0"/>
              <w:rPr>
                <w:sz w:val="20"/>
                <w:szCs w:val="20"/>
                <w:color w:val="auto"/>
              </w:rPr>
            </w:pPr>
            <w:r>
              <w:rPr>
                <w:rFonts w:ascii="Arial" w:cs="Arial" w:eastAsia="Arial" w:hAnsi="Arial"/>
                <w:sz w:val="12"/>
                <w:szCs w:val="12"/>
                <w:b w:val="1"/>
                <w:bCs w:val="1"/>
                <w:color w:val="auto"/>
              </w:rPr>
              <w:t>Individually</w:t>
            </w:r>
          </w:p>
        </w:tc>
        <w:tc>
          <w:tcPr>
            <w:tcW w:w="220" w:type="dxa"/>
            <w:vAlign w:val="bottom"/>
          </w:tcPr>
          <w:p>
            <w:pPr>
              <w:spacing w:after="0"/>
              <w:rPr>
                <w:sz w:val="13"/>
                <w:szCs w:val="13"/>
                <w:color w:val="auto"/>
              </w:rPr>
            </w:pPr>
          </w:p>
        </w:tc>
        <w:tc>
          <w:tcPr>
            <w:tcW w:w="1320" w:type="dxa"/>
            <w:vAlign w:val="bottom"/>
            <w:gridSpan w:val="2"/>
          </w:tcPr>
          <w:p>
            <w:pPr>
              <w:ind w:left="140"/>
              <w:spacing w:after="0"/>
              <w:rPr>
                <w:sz w:val="20"/>
                <w:szCs w:val="20"/>
                <w:color w:val="auto"/>
              </w:rPr>
            </w:pPr>
            <w:r>
              <w:rPr>
                <w:rFonts w:ascii="Arial" w:cs="Arial" w:eastAsia="Arial" w:hAnsi="Arial"/>
                <w:sz w:val="12"/>
                <w:szCs w:val="12"/>
                <w:b w:val="1"/>
                <w:bCs w:val="1"/>
                <w:color w:val="auto"/>
              </w:rPr>
              <w:t>Collectively</w:t>
            </w:r>
          </w:p>
        </w:tc>
        <w:tc>
          <w:tcPr>
            <w:tcW w:w="240" w:type="dxa"/>
            <w:vAlign w:val="bottom"/>
          </w:tcPr>
          <w:p>
            <w:pPr>
              <w:spacing w:after="0"/>
              <w:rPr>
                <w:sz w:val="13"/>
                <w:szCs w:val="13"/>
                <w:color w:val="auto"/>
              </w:rPr>
            </w:pPr>
          </w:p>
        </w:tc>
        <w:tc>
          <w:tcPr>
            <w:tcW w:w="1320" w:type="dxa"/>
            <w:vAlign w:val="bottom"/>
            <w:gridSpan w:val="2"/>
          </w:tcPr>
          <w:p>
            <w:pPr>
              <w:ind w:left="140"/>
              <w:spacing w:after="0"/>
              <w:rPr>
                <w:sz w:val="20"/>
                <w:szCs w:val="20"/>
                <w:color w:val="auto"/>
              </w:rPr>
            </w:pPr>
            <w:r>
              <w:rPr>
                <w:rFonts w:ascii="Arial" w:cs="Arial" w:eastAsia="Arial" w:hAnsi="Arial"/>
                <w:sz w:val="12"/>
                <w:szCs w:val="12"/>
                <w:b w:val="1"/>
                <w:bCs w:val="1"/>
                <w:color w:val="auto"/>
              </w:rPr>
              <w:t>Individually</w:t>
            </w:r>
          </w:p>
        </w:tc>
        <w:tc>
          <w:tcPr>
            <w:tcW w:w="240" w:type="dxa"/>
            <w:vAlign w:val="bottom"/>
          </w:tcPr>
          <w:p>
            <w:pPr>
              <w:spacing w:after="0"/>
              <w:rPr>
                <w:sz w:val="13"/>
                <w:szCs w:val="13"/>
                <w:color w:val="auto"/>
              </w:rPr>
            </w:pPr>
          </w:p>
        </w:tc>
        <w:tc>
          <w:tcPr>
            <w:tcW w:w="980" w:type="dxa"/>
            <w:vAlign w:val="bottom"/>
          </w:tcPr>
          <w:p>
            <w:pPr>
              <w:jc w:val="right"/>
              <w:ind w:right="90"/>
              <w:spacing w:after="0"/>
              <w:rPr>
                <w:sz w:val="20"/>
                <w:szCs w:val="20"/>
                <w:color w:val="auto"/>
              </w:rPr>
            </w:pPr>
            <w:r>
              <w:rPr>
                <w:rFonts w:ascii="Arial" w:cs="Arial" w:eastAsia="Arial" w:hAnsi="Arial"/>
                <w:sz w:val="12"/>
                <w:szCs w:val="12"/>
                <w:b w:val="1"/>
                <w:bCs w:val="1"/>
                <w:color w:val="auto"/>
              </w:rPr>
              <w:t>Collectively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4"/>
                <w:szCs w:val="14"/>
                <w:color w:val="auto"/>
              </w:rPr>
              <w:t>Real estate:</w:t>
            </w:r>
          </w:p>
        </w:tc>
        <w:tc>
          <w:tcPr>
            <w:tcW w:w="4120" w:type="dxa"/>
            <w:vAlign w:val="bottom"/>
            <w:gridSpan w:val="2"/>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41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1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Residential</w:t>
            </w:r>
          </w:p>
        </w:tc>
        <w:tc>
          <w:tcPr>
            <w:tcW w:w="24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5,832</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2,726</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417,5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20" w:type="dxa"/>
            <w:vAlign w:val="bottom"/>
            <w:gridSpan w:val="3"/>
          </w:tcPr>
          <w:p>
            <w:pPr>
              <w:ind w:left="120"/>
              <w:spacing w:after="0"/>
              <w:rPr>
                <w:sz w:val="20"/>
                <w:szCs w:val="20"/>
                <w:color w:val="auto"/>
              </w:rPr>
            </w:pPr>
            <w:r>
              <w:rPr>
                <w:rFonts w:ascii="Arial" w:cs="Arial" w:eastAsia="Arial" w:hAnsi="Arial"/>
                <w:sz w:val="14"/>
                <w:szCs w:val="14"/>
                <w:color w:val="auto"/>
              </w:rPr>
              <w:t>Commercial</w:t>
            </w:r>
          </w:p>
        </w:tc>
        <w:tc>
          <w:tcPr>
            <w:tcW w:w="240" w:type="dxa"/>
            <w:vAlign w:val="bottom"/>
          </w:tcPr>
          <w:p>
            <w:pPr>
              <w:spacing w:after="0"/>
              <w:rPr>
                <w:sz w:val="17"/>
                <w:szCs w:val="17"/>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8,718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22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564,7</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51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Construction</w:t>
            </w:r>
          </w:p>
        </w:tc>
        <w:tc>
          <w:tcPr>
            <w:tcW w:w="2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4,607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2,041</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243,6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20" w:type="dxa"/>
            <w:vAlign w:val="bottom"/>
            <w:gridSpan w:val="3"/>
          </w:tcPr>
          <w:p>
            <w:pPr>
              <w:spacing w:after="0"/>
              <w:rPr>
                <w:sz w:val="20"/>
                <w:szCs w:val="20"/>
                <w:color w:val="auto"/>
              </w:rPr>
            </w:pPr>
            <w:r>
              <w:rPr>
                <w:rFonts w:ascii="Arial" w:cs="Arial" w:eastAsia="Arial" w:hAnsi="Arial"/>
                <w:sz w:val="14"/>
                <w:szCs w:val="14"/>
                <w:color w:val="auto"/>
              </w:rPr>
              <w:t>Commercial and Industrial</w:t>
            </w: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204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2,146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851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176,6</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51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Credit card</w:t>
            </w:r>
          </w:p>
        </w:tc>
        <w:tc>
          <w:tcPr>
            <w:tcW w:w="2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3,735</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123,7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20" w:type="dxa"/>
            <w:vAlign w:val="bottom"/>
            <w:gridSpan w:val="3"/>
          </w:tcPr>
          <w:p>
            <w:pPr>
              <w:spacing w:after="0"/>
              <w:rPr>
                <w:sz w:val="20"/>
                <w:szCs w:val="20"/>
                <w:color w:val="auto"/>
              </w:rPr>
            </w:pPr>
            <w:r>
              <w:rPr>
                <w:rFonts w:ascii="Arial" w:cs="Arial" w:eastAsia="Arial" w:hAnsi="Arial"/>
                <w:sz w:val="14"/>
                <w:szCs w:val="14"/>
                <w:color w:val="auto"/>
              </w:rPr>
              <w:t>Other consumer</w:t>
            </w:r>
          </w:p>
        </w:tc>
        <w:tc>
          <w:tcPr>
            <w:tcW w:w="240" w:type="dxa"/>
            <w:vAlign w:val="bottom"/>
          </w:tcPr>
          <w:p>
            <w:pPr>
              <w:spacing w:after="0"/>
              <w:rPr>
                <w:sz w:val="17"/>
                <w:szCs w:val="17"/>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10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9</w:t>
            </w:r>
          </w:p>
        </w:tc>
        <w:tc>
          <w:tcPr>
            <w:tcW w:w="0" w:type="dxa"/>
            <w:vAlign w:val="bottom"/>
          </w:tcPr>
          <w:p>
            <w:pPr>
              <w:spacing w:after="0"/>
              <w:rPr>
                <w:sz w:val="1"/>
                <w:szCs w:val="1"/>
                <w:color w:val="auto"/>
              </w:rPr>
            </w:pPr>
          </w:p>
        </w:tc>
      </w:tr>
      <w:tr>
        <w:trPr>
          <w:trHeight w:val="218"/>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5120" w:type="dxa"/>
            <w:vAlign w:val="bottom"/>
            <w:tcBorders>
              <w:top w:val="single" w:sz="8" w:color="CCEEFF"/>
              <w:bottom w:val="single" w:sz="8" w:color="CCEEFF"/>
            </w:tcBorders>
            <w:gridSpan w:val="3"/>
            <w:shd w:val="clear" w:color="auto" w:fill="CCEEFF"/>
          </w:tcPr>
          <w:p>
            <w:pPr>
              <w:ind w:left="200"/>
              <w:spacing w:after="0"/>
              <w:rPr>
                <w:sz w:val="20"/>
                <w:szCs w:val="20"/>
                <w:color w:val="auto"/>
              </w:rPr>
            </w:pPr>
            <w:r>
              <w:rPr>
                <w:rFonts w:ascii="Arial" w:cs="Arial" w:eastAsia="Arial" w:hAnsi="Arial"/>
                <w:sz w:val="16"/>
                <w:szCs w:val="16"/>
                <w:color w:val="auto"/>
              </w:rPr>
              <w:t>Total</w:t>
            </w:r>
          </w:p>
        </w:tc>
        <w:tc>
          <w:tcPr>
            <w:tcW w:w="24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204</w:t>
            </w:r>
          </w:p>
        </w:tc>
        <w:tc>
          <w:tcPr>
            <w:tcW w:w="120" w:type="dxa"/>
            <w:vAlign w:val="bottom"/>
            <w:tcBorders>
              <w:top w:val="single" w:sz="8" w:color="CCEEFF"/>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25,048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5,640</w:t>
            </w:r>
          </w:p>
        </w:tc>
        <w:tc>
          <w:tcPr>
            <w:tcW w:w="120" w:type="dxa"/>
            <w:vAlign w:val="bottom"/>
            <w:tcBorders>
              <w:top w:val="single" w:sz="8" w:color="CCEEFF"/>
              <w:bottom w:val="single" w:sz="8" w:color="auto"/>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1,527,2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auto"/>
            </w:tcBorders>
            <w:gridSpan w:val="2"/>
            <w:shd w:val="clear" w:color="auto" w:fill="CCEEFF"/>
          </w:tcPr>
          <w:p>
            <w:pPr>
              <w:spacing w:after="0" w:line="159" w:lineRule="exact"/>
              <w:rPr>
                <w:sz w:val="20"/>
                <w:szCs w:val="20"/>
                <w:color w:val="auto"/>
              </w:rPr>
            </w:pPr>
            <w:r>
              <w:rPr>
                <w:rFonts w:ascii="Arial" w:cs="Arial" w:eastAsia="Arial" w:hAnsi="Arial"/>
                <w:sz w:val="14"/>
                <w:szCs w:val="14"/>
                <w:b w:val="1"/>
                <w:bCs w:val="1"/>
                <w:color w:val="auto"/>
                <w:w w:val="99"/>
              </w:rPr>
              <w:t>December 31, 2021</w:t>
            </w:r>
          </w:p>
        </w:tc>
        <w:tc>
          <w:tcPr>
            <w:tcW w:w="38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120" w:type="dxa"/>
            <w:vAlign w:val="bottom"/>
            <w:gridSpan w:val="3"/>
          </w:tcPr>
          <w:p>
            <w:pPr>
              <w:spacing w:after="0"/>
              <w:rPr>
                <w:sz w:val="20"/>
                <w:szCs w:val="20"/>
                <w:color w:val="auto"/>
              </w:rPr>
            </w:pPr>
            <w:r>
              <w:rPr>
                <w:rFonts w:ascii="Arial" w:cs="Arial" w:eastAsia="Arial" w:hAnsi="Arial"/>
                <w:sz w:val="14"/>
                <w:szCs w:val="14"/>
                <w:color w:val="auto"/>
              </w:rPr>
              <w:t>Real estate:</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1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Residential</w:t>
            </w:r>
          </w:p>
        </w:tc>
        <w:tc>
          <w:tcPr>
            <w:tcW w:w="2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5,612</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2,835</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120" w:type="dxa"/>
            <w:vAlign w:val="bottom"/>
            <w:gridSpan w:val="3"/>
          </w:tcPr>
          <w:p>
            <w:pPr>
              <w:ind w:left="120"/>
              <w:spacing w:after="0"/>
              <w:rPr>
                <w:sz w:val="20"/>
                <w:szCs w:val="20"/>
                <w:color w:val="auto"/>
              </w:rPr>
            </w:pPr>
            <w:r>
              <w:rPr>
                <w:rFonts w:ascii="Arial" w:cs="Arial" w:eastAsia="Arial" w:hAnsi="Arial"/>
                <w:sz w:val="14"/>
                <w:szCs w:val="14"/>
                <w:color w:val="auto"/>
              </w:rPr>
              <w:t>Commercial</w:t>
            </w:r>
          </w:p>
        </w:tc>
        <w:tc>
          <w:tcPr>
            <w:tcW w:w="24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8,566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556,3</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1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Construction</w:t>
            </w:r>
          </w:p>
        </w:tc>
        <w:tc>
          <w:tcPr>
            <w:tcW w:w="2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4,699</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7,803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120" w:type="dxa"/>
            <w:vAlign w:val="bottom"/>
            <w:gridSpan w:val="3"/>
          </w:tcPr>
          <w:p>
            <w:pPr>
              <w:spacing w:after="0"/>
              <w:rPr>
                <w:sz w:val="20"/>
                <w:szCs w:val="20"/>
                <w:color w:val="auto"/>
              </w:rPr>
            </w:pPr>
            <w:r>
              <w:rPr>
                <w:rFonts w:ascii="Arial" w:cs="Arial" w:eastAsia="Arial" w:hAnsi="Arial"/>
                <w:sz w:val="14"/>
                <w:szCs w:val="14"/>
                <w:color w:val="auto"/>
              </w:rPr>
              <w:t>Commercial and Industrial</w:t>
            </w: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218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2,419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676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175,2</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1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Credit card</w:t>
            </w:r>
          </w:p>
        </w:tc>
        <w:tc>
          <w:tcPr>
            <w:tcW w:w="2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3,655</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120" w:type="dxa"/>
            <w:vAlign w:val="bottom"/>
            <w:gridSpan w:val="3"/>
          </w:tcPr>
          <w:p>
            <w:pPr>
              <w:spacing w:after="0"/>
              <w:rPr>
                <w:sz w:val="20"/>
                <w:szCs w:val="20"/>
                <w:color w:val="auto"/>
              </w:rPr>
            </w:pPr>
            <w:r>
              <w:rPr>
                <w:rFonts w:ascii="Arial" w:cs="Arial" w:eastAsia="Arial" w:hAnsi="Arial"/>
                <w:sz w:val="14"/>
                <w:szCs w:val="14"/>
                <w:color w:val="auto"/>
              </w:rPr>
              <w:t>Other consumer</w:t>
            </w:r>
          </w:p>
        </w:tc>
        <w:tc>
          <w:tcPr>
            <w:tcW w:w="24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21"/>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5120" w:type="dxa"/>
            <w:vAlign w:val="bottom"/>
            <w:tcBorders>
              <w:top w:val="single" w:sz="8" w:color="CCEEFF"/>
              <w:bottom w:val="single" w:sz="8" w:color="CCEEFF"/>
            </w:tcBorders>
            <w:gridSpan w:val="3"/>
            <w:shd w:val="clear" w:color="auto" w:fill="CCEEFF"/>
          </w:tcPr>
          <w:p>
            <w:pPr>
              <w:ind w:left="200"/>
              <w:spacing w:after="0"/>
              <w:rPr>
                <w:sz w:val="20"/>
                <w:szCs w:val="20"/>
                <w:color w:val="auto"/>
              </w:rPr>
            </w:pPr>
            <w:r>
              <w:rPr>
                <w:rFonts w:ascii="Arial" w:cs="Arial" w:eastAsia="Arial" w:hAnsi="Arial"/>
                <w:sz w:val="16"/>
                <w:szCs w:val="16"/>
                <w:color w:val="auto"/>
              </w:rPr>
              <w:t>Total</w:t>
            </w:r>
          </w:p>
        </w:tc>
        <w:tc>
          <w:tcPr>
            <w:tcW w:w="24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24,963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11,339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1,519,8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262255</wp:posOffset>
            </wp:positionV>
            <wp:extent cx="716026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617" w:right="239" w:bottom="1440" w:gutter="0" w:footer="0" w:header="0"/>
        </w:sectPr>
      </w:pPr>
    </w:p>
    <w:bookmarkStart w:id="23" w:name="page24"/>
    <w:bookmarkEnd w:id="23"/>
    <w:p>
      <w:pPr>
        <w:ind w:left="3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408940</wp:posOffset>
            </wp:positionH>
            <wp:positionV relativeFrom="page">
              <wp:posOffset>391795</wp:posOffset>
            </wp:positionV>
            <wp:extent cx="6663690" cy="165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663690" cy="16510"/>
                    </a:xfrm>
                    <a:prstGeom prst="rect">
                      <a:avLst/>
                    </a:prstGeom>
                    <a:noFill/>
                  </pic:spPr>
                </pic:pic>
              </a:graphicData>
            </a:graphic>
          </wp:anchor>
        </w:drawing>
        <w:t>Capital Bancorp, Inc. and Subsidiaries</w:t>
      </w:r>
    </w:p>
    <w:p>
      <w:pPr>
        <w:ind w:left="34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6350</wp:posOffset>
            </wp:positionV>
            <wp:extent cx="666369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26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5 - Portfolio Loans Receivable (continued)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Past due loans, segregated by age and class of loans, as of March 31, 2022 and December 31, 2021 were as follows:</w:t>
      </w:r>
    </w:p>
    <w:p>
      <w:pPr>
        <w:spacing w:after="0" w:line="259"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Portfolio Loans Past Due</w:t>
      </w:r>
    </w:p>
    <w:p>
      <w:pPr>
        <w:spacing w:after="0" w:line="196" w:lineRule="exact"/>
        <w:rPr>
          <w:sz w:val="20"/>
          <w:szCs w:val="20"/>
          <w:color w:val="auto"/>
        </w:rPr>
      </w:pPr>
    </w:p>
    <w:tbl>
      <w:tblPr>
        <w:tblLayout w:type="fixed"/>
        <w:tblInd w:w="60" w:type="dxa"/>
        <w:tblCellMar>
          <w:top w:w="0" w:type="dxa"/>
          <w:left w:w="0" w:type="dxa"/>
          <w:bottom w:w="0" w:type="dxa"/>
          <w:right w:w="0" w:type="dxa"/>
        </w:tblCellMar>
      </w:tblPr>
      <w:tr>
        <w:trPr>
          <w:trHeight w:val="138"/>
        </w:trPr>
        <w:tc>
          <w:tcPr>
            <w:tcW w:w="3360" w:type="dxa"/>
            <w:vAlign w:val="bottom"/>
            <w:gridSpan w:val="3"/>
            <w:vMerge w:val="restart"/>
          </w:tcPr>
          <w:p>
            <w:pPr>
              <w:ind w:left="20"/>
              <w:spacing w:after="0"/>
              <w:rPr>
                <w:sz w:val="20"/>
                <w:szCs w:val="20"/>
                <w:color w:val="auto"/>
              </w:rPr>
            </w:pPr>
            <w:r>
              <w:rPr>
                <w:rFonts w:ascii="Arial" w:cs="Arial" w:eastAsia="Arial" w:hAnsi="Arial"/>
                <w:sz w:val="11"/>
                <w:szCs w:val="11"/>
                <w:color w:val="auto"/>
              </w:rPr>
              <w:t>(in thousands)</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rPr>
              <w:t>Loans</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rPr>
              <w:t>Accruing</w:t>
            </w: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336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gridSpan w:val="2"/>
          </w:tcPr>
          <w:p>
            <w:pPr>
              <w:jc w:val="center"/>
              <w:ind w:right="240"/>
              <w:spacing w:after="0" w:line="110" w:lineRule="exact"/>
              <w:rPr>
                <w:sz w:val="20"/>
                <w:szCs w:val="20"/>
                <w:color w:val="auto"/>
              </w:rPr>
            </w:pPr>
            <w:r>
              <w:rPr>
                <w:rFonts w:ascii="Arial" w:cs="Arial" w:eastAsia="Arial" w:hAnsi="Arial"/>
                <w:sz w:val="12"/>
                <w:szCs w:val="12"/>
                <w:b w:val="1"/>
                <w:bCs w:val="1"/>
                <w:color w:val="auto"/>
              </w:rPr>
              <w:t>Loans</w:t>
            </w:r>
          </w:p>
        </w:tc>
        <w:tc>
          <w:tcPr>
            <w:tcW w:w="120" w:type="dxa"/>
            <w:vAlign w:val="bottom"/>
          </w:tcPr>
          <w:p>
            <w:pPr>
              <w:spacing w:after="0"/>
              <w:rPr>
                <w:sz w:val="9"/>
                <w:szCs w:val="9"/>
                <w:color w:val="auto"/>
              </w:rPr>
            </w:pPr>
          </w:p>
        </w:tc>
        <w:tc>
          <w:tcPr>
            <w:tcW w:w="940" w:type="dxa"/>
            <w:vAlign w:val="bottom"/>
            <w:gridSpan w:val="2"/>
          </w:tcPr>
          <w:p>
            <w:pPr>
              <w:jc w:val="center"/>
              <w:ind w:right="240"/>
              <w:spacing w:after="0" w:line="110" w:lineRule="exact"/>
              <w:rPr>
                <w:sz w:val="20"/>
                <w:szCs w:val="20"/>
                <w:color w:val="auto"/>
              </w:rPr>
            </w:pPr>
            <w:r>
              <w:rPr>
                <w:rFonts w:ascii="Arial" w:cs="Arial" w:eastAsia="Arial" w:hAnsi="Arial"/>
                <w:sz w:val="12"/>
                <w:szCs w:val="12"/>
                <w:b w:val="1"/>
                <w:bCs w:val="1"/>
                <w:color w:val="auto"/>
              </w:rPr>
              <w:t>90 or More</w:t>
            </w: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gridSpan w:val="2"/>
          </w:tcPr>
          <w:p>
            <w:pPr>
              <w:jc w:val="center"/>
              <w:ind w:right="300"/>
              <w:spacing w:after="0" w:line="110" w:lineRule="exact"/>
              <w:rPr>
                <w:sz w:val="20"/>
                <w:szCs w:val="20"/>
                <w:color w:val="auto"/>
              </w:rPr>
            </w:pPr>
            <w:r>
              <w:rPr>
                <w:rFonts w:ascii="Arial" w:cs="Arial" w:eastAsia="Arial" w:hAnsi="Arial"/>
                <w:sz w:val="12"/>
                <w:szCs w:val="12"/>
                <w:b w:val="1"/>
                <w:bCs w:val="1"/>
                <w:color w:val="auto"/>
                <w:w w:val="97"/>
              </w:rPr>
              <w:t>Total</w:t>
            </w:r>
          </w:p>
        </w:tc>
        <w:tc>
          <w:tcPr>
            <w:tcW w:w="120" w:type="dxa"/>
            <w:vAlign w:val="bottom"/>
          </w:tcPr>
          <w:p>
            <w:pPr>
              <w:spacing w:after="0"/>
              <w:rPr>
                <w:sz w:val="9"/>
                <w:szCs w:val="9"/>
                <w:color w:val="auto"/>
              </w:rPr>
            </w:pPr>
          </w:p>
        </w:tc>
        <w:tc>
          <w:tcPr>
            <w:tcW w:w="1000" w:type="dxa"/>
            <w:vAlign w:val="bottom"/>
            <w:gridSpan w:val="2"/>
          </w:tcPr>
          <w:p>
            <w:pPr>
              <w:jc w:val="center"/>
              <w:ind w:right="260"/>
              <w:spacing w:after="0" w:line="110" w:lineRule="exact"/>
              <w:rPr>
                <w:sz w:val="20"/>
                <w:szCs w:val="20"/>
                <w:color w:val="auto"/>
              </w:rPr>
            </w:pPr>
            <w:r>
              <w:rPr>
                <w:rFonts w:ascii="Arial" w:cs="Arial" w:eastAsia="Arial" w:hAnsi="Arial"/>
                <w:sz w:val="12"/>
                <w:szCs w:val="12"/>
                <w:b w:val="1"/>
                <w:bCs w:val="1"/>
                <w:color w:val="auto"/>
              </w:rPr>
              <w:t>Loans 90 or</w:t>
            </w: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02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8"/>
              </w:rPr>
              <w:t>March 31, 2022</w:t>
            </w:r>
          </w:p>
        </w:tc>
        <w:tc>
          <w:tcPr>
            <w:tcW w:w="2340" w:type="dxa"/>
            <w:vAlign w:val="bottom"/>
            <w:gridSpan w:val="2"/>
            <w:vMerge w:val="restart"/>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rPr>
              <w:t>30-89 Days</w:t>
            </w:r>
          </w:p>
        </w:tc>
        <w:tc>
          <w:tcPr>
            <w:tcW w:w="120" w:type="dxa"/>
            <w:vAlign w:val="bottom"/>
          </w:tcPr>
          <w:p>
            <w:pPr>
              <w:spacing w:after="0"/>
              <w:rPr>
                <w:sz w:val="12"/>
                <w:szCs w:val="12"/>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rPr>
              <w:t>Days</w:t>
            </w:r>
          </w:p>
        </w:tc>
        <w:tc>
          <w:tcPr>
            <w:tcW w:w="120" w:type="dxa"/>
            <w:vAlign w:val="bottom"/>
          </w:tcPr>
          <w:p>
            <w:pPr>
              <w:spacing w:after="0"/>
              <w:rPr>
                <w:sz w:val="12"/>
                <w:szCs w:val="12"/>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rPr>
              <w:t>Total Past</w:t>
            </w:r>
          </w:p>
        </w:tc>
        <w:tc>
          <w:tcPr>
            <w:tcW w:w="200" w:type="dxa"/>
            <w:vAlign w:val="bottom"/>
          </w:tcPr>
          <w:p>
            <w:pPr>
              <w:spacing w:after="0"/>
              <w:rPr>
                <w:sz w:val="12"/>
                <w:szCs w:val="12"/>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rPr>
              <w:t>Current</w:t>
            </w:r>
          </w:p>
        </w:tc>
        <w:tc>
          <w:tcPr>
            <w:tcW w:w="180" w:type="dxa"/>
            <w:vAlign w:val="bottom"/>
          </w:tcPr>
          <w:p>
            <w:pPr>
              <w:spacing w:after="0"/>
              <w:rPr>
                <w:sz w:val="12"/>
                <w:szCs w:val="12"/>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rPr>
              <w:t>Portfolio</w:t>
            </w:r>
          </w:p>
        </w:tc>
        <w:tc>
          <w:tcPr>
            <w:tcW w:w="120" w:type="dxa"/>
            <w:vAlign w:val="bottom"/>
          </w:tcPr>
          <w:p>
            <w:pPr>
              <w:spacing w:after="0"/>
              <w:rPr>
                <w:sz w:val="12"/>
                <w:szCs w:val="12"/>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rPr>
              <w:t>More Days</w:t>
            </w:r>
          </w:p>
        </w:tc>
        <w:tc>
          <w:tcPr>
            <w:tcW w:w="140" w:type="dxa"/>
            <w:vAlign w:val="bottom"/>
          </w:tcPr>
          <w:p>
            <w:pPr>
              <w:spacing w:after="0"/>
              <w:rPr>
                <w:sz w:val="12"/>
                <w:szCs w:val="12"/>
                <w:color w:val="auto"/>
              </w:rPr>
            </w:pPr>
          </w:p>
        </w:tc>
        <w:tc>
          <w:tcPr>
            <w:tcW w:w="940" w:type="dxa"/>
            <w:vAlign w:val="bottom"/>
          </w:tcPr>
          <w:p>
            <w:pPr>
              <w:jc w:val="right"/>
              <w:ind w:right="130"/>
              <w:spacing w:after="0"/>
              <w:rPr>
                <w:sz w:val="20"/>
                <w:szCs w:val="20"/>
                <w:color w:val="auto"/>
              </w:rPr>
            </w:pPr>
            <w:r>
              <w:rPr>
                <w:rFonts w:ascii="Arial" w:cs="Arial" w:eastAsia="Arial" w:hAnsi="Arial"/>
                <w:sz w:val="12"/>
                <w:szCs w:val="12"/>
                <w:b w:val="1"/>
                <w:bCs w:val="1"/>
                <w:color w:val="auto"/>
              </w:rPr>
              <w:t>Non-accrual</w:t>
            </w:r>
          </w:p>
        </w:tc>
        <w:tc>
          <w:tcPr>
            <w:tcW w:w="0" w:type="dxa"/>
            <w:vAlign w:val="bottom"/>
          </w:tcPr>
          <w:p>
            <w:pPr>
              <w:spacing w:after="0"/>
              <w:rPr>
                <w:sz w:val="1"/>
                <w:szCs w:val="1"/>
                <w:color w:val="auto"/>
              </w:rPr>
            </w:pPr>
          </w:p>
        </w:tc>
      </w:tr>
      <w:tr>
        <w:trPr>
          <w:trHeight w:val="138"/>
        </w:trPr>
        <w:tc>
          <w:tcPr>
            <w:tcW w:w="1020" w:type="dxa"/>
            <w:vAlign w:val="bottom"/>
            <w:tcBorders>
              <w:bottom w:val="single" w:sz="8" w:color="auto"/>
            </w:tcBorders>
            <w:vMerge w:val="continue"/>
          </w:tcPr>
          <w:p>
            <w:pPr>
              <w:spacing w:after="0"/>
              <w:rPr>
                <w:sz w:val="11"/>
                <w:szCs w:val="11"/>
                <w:color w:val="auto"/>
              </w:rPr>
            </w:pPr>
          </w:p>
        </w:tc>
        <w:tc>
          <w:tcPr>
            <w:tcW w:w="23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240"/>
              <w:spacing w:after="0" w:line="133" w:lineRule="exact"/>
              <w:rPr>
                <w:sz w:val="20"/>
                <w:szCs w:val="20"/>
                <w:color w:val="auto"/>
              </w:rPr>
            </w:pPr>
            <w:r>
              <w:rPr>
                <w:rFonts w:ascii="Arial" w:cs="Arial" w:eastAsia="Arial" w:hAnsi="Arial"/>
                <w:sz w:val="12"/>
                <w:szCs w:val="12"/>
                <w:b w:val="1"/>
                <w:bCs w:val="1"/>
                <w:color w:val="auto"/>
              </w:rPr>
              <w:t>Past Due</w:t>
            </w:r>
          </w:p>
        </w:tc>
        <w:tc>
          <w:tcPr>
            <w:tcW w:w="120" w:type="dxa"/>
            <w:vAlign w:val="bottom"/>
          </w:tcPr>
          <w:p>
            <w:pPr>
              <w:spacing w:after="0"/>
              <w:rPr>
                <w:sz w:val="11"/>
                <w:szCs w:val="11"/>
                <w:color w:val="auto"/>
              </w:rPr>
            </w:pPr>
          </w:p>
        </w:tc>
        <w:tc>
          <w:tcPr>
            <w:tcW w:w="940" w:type="dxa"/>
            <w:vAlign w:val="bottom"/>
            <w:gridSpan w:val="2"/>
          </w:tcPr>
          <w:p>
            <w:pPr>
              <w:jc w:val="center"/>
              <w:ind w:right="240"/>
              <w:spacing w:after="0" w:line="133" w:lineRule="exact"/>
              <w:rPr>
                <w:sz w:val="20"/>
                <w:szCs w:val="20"/>
                <w:color w:val="auto"/>
              </w:rPr>
            </w:pPr>
            <w:r>
              <w:rPr>
                <w:rFonts w:ascii="Arial" w:cs="Arial" w:eastAsia="Arial" w:hAnsi="Arial"/>
                <w:sz w:val="12"/>
                <w:szCs w:val="12"/>
                <w:b w:val="1"/>
                <w:bCs w:val="1"/>
                <w:color w:val="auto"/>
              </w:rPr>
              <w:t>Past Due</w:t>
            </w:r>
          </w:p>
        </w:tc>
        <w:tc>
          <w:tcPr>
            <w:tcW w:w="120" w:type="dxa"/>
            <w:vAlign w:val="bottom"/>
          </w:tcPr>
          <w:p>
            <w:pPr>
              <w:spacing w:after="0"/>
              <w:rPr>
                <w:sz w:val="11"/>
                <w:szCs w:val="11"/>
                <w:color w:val="auto"/>
              </w:rPr>
            </w:pPr>
          </w:p>
        </w:tc>
        <w:tc>
          <w:tcPr>
            <w:tcW w:w="940" w:type="dxa"/>
            <w:vAlign w:val="bottom"/>
            <w:gridSpan w:val="2"/>
          </w:tcPr>
          <w:p>
            <w:pPr>
              <w:jc w:val="center"/>
              <w:ind w:right="240"/>
              <w:spacing w:after="0" w:line="133" w:lineRule="exact"/>
              <w:rPr>
                <w:sz w:val="20"/>
                <w:szCs w:val="20"/>
                <w:color w:val="auto"/>
              </w:rPr>
            </w:pPr>
            <w:r>
              <w:rPr>
                <w:rFonts w:ascii="Arial" w:cs="Arial" w:eastAsia="Arial" w:hAnsi="Arial"/>
                <w:sz w:val="12"/>
                <w:szCs w:val="12"/>
                <w:b w:val="1"/>
                <w:bCs w:val="1"/>
                <w:color w:val="auto"/>
              </w:rPr>
              <w:t>Due Loans</w:t>
            </w:r>
          </w:p>
        </w:tc>
        <w:tc>
          <w:tcPr>
            <w:tcW w:w="200" w:type="dxa"/>
            <w:vAlign w:val="bottom"/>
          </w:tcPr>
          <w:p>
            <w:pPr>
              <w:spacing w:after="0"/>
              <w:rPr>
                <w:sz w:val="11"/>
                <w:szCs w:val="11"/>
                <w:color w:val="auto"/>
              </w:rPr>
            </w:pPr>
          </w:p>
        </w:tc>
        <w:tc>
          <w:tcPr>
            <w:tcW w:w="1000" w:type="dxa"/>
            <w:vAlign w:val="bottom"/>
            <w:gridSpan w:val="2"/>
          </w:tcPr>
          <w:p>
            <w:pPr>
              <w:jc w:val="center"/>
              <w:ind w:right="320"/>
              <w:spacing w:after="0" w:line="133" w:lineRule="exact"/>
              <w:rPr>
                <w:sz w:val="20"/>
                <w:szCs w:val="20"/>
                <w:color w:val="auto"/>
              </w:rPr>
            </w:pPr>
            <w:r>
              <w:rPr>
                <w:rFonts w:ascii="Arial" w:cs="Arial" w:eastAsia="Arial" w:hAnsi="Arial"/>
                <w:sz w:val="12"/>
                <w:szCs w:val="12"/>
                <w:b w:val="1"/>
                <w:bCs w:val="1"/>
                <w:color w:val="auto"/>
              </w:rPr>
              <w:t>Loans</w:t>
            </w:r>
          </w:p>
        </w:tc>
        <w:tc>
          <w:tcPr>
            <w:tcW w:w="180" w:type="dxa"/>
            <w:vAlign w:val="bottom"/>
          </w:tcPr>
          <w:p>
            <w:pPr>
              <w:spacing w:after="0"/>
              <w:rPr>
                <w:sz w:val="11"/>
                <w:szCs w:val="11"/>
                <w:color w:val="auto"/>
              </w:rPr>
            </w:pPr>
          </w:p>
        </w:tc>
        <w:tc>
          <w:tcPr>
            <w:tcW w:w="1020" w:type="dxa"/>
            <w:vAlign w:val="bottom"/>
            <w:gridSpan w:val="2"/>
          </w:tcPr>
          <w:p>
            <w:pPr>
              <w:jc w:val="center"/>
              <w:ind w:right="300"/>
              <w:spacing w:after="0" w:line="133" w:lineRule="exact"/>
              <w:rPr>
                <w:sz w:val="20"/>
                <w:szCs w:val="20"/>
                <w:color w:val="auto"/>
              </w:rPr>
            </w:pPr>
            <w:r>
              <w:rPr>
                <w:rFonts w:ascii="Arial" w:cs="Arial" w:eastAsia="Arial" w:hAnsi="Arial"/>
                <w:sz w:val="12"/>
                <w:szCs w:val="12"/>
                <w:b w:val="1"/>
                <w:bCs w:val="1"/>
                <w:color w:val="auto"/>
              </w:rPr>
              <w:t>Loans</w:t>
            </w:r>
          </w:p>
        </w:tc>
        <w:tc>
          <w:tcPr>
            <w:tcW w:w="120" w:type="dxa"/>
            <w:vAlign w:val="bottom"/>
          </w:tcPr>
          <w:p>
            <w:pPr>
              <w:spacing w:after="0"/>
              <w:rPr>
                <w:sz w:val="11"/>
                <w:szCs w:val="11"/>
                <w:color w:val="auto"/>
              </w:rPr>
            </w:pPr>
          </w:p>
        </w:tc>
        <w:tc>
          <w:tcPr>
            <w:tcW w:w="1000" w:type="dxa"/>
            <w:vAlign w:val="bottom"/>
            <w:gridSpan w:val="2"/>
          </w:tcPr>
          <w:p>
            <w:pPr>
              <w:jc w:val="center"/>
              <w:ind w:right="260"/>
              <w:spacing w:after="0" w:line="133" w:lineRule="exact"/>
              <w:rPr>
                <w:sz w:val="20"/>
                <w:szCs w:val="20"/>
                <w:color w:val="auto"/>
              </w:rPr>
            </w:pPr>
            <w:r>
              <w:rPr>
                <w:rFonts w:ascii="Arial" w:cs="Arial" w:eastAsia="Arial" w:hAnsi="Arial"/>
                <w:sz w:val="12"/>
                <w:szCs w:val="12"/>
                <w:b w:val="1"/>
                <w:bCs w:val="1"/>
                <w:color w:val="auto"/>
              </w:rPr>
              <w:t>Past Due</w:t>
            </w:r>
          </w:p>
        </w:tc>
        <w:tc>
          <w:tcPr>
            <w:tcW w:w="140" w:type="dxa"/>
            <w:vAlign w:val="bottom"/>
          </w:tcPr>
          <w:p>
            <w:pPr>
              <w:spacing w:after="0"/>
              <w:rPr>
                <w:sz w:val="11"/>
                <w:szCs w:val="11"/>
                <w:color w:val="auto"/>
              </w:rPr>
            </w:pPr>
          </w:p>
        </w:tc>
        <w:tc>
          <w:tcPr>
            <w:tcW w:w="940" w:type="dxa"/>
            <w:vAlign w:val="bottom"/>
          </w:tcPr>
          <w:p>
            <w:pPr>
              <w:jc w:val="right"/>
              <w:ind w:right="290"/>
              <w:spacing w:after="0" w:line="133" w:lineRule="exact"/>
              <w:rPr>
                <w:sz w:val="20"/>
                <w:szCs w:val="20"/>
                <w:color w:val="auto"/>
              </w:rPr>
            </w:pPr>
            <w:r>
              <w:rPr>
                <w:rFonts w:ascii="Arial" w:cs="Arial" w:eastAsia="Arial" w:hAnsi="Arial"/>
                <w:sz w:val="12"/>
                <w:szCs w:val="12"/>
                <w:b w:val="1"/>
                <w:bCs w:val="1"/>
                <w:color w:val="auto"/>
              </w:rPr>
              <w:t>Loans</w:t>
            </w:r>
          </w:p>
        </w:tc>
        <w:tc>
          <w:tcPr>
            <w:tcW w:w="0" w:type="dxa"/>
            <w:vAlign w:val="bottom"/>
          </w:tcPr>
          <w:p>
            <w:pPr>
              <w:spacing w:after="0"/>
              <w:rPr>
                <w:sz w:val="1"/>
                <w:szCs w:val="1"/>
                <w:color w:val="auto"/>
              </w:rPr>
            </w:pPr>
          </w:p>
        </w:tc>
      </w:tr>
      <w:tr>
        <w:trPr>
          <w:trHeight w:val="20"/>
        </w:trPr>
        <w:tc>
          <w:tcPr>
            <w:tcW w:w="3360" w:type="dxa"/>
            <w:vAlign w:val="bottom"/>
            <w:gridSpan w:val="3"/>
            <w:vMerge w:val="restart"/>
          </w:tcPr>
          <w:p>
            <w:pPr>
              <w:ind w:left="20"/>
              <w:spacing w:after="0"/>
              <w:rPr>
                <w:sz w:val="20"/>
                <w:szCs w:val="20"/>
                <w:color w:val="auto"/>
              </w:rPr>
            </w:pPr>
            <w:r>
              <w:rPr>
                <w:rFonts w:ascii="Arial" w:cs="Arial" w:eastAsia="Arial" w:hAnsi="Arial"/>
                <w:sz w:val="14"/>
                <w:szCs w:val="14"/>
                <w:color w:val="auto"/>
              </w:rPr>
              <w:t>Real estate:</w:t>
            </w: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36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3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Residential</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2,742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2,748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417,494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420,242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322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2,726</w:t>
            </w:r>
          </w:p>
        </w:tc>
        <w:tc>
          <w:tcPr>
            <w:tcW w:w="0" w:type="dxa"/>
            <w:vAlign w:val="bottom"/>
          </w:tcPr>
          <w:p>
            <w:pPr>
              <w:spacing w:after="0"/>
              <w:rPr>
                <w:sz w:val="1"/>
                <w:szCs w:val="1"/>
                <w:color w:val="auto"/>
              </w:rPr>
            </w:pPr>
          </w:p>
        </w:tc>
      </w:tr>
      <w:tr>
        <w:trPr>
          <w:trHeight w:val="198"/>
        </w:trPr>
        <w:tc>
          <w:tcPr>
            <w:tcW w:w="3360" w:type="dxa"/>
            <w:vAlign w:val="bottom"/>
            <w:gridSpan w:val="3"/>
          </w:tcPr>
          <w:p>
            <w:pPr>
              <w:ind w:left="120"/>
              <w:spacing w:after="0"/>
              <w:rPr>
                <w:sz w:val="20"/>
                <w:szCs w:val="20"/>
                <w:color w:val="auto"/>
              </w:rPr>
            </w:pPr>
            <w:r>
              <w:rPr>
                <w:rFonts w:ascii="Arial" w:cs="Arial" w:eastAsia="Arial" w:hAnsi="Arial"/>
                <w:sz w:val="14"/>
                <w:szCs w:val="14"/>
                <w:color w:val="auto"/>
              </w:rPr>
              <w:t>Commercial</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1,145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1,167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10"/>
              <w:spacing w:after="0"/>
              <w:rPr>
                <w:sz w:val="20"/>
                <w:szCs w:val="20"/>
                <w:color w:val="auto"/>
              </w:rPr>
            </w:pPr>
            <w:r>
              <w:rPr>
                <w:rFonts w:ascii="Arial" w:cs="Arial" w:eastAsia="Arial" w:hAnsi="Arial"/>
                <w:sz w:val="14"/>
                <w:szCs w:val="14"/>
                <w:b w:val="1"/>
                <w:bCs w:val="1"/>
                <w:color w:val="auto"/>
              </w:rPr>
              <w:t>563,558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564,725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22</w:t>
            </w:r>
          </w:p>
        </w:tc>
        <w:tc>
          <w:tcPr>
            <w:tcW w:w="0" w:type="dxa"/>
            <w:vAlign w:val="bottom"/>
          </w:tcPr>
          <w:p>
            <w:pPr>
              <w:spacing w:after="0"/>
              <w:rPr>
                <w:sz w:val="1"/>
                <w:szCs w:val="1"/>
                <w:color w:val="auto"/>
              </w:rPr>
            </w:pPr>
          </w:p>
        </w:tc>
      </w:tr>
      <w:tr>
        <w:trPr>
          <w:trHeight w:val="199"/>
        </w:trPr>
        <w:tc>
          <w:tcPr>
            <w:tcW w:w="33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Construction</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2,041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2,041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243,681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245,722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2,041</w:t>
            </w:r>
          </w:p>
        </w:tc>
        <w:tc>
          <w:tcPr>
            <w:tcW w:w="0" w:type="dxa"/>
            <w:vAlign w:val="bottom"/>
          </w:tcPr>
          <w:p>
            <w:pPr>
              <w:spacing w:after="0"/>
              <w:rPr>
                <w:sz w:val="1"/>
                <w:szCs w:val="1"/>
                <w:color w:val="auto"/>
              </w:rPr>
            </w:pPr>
          </w:p>
        </w:tc>
      </w:tr>
      <w:tr>
        <w:trPr>
          <w:trHeight w:val="198"/>
        </w:trPr>
        <w:tc>
          <w:tcPr>
            <w:tcW w:w="3360" w:type="dxa"/>
            <w:vAlign w:val="bottom"/>
            <w:gridSpan w:val="3"/>
          </w:tcPr>
          <w:p>
            <w:pPr>
              <w:ind w:left="20"/>
              <w:spacing w:after="0"/>
              <w:rPr>
                <w:sz w:val="20"/>
                <w:szCs w:val="20"/>
                <w:color w:val="auto"/>
              </w:rPr>
            </w:pPr>
            <w:r>
              <w:rPr>
                <w:rFonts w:ascii="Arial" w:cs="Arial" w:eastAsia="Arial" w:hAnsi="Arial"/>
                <w:sz w:val="14"/>
                <w:szCs w:val="14"/>
                <w:color w:val="auto"/>
              </w:rPr>
              <w:t>Commercial and Industrial</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321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771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1,092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10"/>
              <w:spacing w:after="0"/>
              <w:rPr>
                <w:sz w:val="20"/>
                <w:szCs w:val="20"/>
                <w:color w:val="auto"/>
              </w:rPr>
            </w:pPr>
            <w:r>
              <w:rPr>
                <w:rFonts w:ascii="Arial" w:cs="Arial" w:eastAsia="Arial" w:hAnsi="Arial"/>
                <w:sz w:val="14"/>
                <w:szCs w:val="14"/>
                <w:b w:val="1"/>
                <w:bCs w:val="1"/>
                <w:color w:val="auto"/>
              </w:rPr>
              <w:t>176,412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177,504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851</w:t>
            </w:r>
          </w:p>
        </w:tc>
        <w:tc>
          <w:tcPr>
            <w:tcW w:w="0" w:type="dxa"/>
            <w:vAlign w:val="bottom"/>
          </w:tcPr>
          <w:p>
            <w:pPr>
              <w:spacing w:after="0"/>
              <w:rPr>
                <w:sz w:val="1"/>
                <w:szCs w:val="1"/>
                <w:color w:val="auto"/>
              </w:rPr>
            </w:pPr>
          </w:p>
        </w:tc>
      </w:tr>
      <w:tr>
        <w:trPr>
          <w:trHeight w:val="199"/>
        </w:trPr>
        <w:tc>
          <w:tcPr>
            <w:tcW w:w="33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Credit card</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12,921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12,934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110,816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123,750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13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8"/>
        </w:trPr>
        <w:tc>
          <w:tcPr>
            <w:tcW w:w="3360" w:type="dxa"/>
            <w:vAlign w:val="bottom"/>
            <w:gridSpan w:val="3"/>
          </w:tcPr>
          <w:p>
            <w:pPr>
              <w:ind w:left="20"/>
              <w:spacing w:after="0"/>
              <w:rPr>
                <w:sz w:val="20"/>
                <w:szCs w:val="20"/>
                <w:color w:val="auto"/>
              </w:rPr>
            </w:pPr>
            <w:r>
              <w:rPr>
                <w:rFonts w:ascii="Arial" w:cs="Arial" w:eastAsia="Arial" w:hAnsi="Arial"/>
                <w:sz w:val="14"/>
                <w:szCs w:val="14"/>
                <w:color w:val="auto"/>
              </w:rPr>
              <w:t>Other consumer</w:t>
            </w:r>
          </w:p>
        </w:tc>
        <w:tc>
          <w:tcPr>
            <w:tcW w:w="12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c>
          <w:tcPr>
            <w:tcW w:w="880" w:type="dxa"/>
            <w:vAlign w:val="bottom"/>
          </w:tcPr>
          <w:p>
            <w:pPr>
              <w:jc w:val="right"/>
              <w:ind w:right="10"/>
              <w:spacing w:after="0"/>
              <w:rPr>
                <w:sz w:val="20"/>
                <w:szCs w:val="20"/>
                <w:color w:val="auto"/>
              </w:rPr>
            </w:pPr>
            <w:r>
              <w:rPr>
                <w:rFonts w:ascii="Arial" w:cs="Arial" w:eastAsia="Arial" w:hAnsi="Arial"/>
                <w:sz w:val="14"/>
                <w:szCs w:val="14"/>
                <w:b w:val="1"/>
                <w:bCs w:val="1"/>
                <w:color w:val="auto"/>
              </w:rPr>
              <w:t>909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909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8"/>
        </w:trPr>
        <w:tc>
          <w:tcPr>
            <w:tcW w:w="3360" w:type="dxa"/>
            <w:vAlign w:val="bottom"/>
            <w:tcBorders>
              <w:top w:val="single" w:sz="8" w:color="CCEEFF"/>
              <w:bottom w:val="single" w:sz="8" w:color="CCEEFF"/>
            </w:tcBorders>
            <w:gridSpan w:val="3"/>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14,393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5,589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19,982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1,512,870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1,532,852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335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5,640</w:t>
            </w: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3360" w:type="dxa"/>
            <w:vAlign w:val="bottom"/>
            <w:gridSpan w:val="3"/>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December 31, 2021</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28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color w:val="auto"/>
              </w:rPr>
              <w:t>Real estate:</w:t>
            </w:r>
          </w:p>
        </w:tc>
        <w:tc>
          <w:tcPr>
            <w:tcW w:w="20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94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3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Residential</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398,644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401,607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72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2,835</w:t>
            </w:r>
          </w:p>
        </w:tc>
        <w:tc>
          <w:tcPr>
            <w:tcW w:w="0" w:type="dxa"/>
            <w:vAlign w:val="bottom"/>
          </w:tcPr>
          <w:p>
            <w:pPr>
              <w:spacing w:after="0"/>
              <w:rPr>
                <w:sz w:val="1"/>
                <w:szCs w:val="1"/>
                <w:color w:val="auto"/>
              </w:rPr>
            </w:pPr>
          </w:p>
        </w:tc>
      </w:tr>
      <w:tr>
        <w:trPr>
          <w:trHeight w:val="194"/>
        </w:trPr>
        <w:tc>
          <w:tcPr>
            <w:tcW w:w="3360" w:type="dxa"/>
            <w:vAlign w:val="bottom"/>
            <w:gridSpan w:val="3"/>
          </w:tcPr>
          <w:p>
            <w:pPr>
              <w:ind w:left="120"/>
              <w:spacing w:after="0"/>
              <w:rPr>
                <w:sz w:val="20"/>
                <w:szCs w:val="20"/>
                <w:color w:val="auto"/>
              </w:rPr>
            </w:pPr>
            <w:r>
              <w:rPr>
                <w:rFonts w:ascii="Arial" w:cs="Arial" w:eastAsia="Arial" w:hAnsi="Arial"/>
                <w:sz w:val="14"/>
                <w:szCs w:val="14"/>
                <w:color w:val="auto"/>
              </w:rPr>
              <w:t>Commercial</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367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392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ind w:right="10"/>
              <w:spacing w:after="0"/>
              <w:rPr>
                <w:sz w:val="20"/>
                <w:szCs w:val="20"/>
                <w:color w:val="auto"/>
              </w:rPr>
            </w:pPr>
            <w:r>
              <w:rPr>
                <w:rFonts w:ascii="Arial" w:cs="Arial" w:eastAsia="Arial" w:hAnsi="Arial"/>
                <w:sz w:val="14"/>
                <w:szCs w:val="14"/>
                <w:color w:val="auto"/>
              </w:rPr>
              <w:t>555,947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556,339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03"/>
        </w:trPr>
        <w:tc>
          <w:tcPr>
            <w:tcW w:w="33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Construction</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7,803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7,803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247,344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255,147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7,803</w:t>
            </w:r>
          </w:p>
        </w:tc>
        <w:tc>
          <w:tcPr>
            <w:tcW w:w="0" w:type="dxa"/>
            <w:vAlign w:val="bottom"/>
          </w:tcPr>
          <w:p>
            <w:pPr>
              <w:spacing w:after="0"/>
              <w:rPr>
                <w:sz w:val="1"/>
                <w:szCs w:val="1"/>
                <w:color w:val="auto"/>
              </w:rPr>
            </w:pPr>
          </w:p>
        </w:tc>
      </w:tr>
      <w:tr>
        <w:trPr>
          <w:trHeight w:val="194"/>
        </w:trPr>
        <w:tc>
          <w:tcPr>
            <w:tcW w:w="3360" w:type="dxa"/>
            <w:vAlign w:val="bottom"/>
            <w:gridSpan w:val="3"/>
          </w:tcPr>
          <w:p>
            <w:pPr>
              <w:ind w:left="20"/>
              <w:spacing w:after="0"/>
              <w:rPr>
                <w:sz w:val="20"/>
                <w:szCs w:val="20"/>
                <w:color w:val="auto"/>
              </w:rPr>
            </w:pPr>
            <w:r>
              <w:rPr>
                <w:rFonts w:ascii="Arial" w:cs="Arial" w:eastAsia="Arial" w:hAnsi="Arial"/>
                <w:sz w:val="14"/>
                <w:szCs w:val="14"/>
                <w:color w:val="auto"/>
              </w:rPr>
              <w:t>Commercial and Industrial</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593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776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ind w:right="10"/>
              <w:spacing w:after="0"/>
              <w:rPr>
                <w:sz w:val="20"/>
                <w:szCs w:val="20"/>
                <w:color w:val="auto"/>
              </w:rPr>
            </w:pPr>
            <w:r>
              <w:rPr>
                <w:rFonts w:ascii="Arial" w:cs="Arial" w:eastAsia="Arial" w:hAnsi="Arial"/>
                <w:sz w:val="14"/>
                <w:szCs w:val="14"/>
                <w:color w:val="auto"/>
              </w:rPr>
              <w:t>175,180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175,956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676</w:t>
            </w:r>
          </w:p>
        </w:tc>
        <w:tc>
          <w:tcPr>
            <w:tcW w:w="0" w:type="dxa"/>
            <w:vAlign w:val="bottom"/>
          </w:tcPr>
          <w:p>
            <w:pPr>
              <w:spacing w:after="0"/>
              <w:rPr>
                <w:sz w:val="1"/>
                <w:szCs w:val="1"/>
                <w:color w:val="auto"/>
              </w:rPr>
            </w:pPr>
          </w:p>
        </w:tc>
      </w:tr>
      <w:tr>
        <w:trPr>
          <w:trHeight w:val="203"/>
        </w:trPr>
        <w:tc>
          <w:tcPr>
            <w:tcW w:w="33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Credit card</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19,022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19,032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122,088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141,120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3360" w:type="dxa"/>
            <w:vAlign w:val="bottom"/>
            <w:gridSpan w:val="3"/>
          </w:tcPr>
          <w:p>
            <w:pPr>
              <w:ind w:left="20"/>
              <w:spacing w:after="0"/>
              <w:rPr>
                <w:sz w:val="20"/>
                <w:szCs w:val="20"/>
                <w:color w:val="auto"/>
              </w:rPr>
            </w:pPr>
            <w:r>
              <w:rPr>
                <w:rFonts w:ascii="Arial" w:cs="Arial" w:eastAsia="Arial" w:hAnsi="Arial"/>
                <w:sz w:val="14"/>
                <w:szCs w:val="14"/>
                <w:color w:val="auto"/>
              </w:rPr>
              <w:t>Other consumer</w:t>
            </w:r>
          </w:p>
        </w:tc>
        <w:tc>
          <w:tcPr>
            <w:tcW w:w="1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80" w:type="dxa"/>
            <w:vAlign w:val="bottom"/>
          </w:tcPr>
          <w:p>
            <w:pPr>
              <w:jc w:val="right"/>
              <w:ind w:right="10"/>
              <w:spacing w:after="0"/>
              <w:rPr>
                <w:sz w:val="20"/>
                <w:szCs w:val="20"/>
                <w:color w:val="auto"/>
              </w:rPr>
            </w:pPr>
            <w:r>
              <w:rPr>
                <w:rFonts w:ascii="Arial" w:cs="Arial" w:eastAsia="Arial" w:hAnsi="Arial"/>
                <w:sz w:val="14"/>
                <w:szCs w:val="14"/>
                <w:color w:val="auto"/>
              </w:rPr>
              <w:t>1,033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1,033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1"/>
        </w:trPr>
        <w:tc>
          <w:tcPr>
            <w:tcW w:w="3360" w:type="dxa"/>
            <w:vAlign w:val="bottom"/>
            <w:tcBorders>
              <w:top w:val="single" w:sz="8" w:color="CCEEFF"/>
              <w:bottom w:val="single" w:sz="8" w:color="CCEEFF"/>
            </w:tcBorders>
            <w:gridSpan w:val="3"/>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20,041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10,925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30,966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1,500,236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1,531,202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82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11,339</w:t>
            </w: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ind w:firstLine="318"/>
        <w:spacing w:after="0" w:line="274" w:lineRule="auto"/>
        <w:rPr>
          <w:sz w:val="20"/>
          <w:szCs w:val="20"/>
          <w:color w:val="auto"/>
        </w:rPr>
      </w:pPr>
      <w:r>
        <w:rPr>
          <w:rFonts w:ascii="Arial" w:cs="Arial" w:eastAsia="Arial" w:hAnsi="Arial"/>
          <w:sz w:val="18"/>
          <w:szCs w:val="18"/>
          <w:color w:val="auto"/>
        </w:rPr>
        <w:t>There were $4 thousand and $6 thousand, respectfully, of loans secured by one-to-four family residential properties in the process of foreclosure as of March 31, 2022 and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262255</wp:posOffset>
            </wp:positionV>
            <wp:extent cx="716026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617" w:right="339" w:bottom="1440" w:gutter="0" w:footer="0" w:header="0"/>
        </w:sectPr>
      </w:pPr>
    </w:p>
    <w:bookmarkStart w:id="24" w:name="page25"/>
    <w:bookmarkEnd w:id="24"/>
    <w:p>
      <w:pPr>
        <w:ind w:left="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408940</wp:posOffset>
            </wp:positionH>
            <wp:positionV relativeFrom="page">
              <wp:posOffset>391795</wp:posOffset>
            </wp:positionV>
            <wp:extent cx="6663690" cy="165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663690" cy="16510"/>
                    </a:xfrm>
                    <a:prstGeom prst="rect">
                      <a:avLst/>
                    </a:prstGeom>
                    <a:noFill/>
                  </pic:spPr>
                </pic:pic>
              </a:graphicData>
            </a:graphic>
          </wp:anchor>
        </w:drawing>
        <w:t>Capital Bancorp, Inc. and Subsidiaries</w:t>
      </w:r>
    </w:p>
    <w:p>
      <w:pPr>
        <w:ind w:left="2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6350</wp:posOffset>
            </wp:positionV>
            <wp:extent cx="666369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2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5 - Portfolio Loans Receivable (continued)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Impaired portfolio loans were as follows:</w:t>
      </w:r>
    </w:p>
    <w:p>
      <w:pPr>
        <w:spacing w:after="0" w:line="2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Impaired Portfolio Loans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rPr>
              <w:t>Unpaid</w:t>
            </w:r>
          </w:p>
        </w:tc>
        <w:tc>
          <w:tcPr>
            <w:tcW w:w="180" w:type="dxa"/>
            <w:vAlign w:val="bottom"/>
          </w:tcPr>
          <w:p>
            <w:pPr>
              <w:spacing w:after="0"/>
              <w:rPr>
                <w:sz w:val="12"/>
                <w:szCs w:val="12"/>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rPr>
              <w:t>Recorded</w:t>
            </w:r>
          </w:p>
        </w:tc>
        <w:tc>
          <w:tcPr>
            <w:tcW w:w="200" w:type="dxa"/>
            <w:vAlign w:val="bottom"/>
          </w:tcPr>
          <w:p>
            <w:pPr>
              <w:spacing w:after="0"/>
              <w:rPr>
                <w:sz w:val="12"/>
                <w:szCs w:val="12"/>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rPr>
              <w:t>Recorded</w:t>
            </w: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740" w:type="dxa"/>
            <w:vAlign w:val="bottom"/>
            <w:gridSpan w:val="3"/>
          </w:tcPr>
          <w:p>
            <w:pPr>
              <w:spacing w:after="0"/>
              <w:rPr>
                <w:sz w:val="20"/>
                <w:szCs w:val="20"/>
                <w:color w:val="auto"/>
              </w:rPr>
            </w:pPr>
            <w:r>
              <w:rPr>
                <w:rFonts w:ascii="Arial" w:cs="Arial" w:eastAsia="Arial" w:hAnsi="Arial"/>
                <w:sz w:val="11"/>
                <w:szCs w:val="11"/>
                <w:color w:val="auto"/>
              </w:rPr>
              <w:t>(in thousands)</w:t>
            </w:r>
          </w:p>
        </w:tc>
        <w:tc>
          <w:tcPr>
            <w:tcW w:w="180" w:type="dxa"/>
            <w:vAlign w:val="bottom"/>
          </w:tcPr>
          <w:p>
            <w:pPr>
              <w:spacing w:after="0"/>
              <w:rPr>
                <w:sz w:val="13"/>
                <w:szCs w:val="13"/>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rPr>
              <w:t>Contractual</w:t>
            </w:r>
          </w:p>
        </w:tc>
        <w:tc>
          <w:tcPr>
            <w:tcW w:w="180" w:type="dxa"/>
            <w:vAlign w:val="bottom"/>
          </w:tcPr>
          <w:p>
            <w:pPr>
              <w:spacing w:after="0"/>
              <w:rPr>
                <w:sz w:val="13"/>
                <w:szCs w:val="13"/>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rPr>
              <w:t>Investment</w:t>
            </w:r>
          </w:p>
        </w:tc>
        <w:tc>
          <w:tcPr>
            <w:tcW w:w="200" w:type="dxa"/>
            <w:vAlign w:val="bottom"/>
          </w:tcPr>
          <w:p>
            <w:pPr>
              <w:spacing w:after="0"/>
              <w:rPr>
                <w:sz w:val="13"/>
                <w:szCs w:val="13"/>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rPr>
              <w:t>Investment</w:t>
            </w:r>
          </w:p>
        </w:tc>
        <w:tc>
          <w:tcPr>
            <w:tcW w:w="200" w:type="dxa"/>
            <w:vAlign w:val="bottom"/>
          </w:tcPr>
          <w:p>
            <w:pPr>
              <w:spacing w:after="0"/>
              <w:rPr>
                <w:sz w:val="13"/>
                <w:szCs w:val="13"/>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rPr>
              <w:t>Total</w:t>
            </w:r>
          </w:p>
        </w:tc>
        <w:tc>
          <w:tcPr>
            <w:tcW w:w="200" w:type="dxa"/>
            <w:vAlign w:val="bottom"/>
          </w:tcPr>
          <w:p>
            <w:pPr>
              <w:spacing w:after="0"/>
              <w:rPr>
                <w:sz w:val="13"/>
                <w:szCs w:val="13"/>
                <w:color w:val="auto"/>
              </w:rPr>
            </w:pPr>
          </w:p>
        </w:tc>
        <w:tc>
          <w:tcPr>
            <w:tcW w:w="780" w:type="dxa"/>
            <w:vAlign w:val="bottom"/>
            <w:vMerge w:val="restart"/>
          </w:tcPr>
          <w:p>
            <w:pPr>
              <w:jc w:val="right"/>
              <w:ind w:right="92"/>
              <w:spacing w:after="0"/>
              <w:rPr>
                <w:sz w:val="20"/>
                <w:szCs w:val="20"/>
                <w:color w:val="auto"/>
              </w:rPr>
            </w:pPr>
            <w:r>
              <w:rPr>
                <w:rFonts w:ascii="Arial" w:cs="Arial" w:eastAsia="Arial" w:hAnsi="Arial"/>
                <w:sz w:val="12"/>
                <w:szCs w:val="12"/>
                <w:b w:val="1"/>
                <w:bCs w:val="1"/>
                <w:color w:val="auto"/>
              </w:rPr>
              <w:t>Related</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4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March 31, 2022</w:t>
            </w:r>
          </w:p>
        </w:tc>
        <w:tc>
          <w:tcPr>
            <w:tcW w:w="180" w:type="dxa"/>
            <w:vAlign w:val="bottom"/>
          </w:tcPr>
          <w:p>
            <w:pPr>
              <w:spacing w:after="0"/>
              <w:rPr>
                <w:sz w:val="8"/>
                <w:szCs w:val="8"/>
                <w:color w:val="auto"/>
              </w:rPr>
            </w:pPr>
          </w:p>
        </w:tc>
        <w:tc>
          <w:tcPr>
            <w:tcW w:w="1140" w:type="dxa"/>
            <w:vAlign w:val="bottom"/>
            <w:gridSpan w:val="2"/>
          </w:tcPr>
          <w:p>
            <w:pPr>
              <w:jc w:val="center"/>
              <w:ind w:right="300"/>
              <w:spacing w:after="0" w:line="93" w:lineRule="exact"/>
              <w:rPr>
                <w:sz w:val="20"/>
                <w:szCs w:val="20"/>
                <w:color w:val="auto"/>
              </w:rPr>
            </w:pPr>
            <w:r>
              <w:rPr>
                <w:rFonts w:ascii="Arial" w:cs="Arial" w:eastAsia="Arial" w:hAnsi="Arial"/>
                <w:sz w:val="10"/>
                <w:szCs w:val="10"/>
                <w:b w:val="1"/>
                <w:bCs w:val="1"/>
                <w:color w:val="auto"/>
              </w:rPr>
              <w:t>Principal</w:t>
            </w:r>
          </w:p>
        </w:tc>
        <w:tc>
          <w:tcPr>
            <w:tcW w:w="180" w:type="dxa"/>
            <w:vAlign w:val="bottom"/>
          </w:tcPr>
          <w:p>
            <w:pPr>
              <w:spacing w:after="0"/>
              <w:rPr>
                <w:sz w:val="8"/>
                <w:szCs w:val="8"/>
                <w:color w:val="auto"/>
              </w:rPr>
            </w:pPr>
          </w:p>
        </w:tc>
        <w:tc>
          <w:tcPr>
            <w:tcW w:w="1120" w:type="dxa"/>
            <w:vAlign w:val="bottom"/>
            <w:gridSpan w:val="2"/>
          </w:tcPr>
          <w:p>
            <w:pPr>
              <w:jc w:val="center"/>
              <w:ind w:right="300"/>
              <w:spacing w:after="0" w:line="93" w:lineRule="exact"/>
              <w:rPr>
                <w:sz w:val="20"/>
                <w:szCs w:val="20"/>
                <w:color w:val="auto"/>
              </w:rPr>
            </w:pPr>
            <w:r>
              <w:rPr>
                <w:rFonts w:ascii="Arial" w:cs="Arial" w:eastAsia="Arial" w:hAnsi="Arial"/>
                <w:sz w:val="10"/>
                <w:szCs w:val="10"/>
                <w:b w:val="1"/>
                <w:bCs w:val="1"/>
                <w:color w:val="auto"/>
              </w:rPr>
              <w:t>With No</w:t>
            </w:r>
          </w:p>
        </w:tc>
        <w:tc>
          <w:tcPr>
            <w:tcW w:w="200" w:type="dxa"/>
            <w:vAlign w:val="bottom"/>
          </w:tcPr>
          <w:p>
            <w:pPr>
              <w:spacing w:after="0"/>
              <w:rPr>
                <w:sz w:val="8"/>
                <w:szCs w:val="8"/>
                <w:color w:val="auto"/>
              </w:rPr>
            </w:pPr>
          </w:p>
        </w:tc>
        <w:tc>
          <w:tcPr>
            <w:tcW w:w="1120" w:type="dxa"/>
            <w:vAlign w:val="bottom"/>
            <w:gridSpan w:val="2"/>
          </w:tcPr>
          <w:p>
            <w:pPr>
              <w:jc w:val="center"/>
              <w:ind w:right="300"/>
              <w:spacing w:after="0" w:line="93" w:lineRule="exact"/>
              <w:rPr>
                <w:sz w:val="20"/>
                <w:szCs w:val="20"/>
                <w:color w:val="auto"/>
              </w:rPr>
            </w:pPr>
            <w:r>
              <w:rPr>
                <w:rFonts w:ascii="Arial" w:cs="Arial" w:eastAsia="Arial" w:hAnsi="Arial"/>
                <w:sz w:val="10"/>
                <w:szCs w:val="10"/>
                <w:b w:val="1"/>
                <w:bCs w:val="1"/>
                <w:color w:val="auto"/>
              </w:rPr>
              <w:t>With</w:t>
            </w:r>
          </w:p>
        </w:tc>
        <w:tc>
          <w:tcPr>
            <w:tcW w:w="200" w:type="dxa"/>
            <w:vAlign w:val="bottom"/>
          </w:tcPr>
          <w:p>
            <w:pPr>
              <w:spacing w:after="0"/>
              <w:rPr>
                <w:sz w:val="8"/>
                <w:szCs w:val="8"/>
                <w:color w:val="auto"/>
              </w:rPr>
            </w:pPr>
          </w:p>
        </w:tc>
        <w:tc>
          <w:tcPr>
            <w:tcW w:w="1140" w:type="dxa"/>
            <w:vAlign w:val="bottom"/>
            <w:gridSpan w:val="2"/>
          </w:tcPr>
          <w:p>
            <w:pPr>
              <w:jc w:val="center"/>
              <w:ind w:right="320"/>
              <w:spacing w:after="0" w:line="93" w:lineRule="exact"/>
              <w:rPr>
                <w:sz w:val="20"/>
                <w:szCs w:val="20"/>
                <w:color w:val="auto"/>
              </w:rPr>
            </w:pPr>
            <w:r>
              <w:rPr>
                <w:rFonts w:ascii="Arial" w:cs="Arial" w:eastAsia="Arial" w:hAnsi="Arial"/>
                <w:sz w:val="10"/>
                <w:szCs w:val="10"/>
                <w:b w:val="1"/>
                <w:bCs w:val="1"/>
                <w:color w:val="auto"/>
              </w:rPr>
              <w:t>Recorded</w:t>
            </w:r>
          </w:p>
        </w:tc>
        <w:tc>
          <w:tcPr>
            <w:tcW w:w="2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74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2"/>
          </w:tcPr>
          <w:p>
            <w:pPr>
              <w:jc w:val="center"/>
              <w:ind w:right="300"/>
              <w:spacing w:after="0" w:line="133" w:lineRule="exact"/>
              <w:rPr>
                <w:sz w:val="20"/>
                <w:szCs w:val="20"/>
                <w:color w:val="auto"/>
              </w:rPr>
            </w:pPr>
            <w:r>
              <w:rPr>
                <w:rFonts w:ascii="Arial" w:cs="Arial" w:eastAsia="Arial" w:hAnsi="Arial"/>
                <w:sz w:val="12"/>
                <w:szCs w:val="12"/>
                <w:b w:val="1"/>
                <w:bCs w:val="1"/>
                <w:color w:val="auto"/>
              </w:rPr>
              <w:t>Balance</w:t>
            </w:r>
          </w:p>
        </w:tc>
        <w:tc>
          <w:tcPr>
            <w:tcW w:w="180" w:type="dxa"/>
            <w:vAlign w:val="bottom"/>
          </w:tcPr>
          <w:p>
            <w:pPr>
              <w:spacing w:after="0"/>
              <w:rPr>
                <w:sz w:val="11"/>
                <w:szCs w:val="11"/>
                <w:color w:val="auto"/>
              </w:rPr>
            </w:pPr>
          </w:p>
        </w:tc>
        <w:tc>
          <w:tcPr>
            <w:tcW w:w="1120" w:type="dxa"/>
            <w:vAlign w:val="bottom"/>
            <w:gridSpan w:val="2"/>
          </w:tcPr>
          <w:p>
            <w:pPr>
              <w:jc w:val="center"/>
              <w:ind w:right="300"/>
              <w:spacing w:after="0" w:line="133" w:lineRule="exact"/>
              <w:rPr>
                <w:sz w:val="20"/>
                <w:szCs w:val="20"/>
                <w:color w:val="auto"/>
              </w:rPr>
            </w:pPr>
            <w:r>
              <w:rPr>
                <w:rFonts w:ascii="Arial" w:cs="Arial" w:eastAsia="Arial" w:hAnsi="Arial"/>
                <w:sz w:val="12"/>
                <w:szCs w:val="12"/>
                <w:b w:val="1"/>
                <w:bCs w:val="1"/>
                <w:color w:val="auto"/>
              </w:rPr>
              <w:t>Allowance</w:t>
            </w:r>
          </w:p>
        </w:tc>
        <w:tc>
          <w:tcPr>
            <w:tcW w:w="200" w:type="dxa"/>
            <w:vAlign w:val="bottom"/>
          </w:tcPr>
          <w:p>
            <w:pPr>
              <w:spacing w:after="0"/>
              <w:rPr>
                <w:sz w:val="11"/>
                <w:szCs w:val="11"/>
                <w:color w:val="auto"/>
              </w:rPr>
            </w:pPr>
          </w:p>
        </w:tc>
        <w:tc>
          <w:tcPr>
            <w:tcW w:w="1120" w:type="dxa"/>
            <w:vAlign w:val="bottom"/>
            <w:gridSpan w:val="2"/>
          </w:tcPr>
          <w:p>
            <w:pPr>
              <w:jc w:val="center"/>
              <w:ind w:right="300"/>
              <w:spacing w:after="0" w:line="133" w:lineRule="exact"/>
              <w:rPr>
                <w:sz w:val="20"/>
                <w:szCs w:val="20"/>
                <w:color w:val="auto"/>
              </w:rPr>
            </w:pPr>
            <w:r>
              <w:rPr>
                <w:rFonts w:ascii="Arial" w:cs="Arial" w:eastAsia="Arial" w:hAnsi="Arial"/>
                <w:sz w:val="12"/>
                <w:szCs w:val="12"/>
                <w:b w:val="1"/>
                <w:bCs w:val="1"/>
                <w:color w:val="auto"/>
              </w:rPr>
              <w:t>Allowance</w:t>
            </w:r>
          </w:p>
        </w:tc>
        <w:tc>
          <w:tcPr>
            <w:tcW w:w="200" w:type="dxa"/>
            <w:vAlign w:val="bottom"/>
          </w:tcPr>
          <w:p>
            <w:pPr>
              <w:spacing w:after="0"/>
              <w:rPr>
                <w:sz w:val="11"/>
                <w:szCs w:val="11"/>
                <w:color w:val="auto"/>
              </w:rPr>
            </w:pPr>
          </w:p>
        </w:tc>
        <w:tc>
          <w:tcPr>
            <w:tcW w:w="1140" w:type="dxa"/>
            <w:vAlign w:val="bottom"/>
            <w:gridSpan w:val="2"/>
          </w:tcPr>
          <w:p>
            <w:pPr>
              <w:jc w:val="center"/>
              <w:ind w:right="320"/>
              <w:spacing w:after="0" w:line="133" w:lineRule="exact"/>
              <w:rPr>
                <w:sz w:val="20"/>
                <w:szCs w:val="20"/>
                <w:color w:val="auto"/>
              </w:rPr>
            </w:pPr>
            <w:r>
              <w:rPr>
                <w:rFonts w:ascii="Arial" w:cs="Arial" w:eastAsia="Arial" w:hAnsi="Arial"/>
                <w:sz w:val="12"/>
                <w:szCs w:val="12"/>
                <w:b w:val="1"/>
                <w:bCs w:val="1"/>
                <w:color w:val="auto"/>
              </w:rPr>
              <w:t>Investment</w:t>
            </w:r>
          </w:p>
        </w:tc>
        <w:tc>
          <w:tcPr>
            <w:tcW w:w="200" w:type="dxa"/>
            <w:vAlign w:val="bottom"/>
          </w:tcPr>
          <w:p>
            <w:pPr>
              <w:spacing w:after="0"/>
              <w:rPr>
                <w:sz w:val="11"/>
                <w:szCs w:val="11"/>
                <w:color w:val="auto"/>
              </w:rPr>
            </w:pPr>
          </w:p>
        </w:tc>
        <w:tc>
          <w:tcPr>
            <w:tcW w:w="780" w:type="dxa"/>
            <w:vAlign w:val="bottom"/>
          </w:tcPr>
          <w:p>
            <w:pPr>
              <w:jc w:val="right"/>
              <w:ind w:right="12"/>
              <w:spacing w:after="0" w:line="133" w:lineRule="exact"/>
              <w:rPr>
                <w:sz w:val="20"/>
                <w:szCs w:val="20"/>
                <w:color w:val="auto"/>
              </w:rPr>
            </w:pPr>
            <w:r>
              <w:rPr>
                <w:rFonts w:ascii="Arial" w:cs="Arial" w:eastAsia="Arial" w:hAnsi="Arial"/>
                <w:sz w:val="12"/>
                <w:szCs w:val="12"/>
                <w:b w:val="1"/>
                <w:bCs w:val="1"/>
                <w:color w:val="auto"/>
              </w:rPr>
              <w:t>Allowance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4"/>
                <w:szCs w:val="14"/>
                <w:color w:val="auto"/>
              </w:rPr>
              <w:t>Real estate:</w:t>
            </w:r>
          </w:p>
        </w:tc>
        <w:tc>
          <w:tcPr>
            <w:tcW w:w="3740" w:type="dxa"/>
            <w:vAlign w:val="bottom"/>
            <w:gridSpan w:val="2"/>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37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7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Residential</w:t>
            </w: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4"/>
                <w:szCs w:val="14"/>
                <w:b w:val="1"/>
                <w:bCs w:val="1"/>
                <w:color w:val="auto"/>
              </w:rPr>
              <w:t>2,880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2,726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2,726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740" w:type="dxa"/>
            <w:vAlign w:val="bottom"/>
            <w:gridSpan w:val="3"/>
          </w:tcPr>
          <w:p>
            <w:pPr>
              <w:ind w:left="120"/>
              <w:spacing w:after="0"/>
              <w:rPr>
                <w:sz w:val="20"/>
                <w:szCs w:val="20"/>
                <w:color w:val="auto"/>
              </w:rPr>
            </w:pPr>
            <w:r>
              <w:rPr>
                <w:rFonts w:ascii="Arial" w:cs="Arial" w:eastAsia="Arial" w:hAnsi="Arial"/>
                <w:sz w:val="14"/>
                <w:szCs w:val="14"/>
                <w:color w:val="auto"/>
              </w:rPr>
              <w:t>Commercial</w:t>
            </w:r>
          </w:p>
        </w:tc>
        <w:tc>
          <w:tcPr>
            <w:tcW w:w="180" w:type="dxa"/>
            <w:vAlign w:val="bottom"/>
          </w:tcPr>
          <w:p>
            <w:pPr>
              <w:spacing w:after="0"/>
              <w:rPr>
                <w:sz w:val="17"/>
                <w:szCs w:val="17"/>
                <w:color w:val="auto"/>
              </w:rPr>
            </w:pPr>
          </w:p>
        </w:tc>
        <w:tc>
          <w:tcPr>
            <w:tcW w:w="1020" w:type="dxa"/>
            <w:vAlign w:val="bottom"/>
          </w:tcPr>
          <w:p>
            <w:pPr>
              <w:jc w:val="right"/>
              <w:ind w:right="13"/>
              <w:spacing w:after="0"/>
              <w:rPr>
                <w:sz w:val="20"/>
                <w:szCs w:val="20"/>
                <w:color w:val="auto"/>
              </w:rPr>
            </w:pPr>
            <w:r>
              <w:rPr>
                <w:rFonts w:ascii="Arial" w:cs="Arial" w:eastAsia="Arial" w:hAnsi="Arial"/>
                <w:sz w:val="14"/>
                <w:szCs w:val="14"/>
                <w:b w:val="1"/>
                <w:bCs w:val="1"/>
                <w:color w:val="auto"/>
              </w:rPr>
              <w:t>88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c>
          <w:tcPr>
            <w:tcW w:w="1020" w:type="dxa"/>
            <w:vAlign w:val="bottom"/>
          </w:tcPr>
          <w:p>
            <w:pPr>
              <w:jc w:val="right"/>
              <w:ind w:right="12"/>
              <w:spacing w:after="0"/>
              <w:rPr>
                <w:sz w:val="20"/>
                <w:szCs w:val="20"/>
                <w:color w:val="auto"/>
              </w:rPr>
            </w:pPr>
            <w:r>
              <w:rPr>
                <w:rFonts w:ascii="Arial" w:cs="Arial" w:eastAsia="Arial" w:hAnsi="Arial"/>
                <w:sz w:val="14"/>
                <w:szCs w:val="14"/>
                <w:b w:val="1"/>
                <w:bCs w:val="1"/>
                <w:color w:val="auto"/>
              </w:rPr>
              <w:t>22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47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Construction</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4"/>
                <w:szCs w:val="14"/>
                <w:b w:val="1"/>
                <w:bCs w:val="1"/>
                <w:color w:val="auto"/>
              </w:rPr>
              <w:t>2,123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2,041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2,041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474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color w:val="auto"/>
              </w:rPr>
              <w:t>Commercial and Industrial</w:t>
            </w: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1,012</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530</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321</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851</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w:t>
            </w:r>
          </w:p>
        </w:tc>
        <w:tc>
          <w:tcPr>
            <w:tcW w:w="0" w:type="dxa"/>
            <w:vAlign w:val="bottom"/>
          </w:tcPr>
          <w:p>
            <w:pPr>
              <w:spacing w:after="0"/>
              <w:rPr>
                <w:sz w:val="1"/>
                <w:szCs w:val="1"/>
                <w:color w:val="auto"/>
              </w:rPr>
            </w:pPr>
          </w:p>
        </w:tc>
      </w:tr>
      <w:tr>
        <w:trPr>
          <w:trHeight w:val="218"/>
        </w:trPr>
        <w:tc>
          <w:tcPr>
            <w:tcW w:w="20" w:type="dxa"/>
            <w:vAlign w:val="bottom"/>
            <w:tcBorders>
              <w:bottom w:val="single" w:sz="8" w:color="CCEEFF"/>
            </w:tcBorders>
            <w:shd w:val="clear" w:color="auto" w:fill="CCEEFF"/>
          </w:tcPr>
          <w:p>
            <w:pPr>
              <w:spacing w:after="0"/>
              <w:rPr>
                <w:sz w:val="18"/>
                <w:szCs w:val="18"/>
                <w:color w:val="auto"/>
              </w:rPr>
            </w:pPr>
          </w:p>
        </w:tc>
        <w:tc>
          <w:tcPr>
            <w:tcW w:w="474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b w:val="1"/>
                <w:bCs w:val="1"/>
                <w:color w:val="auto"/>
              </w:rPr>
              <w:t>6,103</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5,319</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321</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5,640</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auto"/>
            </w:tcBorders>
            <w:gridSpan w:val="2"/>
            <w:shd w:val="clear" w:color="auto" w:fill="CCEEFF"/>
          </w:tcPr>
          <w:p>
            <w:pPr>
              <w:spacing w:after="0" w:line="159" w:lineRule="exact"/>
              <w:rPr>
                <w:sz w:val="20"/>
                <w:szCs w:val="20"/>
                <w:color w:val="auto"/>
              </w:rPr>
            </w:pPr>
            <w:r>
              <w:rPr>
                <w:rFonts w:ascii="Arial" w:cs="Arial" w:eastAsia="Arial" w:hAnsi="Arial"/>
                <w:sz w:val="14"/>
                <w:szCs w:val="14"/>
                <w:b w:val="1"/>
                <w:bCs w:val="1"/>
                <w:color w:val="auto"/>
                <w:w w:val="99"/>
              </w:rPr>
              <w:t>December 31, 2021</w:t>
            </w:r>
          </w:p>
        </w:tc>
        <w:tc>
          <w:tcPr>
            <w:tcW w:w="34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740" w:type="dxa"/>
            <w:vAlign w:val="bottom"/>
            <w:gridSpan w:val="3"/>
          </w:tcPr>
          <w:p>
            <w:pPr>
              <w:spacing w:after="0"/>
              <w:rPr>
                <w:sz w:val="20"/>
                <w:szCs w:val="20"/>
                <w:color w:val="auto"/>
              </w:rPr>
            </w:pPr>
            <w:r>
              <w:rPr>
                <w:rFonts w:ascii="Arial" w:cs="Arial" w:eastAsia="Arial" w:hAnsi="Arial"/>
                <w:sz w:val="14"/>
                <w:szCs w:val="14"/>
                <w:color w:val="auto"/>
              </w:rPr>
              <w:t>Real estate:</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7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Residential</w:t>
            </w: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3,022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2,835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740" w:type="dxa"/>
            <w:vAlign w:val="bottom"/>
            <w:gridSpan w:val="3"/>
          </w:tcPr>
          <w:p>
            <w:pPr>
              <w:ind w:left="120"/>
              <w:spacing w:after="0"/>
              <w:rPr>
                <w:sz w:val="20"/>
                <w:szCs w:val="20"/>
                <w:color w:val="auto"/>
              </w:rPr>
            </w:pPr>
            <w:r>
              <w:rPr>
                <w:rFonts w:ascii="Arial" w:cs="Arial" w:eastAsia="Arial" w:hAnsi="Arial"/>
                <w:sz w:val="14"/>
                <w:szCs w:val="14"/>
                <w:color w:val="auto"/>
              </w:rPr>
              <w:t>Commercial</w:t>
            </w:r>
          </w:p>
        </w:tc>
        <w:tc>
          <w:tcPr>
            <w:tcW w:w="180" w:type="dxa"/>
            <w:vAlign w:val="bottom"/>
          </w:tcPr>
          <w:p>
            <w:pPr>
              <w:spacing w:after="0"/>
              <w:rPr>
                <w:sz w:val="16"/>
                <w:szCs w:val="16"/>
                <w:color w:val="auto"/>
              </w:rPr>
            </w:pPr>
          </w:p>
        </w:tc>
        <w:tc>
          <w:tcPr>
            <w:tcW w:w="1020" w:type="dxa"/>
            <w:vAlign w:val="bottom"/>
          </w:tcPr>
          <w:p>
            <w:pPr>
              <w:jc w:val="right"/>
              <w:ind w:right="13"/>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20" w:type="dxa"/>
            <w:vAlign w:val="bottom"/>
          </w:tcPr>
          <w:p>
            <w:pPr>
              <w:jc w:val="right"/>
              <w:ind w:right="12"/>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7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Construction</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7,885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7,803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7,803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Borders>
              <w:bottom w:val="single" w:sz="8" w:color="CCEEFF"/>
            </w:tcBorders>
          </w:tcPr>
          <w:p>
            <w:pPr>
              <w:spacing w:after="0"/>
              <w:rPr>
                <w:sz w:val="16"/>
                <w:szCs w:val="16"/>
                <w:color w:val="auto"/>
              </w:rPr>
            </w:pPr>
          </w:p>
        </w:tc>
        <w:tc>
          <w:tcPr>
            <w:tcW w:w="474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color w:val="auto"/>
              </w:rPr>
              <w:t>Commercial and Industrial</w:t>
            </w: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832</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340</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336</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676</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22"/>
        </w:trPr>
        <w:tc>
          <w:tcPr>
            <w:tcW w:w="20" w:type="dxa"/>
            <w:vAlign w:val="bottom"/>
            <w:tcBorders>
              <w:bottom w:val="single" w:sz="8" w:color="CCEEFF"/>
            </w:tcBorders>
            <w:shd w:val="clear" w:color="auto" w:fill="CCEEFF"/>
          </w:tcPr>
          <w:p>
            <w:pPr>
              <w:spacing w:after="0"/>
              <w:rPr>
                <w:sz w:val="18"/>
                <w:szCs w:val="18"/>
                <w:color w:val="auto"/>
              </w:rPr>
            </w:pPr>
          </w:p>
        </w:tc>
        <w:tc>
          <w:tcPr>
            <w:tcW w:w="474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rPr>
              <w:t>11,829</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11,003</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336</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11,339</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020"/>
          </w:cols>
          <w:pgMar w:left="640" w:top="617" w:right="239" w:bottom="1440" w:gutter="0" w:footer="0" w:header="0"/>
        </w:sectPr>
      </w:pP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summarize interest recognized on impaired loans:</w:t>
      </w:r>
    </w:p>
    <w:p>
      <w:pPr>
        <w:spacing w:after="0" w:line="27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Interest Recognized on Impaired Portfolio Loans</w:t>
      </w:r>
    </w:p>
    <w:p>
      <w:pPr>
        <w:spacing w:after="0" w:line="200" w:lineRule="exact"/>
        <w:rPr>
          <w:sz w:val="20"/>
          <w:szCs w:val="20"/>
          <w:color w:val="auto"/>
        </w:rPr>
      </w:pPr>
    </w:p>
    <w:p>
      <w:pPr>
        <w:spacing w:after="0" w:line="306" w:lineRule="exact"/>
        <w:rPr>
          <w:sz w:val="20"/>
          <w:szCs w:val="20"/>
          <w:color w:val="auto"/>
        </w:rPr>
      </w:pPr>
    </w:p>
    <w:p>
      <w:pPr>
        <w:ind w:left="20"/>
        <w:spacing w:after="0"/>
        <w:rPr>
          <w:sz w:val="20"/>
          <w:szCs w:val="20"/>
          <w:color w:val="auto"/>
        </w:rPr>
      </w:pPr>
      <w:r>
        <w:rPr>
          <w:rFonts w:ascii="Arial" w:cs="Arial" w:eastAsia="Arial" w:hAnsi="Arial"/>
          <w:sz w:val="11"/>
          <w:szCs w:val="11"/>
          <w:color w:val="auto"/>
        </w:rPr>
        <w:t>(in thousands)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Real estate: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21590</wp:posOffset>
            </wp:positionV>
            <wp:extent cx="6995160" cy="1263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126365"/>
                    </a:xfrm>
                    <a:prstGeom prst="rect">
                      <a:avLst/>
                    </a:prstGeom>
                    <a:noFill/>
                  </pic:spPr>
                </pic:pic>
              </a:graphicData>
            </a:graphic>
          </wp:anchor>
        </w:drawing>
      </w:r>
    </w:p>
    <w:p>
      <w:pPr>
        <w:spacing w:after="0" w:line="1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Residential</w:t>
      </w:r>
    </w:p>
    <w:p>
      <w:pPr>
        <w:spacing w:after="0" w:line="3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Commercial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21590</wp:posOffset>
            </wp:positionV>
            <wp:extent cx="6995160" cy="1263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126365"/>
                    </a:xfrm>
                    <a:prstGeom prst="rect">
                      <a:avLst/>
                    </a:prstGeom>
                    <a:noFill/>
                  </pic:spPr>
                </pic:pic>
              </a:graphicData>
            </a:graphic>
          </wp:anchor>
        </w:drawing>
      </w:r>
    </w:p>
    <w:p>
      <w:pPr>
        <w:spacing w:after="0" w:line="1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Construction</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4"/>
          <w:szCs w:val="14"/>
          <w:color w:val="auto"/>
        </w:rPr>
        <w:t>Commercial and Industrial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21590</wp:posOffset>
            </wp:positionV>
            <wp:extent cx="6995160" cy="1517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151765"/>
                    </a:xfrm>
                    <a:prstGeom prst="rect">
                      <a:avLst/>
                    </a:prstGeom>
                    <a:noFill/>
                  </pic:spPr>
                </pic:pic>
              </a:graphicData>
            </a:graphic>
          </wp:anchor>
        </w:drawing>
      </w:r>
    </w:p>
    <w:p>
      <w:pPr>
        <w:spacing w:after="0" w:line="58" w:lineRule="exact"/>
        <w:rPr>
          <w:sz w:val="20"/>
          <w:szCs w:val="20"/>
          <w:color w:val="auto"/>
        </w:rPr>
      </w:pPr>
    </w:p>
    <w:p>
      <w:pPr>
        <w:ind w:left="220"/>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For the Three Months Ended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21590</wp:posOffset>
            </wp:positionV>
            <wp:extent cx="202247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022475" cy="8255"/>
                    </a:xfrm>
                    <a:prstGeom prst="rect">
                      <a:avLst/>
                    </a:prstGeom>
                    <a:noFill/>
                  </pic:spPr>
                </pic:pic>
              </a:graphicData>
            </a:graphic>
          </wp:anchor>
        </w:drawing>
      </w:r>
    </w:p>
    <w:p>
      <w:pPr>
        <w:spacing w:after="0" w:line="16" w:lineRule="exact"/>
        <w:rPr>
          <w:sz w:val="20"/>
          <w:szCs w:val="20"/>
          <w:color w:val="auto"/>
        </w:rPr>
      </w:pPr>
    </w:p>
    <w:p>
      <w:pPr>
        <w:ind w:left="580"/>
        <w:spacing w:after="0"/>
        <w:rPr>
          <w:sz w:val="20"/>
          <w:szCs w:val="20"/>
          <w:color w:val="auto"/>
        </w:rPr>
      </w:pPr>
      <w:r>
        <w:rPr>
          <w:rFonts w:ascii="Arial" w:cs="Arial" w:eastAsia="Arial" w:hAnsi="Arial"/>
          <w:sz w:val="12"/>
          <w:szCs w:val="12"/>
          <w:b w:val="1"/>
          <w:bCs w:val="1"/>
          <w:color w:val="auto"/>
        </w:rPr>
        <w:t>Average</w:t>
      </w:r>
    </w:p>
    <w:p>
      <w:pPr>
        <w:ind w:left="540"/>
        <w:spacing w:after="0" w:line="207" w:lineRule="auto"/>
        <w:tabs>
          <w:tab w:leader="none" w:pos="2340" w:val="left"/>
        </w:tabs>
        <w:rPr>
          <w:sz w:val="20"/>
          <w:szCs w:val="20"/>
          <w:color w:val="auto"/>
        </w:rPr>
      </w:pPr>
      <w:r>
        <w:rPr>
          <w:rFonts w:ascii="Arial" w:cs="Arial" w:eastAsia="Arial" w:hAnsi="Arial"/>
          <w:sz w:val="12"/>
          <w:szCs w:val="12"/>
          <w:b w:val="1"/>
          <w:bCs w:val="1"/>
          <w:color w:val="auto"/>
        </w:rPr>
        <w:t>Recorded</w:t>
      </w:r>
      <w:r>
        <w:rPr>
          <w:sz w:val="20"/>
          <w:szCs w:val="20"/>
          <w:color w:val="auto"/>
        </w:rPr>
        <w:tab/>
      </w:r>
      <w:r>
        <w:rPr>
          <w:rFonts w:ascii="Arial" w:cs="Arial" w:eastAsia="Arial" w:hAnsi="Arial"/>
          <w:sz w:val="12"/>
          <w:szCs w:val="12"/>
          <w:b w:val="1"/>
          <w:bCs w:val="1"/>
          <w:color w:val="auto"/>
        </w:rPr>
        <w:t>Interest</w:t>
      </w:r>
    </w:p>
    <w:p>
      <w:pPr>
        <w:ind w:left="500"/>
        <w:spacing w:after="0"/>
        <w:tabs>
          <w:tab w:leader="none" w:pos="2220" w:val="left"/>
        </w:tabs>
        <w:rPr>
          <w:sz w:val="20"/>
          <w:szCs w:val="20"/>
          <w:color w:val="auto"/>
        </w:rPr>
      </w:pPr>
      <w:r>
        <w:rPr>
          <w:rFonts w:ascii="Arial" w:cs="Arial" w:eastAsia="Arial" w:hAnsi="Arial"/>
          <w:sz w:val="12"/>
          <w:szCs w:val="12"/>
          <w:b w:val="1"/>
          <w:bCs w:val="1"/>
          <w:color w:val="auto"/>
        </w:rPr>
        <w:t>Investment</w:t>
      </w:r>
      <w:r>
        <w:rPr>
          <w:sz w:val="20"/>
          <w:szCs w:val="20"/>
          <w:color w:val="auto"/>
        </w:rPr>
        <w:tab/>
      </w:r>
      <w:r>
        <w:rPr>
          <w:rFonts w:ascii="Arial" w:cs="Arial" w:eastAsia="Arial" w:hAnsi="Arial"/>
          <w:sz w:val="12"/>
          <w:szCs w:val="12"/>
          <w:b w:val="1"/>
          <w:bCs w:val="1"/>
          <w:color w:val="auto"/>
        </w:rPr>
        <w:t>Recognized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25400</wp:posOffset>
            </wp:positionV>
            <wp:extent cx="202247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022475" cy="8255"/>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60" w:type="dxa"/>
            <w:vAlign w:val="bottom"/>
          </w:tcPr>
          <w:p>
            <w:pPr>
              <w:jc w:val="right"/>
              <w:ind w:right="489"/>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2,881</w:t>
            </w:r>
          </w:p>
        </w:tc>
        <w:tc>
          <w:tcPr>
            <w:tcW w:w="120" w:type="dxa"/>
            <w:vAlign w:val="bottom"/>
          </w:tcPr>
          <w:p>
            <w:pPr>
              <w:spacing w:after="0"/>
              <w:rPr>
                <w:sz w:val="16"/>
                <w:szCs w:val="16"/>
                <w:color w:val="auto"/>
              </w:rPr>
            </w:pPr>
          </w:p>
        </w:tc>
        <w:tc>
          <w:tcPr>
            <w:tcW w:w="1420" w:type="dxa"/>
            <w:vAlign w:val="bottom"/>
          </w:tcPr>
          <w:p>
            <w:pPr>
              <w:jc w:val="right"/>
              <w:ind w:right="1249"/>
              <w:spacing w:after="0"/>
              <w:rPr>
                <w:sz w:val="20"/>
                <w:szCs w:val="20"/>
                <w:color w:val="auto"/>
              </w:rPr>
            </w:pPr>
            <w:r>
              <w:rPr>
                <w:rFonts w:ascii="Arial" w:cs="Arial" w:eastAsia="Arial" w:hAnsi="Arial"/>
                <w:sz w:val="14"/>
                <w:szCs w:val="14"/>
                <w:b w:val="1"/>
                <w:bCs w:val="1"/>
                <w:color w:val="auto"/>
              </w:rPr>
              <w:t>$</w:t>
            </w:r>
          </w:p>
        </w:tc>
      </w:tr>
      <w:tr>
        <w:trPr>
          <w:trHeight w:val="199"/>
        </w:trPr>
        <w:tc>
          <w:tcPr>
            <w:tcW w:w="6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89</w:t>
            </w: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199"/>
        </w:trPr>
        <w:tc>
          <w:tcPr>
            <w:tcW w:w="6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2,123</w:t>
            </w: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199"/>
        </w:trPr>
        <w:tc>
          <w:tcPr>
            <w:tcW w:w="6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1,236</w:t>
            </w:r>
          </w:p>
        </w:tc>
        <w:tc>
          <w:tcPr>
            <w:tcW w:w="120" w:type="dxa"/>
            <w:vAlign w:val="bottom"/>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r>
      <w:tr>
        <w:trPr>
          <w:trHeight w:val="192"/>
        </w:trPr>
        <w:tc>
          <w:tcPr>
            <w:tcW w:w="66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6,329</w:t>
            </w:r>
          </w:p>
        </w:tc>
        <w:tc>
          <w:tcPr>
            <w:tcW w:w="120" w:type="dxa"/>
            <w:vAlign w:val="bottom"/>
          </w:tcPr>
          <w:p>
            <w:pPr>
              <w:spacing w:after="0"/>
              <w:rPr>
                <w:sz w:val="16"/>
                <w:szCs w:val="16"/>
                <w:color w:val="auto"/>
              </w:rPr>
            </w:pPr>
          </w:p>
        </w:tc>
        <w:tc>
          <w:tcPr>
            <w:tcW w:w="1420" w:type="dxa"/>
            <w:vAlign w:val="bottom"/>
            <w:tcBorders>
              <w:bottom w:val="single" w:sz="8" w:color="auto"/>
            </w:tcBorders>
          </w:tcPr>
          <w:p>
            <w:pPr>
              <w:jc w:val="right"/>
              <w:ind w:right="1249"/>
              <w:spacing w:after="0"/>
              <w:rPr>
                <w:sz w:val="20"/>
                <w:szCs w:val="20"/>
                <w:color w:val="auto"/>
              </w:rPr>
            </w:pPr>
            <w:r>
              <w:rPr>
                <w:rFonts w:ascii="Arial" w:cs="Arial" w:eastAsia="Arial" w:hAnsi="Arial"/>
                <w:sz w:val="14"/>
                <w:szCs w:val="14"/>
                <w:b w:val="1"/>
                <w:bCs w:val="1"/>
                <w:color w:val="auto"/>
              </w:rPr>
              <w:t>$</w:t>
            </w:r>
          </w:p>
        </w:tc>
      </w:tr>
      <w:tr>
        <w:trPr>
          <w:trHeight w:val="20"/>
        </w:trPr>
        <w:tc>
          <w:tcPr>
            <w:tcW w:w="6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120" w:space="720"/>
            <w:col w:w="3180"/>
          </w:cols>
          <w:pgMar w:left="640" w:top="617"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260985</wp:posOffset>
            </wp:positionV>
            <wp:extent cx="716026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020"/>
          </w:cols>
          <w:pgMar w:left="640" w:top="617" w:right="239" w:bottom="1440" w:gutter="0" w:footer="0" w:header="0"/>
          <w:type w:val="continuous"/>
        </w:sectPr>
      </w:pPr>
    </w:p>
    <w:bookmarkStart w:id="25" w:name="page26"/>
    <w:bookmarkEnd w:id="25"/>
    <w:p>
      <w:pPr>
        <w:ind w:left="3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408940</wp:posOffset>
            </wp:positionH>
            <wp:positionV relativeFrom="page">
              <wp:posOffset>391795</wp:posOffset>
            </wp:positionV>
            <wp:extent cx="666369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663690" cy="17145"/>
                    </a:xfrm>
                    <a:prstGeom prst="rect">
                      <a:avLst/>
                    </a:prstGeom>
                    <a:noFill/>
                  </pic:spPr>
                </pic:pic>
              </a:graphicData>
            </a:graphic>
          </wp:anchor>
        </w:drawing>
        <w:t>Capital Bancorp, Inc. and Subsidiaries</w:t>
      </w:r>
    </w:p>
    <w:p>
      <w:pPr>
        <w:ind w:left="34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6350</wp:posOffset>
            </wp:positionV>
            <wp:extent cx="666369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26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5 - Portfolio Loans Receivable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Interest Recognized on Impaired Portfolio Loans</w:t>
      </w:r>
    </w:p>
    <w:p>
      <w:pPr>
        <w:spacing w:after="0" w:line="34"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For the Three Months Ended March 31, 20</w:t>
      </w:r>
    </w:p>
    <w:p>
      <w:pPr>
        <w:spacing w:after="0" w:line="32" w:lineRule="exact"/>
        <w:rPr>
          <w:sz w:val="20"/>
          <w:szCs w:val="20"/>
          <w:color w:val="auto"/>
        </w:rPr>
      </w:pPr>
    </w:p>
    <w:tbl>
      <w:tblPr>
        <w:tblLayout w:type="fixed"/>
        <w:tblInd w:w="320" w:type="dxa"/>
        <w:tblCellMar>
          <w:top w:w="0" w:type="dxa"/>
          <w:left w:w="0" w:type="dxa"/>
          <w:bottom w:w="0" w:type="dxa"/>
          <w:right w:w="0" w:type="dxa"/>
        </w:tblCellMar>
      </w:tblPr>
      <w:tr>
        <w:trPr>
          <w:trHeight w:val="113"/>
        </w:trPr>
        <w:tc>
          <w:tcPr>
            <w:tcW w:w="8200" w:type="dxa"/>
            <w:vAlign w:val="bottom"/>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1320" w:type="dxa"/>
            <w:vAlign w:val="bottom"/>
            <w:tcBorders>
              <w:top w:val="single" w:sz="8" w:color="auto"/>
            </w:tcBorders>
            <w:gridSpan w:val="2"/>
          </w:tcPr>
          <w:p>
            <w:pPr>
              <w:jc w:val="center"/>
              <w:ind w:right="360"/>
              <w:spacing w:after="0" w:line="114" w:lineRule="exact"/>
              <w:rPr>
                <w:sz w:val="20"/>
                <w:szCs w:val="20"/>
                <w:color w:val="auto"/>
              </w:rPr>
            </w:pPr>
            <w:r>
              <w:rPr>
                <w:rFonts w:ascii="Arial" w:cs="Arial" w:eastAsia="Arial" w:hAnsi="Arial"/>
                <w:sz w:val="12"/>
                <w:szCs w:val="12"/>
                <w:b w:val="1"/>
                <w:bCs w:val="1"/>
                <w:color w:val="auto"/>
              </w:rPr>
              <w:t>Average</w:t>
            </w:r>
          </w:p>
        </w:tc>
        <w:tc>
          <w:tcPr>
            <w:tcW w:w="1240" w:type="dxa"/>
            <w:vAlign w:val="bottom"/>
            <w:tcBorders>
              <w:top w:val="single" w:sz="8" w:color="auto"/>
            </w:tcBorders>
            <w:vMerge w:val="restart"/>
          </w:tcPr>
          <w:p>
            <w:pPr>
              <w:jc w:val="right"/>
              <w:ind w:right="214"/>
              <w:spacing w:after="0"/>
              <w:rPr>
                <w:sz w:val="20"/>
                <w:szCs w:val="20"/>
                <w:color w:val="auto"/>
              </w:rPr>
            </w:pPr>
            <w:r>
              <w:rPr>
                <w:rFonts w:ascii="Arial" w:cs="Arial" w:eastAsia="Arial" w:hAnsi="Arial"/>
                <w:sz w:val="12"/>
                <w:szCs w:val="12"/>
                <w:b w:val="1"/>
                <w:bCs w:val="1"/>
                <w:color w:val="auto"/>
              </w:rPr>
              <w:t>Interest</w:t>
            </w:r>
          </w:p>
        </w:tc>
        <w:tc>
          <w:tcPr>
            <w:tcW w:w="0" w:type="dxa"/>
            <w:vAlign w:val="bottom"/>
          </w:tcPr>
          <w:p>
            <w:pPr>
              <w:spacing w:after="0"/>
              <w:rPr>
                <w:sz w:val="1"/>
                <w:szCs w:val="1"/>
                <w:color w:val="auto"/>
              </w:rPr>
            </w:pPr>
          </w:p>
        </w:tc>
      </w:tr>
      <w:tr>
        <w:trPr>
          <w:trHeight w:val="119"/>
        </w:trPr>
        <w:tc>
          <w:tcPr>
            <w:tcW w:w="8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20" w:type="dxa"/>
            <w:vAlign w:val="bottom"/>
            <w:gridSpan w:val="2"/>
          </w:tcPr>
          <w:p>
            <w:pPr>
              <w:jc w:val="center"/>
              <w:ind w:right="380"/>
              <w:spacing w:after="0" w:line="120" w:lineRule="exact"/>
              <w:rPr>
                <w:sz w:val="20"/>
                <w:szCs w:val="20"/>
                <w:color w:val="auto"/>
              </w:rPr>
            </w:pPr>
            <w:r>
              <w:rPr>
                <w:rFonts w:ascii="Arial" w:cs="Arial" w:eastAsia="Arial" w:hAnsi="Arial"/>
                <w:sz w:val="12"/>
                <w:szCs w:val="12"/>
                <w:b w:val="1"/>
                <w:bCs w:val="1"/>
                <w:color w:val="auto"/>
              </w:rPr>
              <w:t>Recorded</w:t>
            </w:r>
          </w:p>
        </w:tc>
        <w:tc>
          <w:tcPr>
            <w:tcW w:w="1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820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260" w:type="dxa"/>
            <w:vAlign w:val="bottom"/>
          </w:tcPr>
          <w:p>
            <w:pPr>
              <w:spacing w:after="0"/>
              <w:rPr>
                <w:sz w:val="15"/>
                <w:szCs w:val="15"/>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rPr>
              <w:t>Investment</w:t>
            </w:r>
          </w:p>
        </w:tc>
        <w:tc>
          <w:tcPr>
            <w:tcW w:w="1240" w:type="dxa"/>
            <w:vAlign w:val="bottom"/>
          </w:tcPr>
          <w:p>
            <w:pPr>
              <w:jc w:val="right"/>
              <w:ind w:right="94"/>
              <w:spacing w:after="0"/>
              <w:rPr>
                <w:sz w:val="20"/>
                <w:szCs w:val="20"/>
                <w:color w:val="auto"/>
              </w:rPr>
            </w:pPr>
            <w:r>
              <w:rPr>
                <w:rFonts w:ascii="Arial" w:cs="Arial" w:eastAsia="Arial" w:hAnsi="Arial"/>
                <w:sz w:val="12"/>
                <w:szCs w:val="12"/>
                <w:b w:val="1"/>
                <w:bCs w:val="1"/>
                <w:color w:val="auto"/>
              </w:rPr>
              <w:t>Recognized</w:t>
            </w:r>
          </w:p>
        </w:tc>
        <w:tc>
          <w:tcPr>
            <w:tcW w:w="0" w:type="dxa"/>
            <w:vAlign w:val="bottom"/>
          </w:tcPr>
          <w:p>
            <w:pPr>
              <w:spacing w:after="0"/>
              <w:rPr>
                <w:sz w:val="1"/>
                <w:szCs w:val="1"/>
                <w:color w:val="auto"/>
              </w:rPr>
            </w:pPr>
          </w:p>
        </w:tc>
      </w:tr>
      <w:tr>
        <w:trPr>
          <w:trHeight w:val="181"/>
        </w:trPr>
        <w:tc>
          <w:tcPr>
            <w:tcW w:w="8200" w:type="dxa"/>
            <w:vAlign w:val="bottom"/>
          </w:tcPr>
          <w:p>
            <w:pPr>
              <w:ind w:left="20"/>
              <w:spacing w:after="0"/>
              <w:rPr>
                <w:sz w:val="20"/>
                <w:szCs w:val="20"/>
                <w:color w:val="auto"/>
              </w:rPr>
            </w:pPr>
            <w:r>
              <w:rPr>
                <w:rFonts w:ascii="Arial" w:cs="Arial" w:eastAsia="Arial" w:hAnsi="Arial"/>
                <w:sz w:val="14"/>
                <w:szCs w:val="14"/>
                <w:color w:val="auto"/>
              </w:rPr>
              <w:t>Real estate:</w:t>
            </w:r>
          </w:p>
        </w:tc>
        <w:tc>
          <w:tcPr>
            <w:tcW w:w="2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Residential</w:t>
            </w: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4,894</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07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8"/>
        </w:trPr>
        <w:tc>
          <w:tcPr>
            <w:tcW w:w="8200" w:type="dxa"/>
            <w:vAlign w:val="bottom"/>
          </w:tcPr>
          <w:p>
            <w:pPr>
              <w:ind w:left="140"/>
              <w:spacing w:after="0"/>
              <w:rPr>
                <w:sz w:val="20"/>
                <w:szCs w:val="20"/>
                <w:color w:val="auto"/>
              </w:rPr>
            </w:pPr>
            <w:r>
              <w:rPr>
                <w:rFonts w:ascii="Arial" w:cs="Arial" w:eastAsia="Arial" w:hAnsi="Arial"/>
                <w:sz w:val="14"/>
                <w:szCs w:val="14"/>
                <w:color w:val="auto"/>
              </w:rPr>
              <w:t>Commercial</w:t>
            </w: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1,392</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Construction</w:t>
            </w: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1,737</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Commercial and Industrial</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1,344</w:t>
            </w:r>
          </w:p>
        </w:tc>
        <w:tc>
          <w:tcPr>
            <w:tcW w:w="12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8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w:t>
            </w: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9,367</w:t>
            </w:r>
          </w:p>
        </w:tc>
        <w:tc>
          <w:tcPr>
            <w:tcW w:w="1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7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Impaired portfolio loans include loans acquired on which management has recorded a nonaccretable discount.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Credit quality indicators</w:t>
      </w:r>
    </w:p>
    <w:p>
      <w:pPr>
        <w:spacing w:after="0" w:line="217" w:lineRule="exact"/>
        <w:rPr>
          <w:sz w:val="20"/>
          <w:szCs w:val="20"/>
          <w:color w:val="auto"/>
        </w:rPr>
      </w:pPr>
    </w:p>
    <w:p>
      <w:pPr>
        <w:jc w:val="both"/>
        <w:ind w:right="100" w:firstLine="318"/>
        <w:spacing w:after="0" w:line="260" w:lineRule="auto"/>
        <w:rPr>
          <w:sz w:val="20"/>
          <w:szCs w:val="20"/>
          <w:color w:val="auto"/>
        </w:rPr>
      </w:pPr>
      <w:r>
        <w:rPr>
          <w:rFonts w:ascii="Arial" w:cs="Arial" w:eastAsia="Arial" w:hAnsi="Arial"/>
          <w:sz w:val="18"/>
          <w:szCs w:val="18"/>
          <w:color w:val="auto"/>
        </w:rPr>
        <w:t>As part of the ongoing monitoring of the credit quality of the Company’s loan portfolio, management tracks certain credit quality indicators including trends related to the risk grade of loans, the level of classified loans, net charge-offs, nonperforming loans, and the general economic conditions in the Company’s market.</w:t>
      </w:r>
    </w:p>
    <w:p>
      <w:pPr>
        <w:spacing w:after="0" w:line="175" w:lineRule="exact"/>
        <w:rPr>
          <w:sz w:val="20"/>
          <w:szCs w:val="20"/>
          <w:color w:val="auto"/>
        </w:rPr>
      </w:pPr>
    </w:p>
    <w:p>
      <w:pPr>
        <w:jc w:val="both"/>
        <w:ind w:right="100" w:firstLine="318"/>
        <w:spacing w:after="0" w:line="274" w:lineRule="auto"/>
        <w:rPr>
          <w:sz w:val="20"/>
          <w:szCs w:val="20"/>
          <w:color w:val="auto"/>
        </w:rPr>
      </w:pPr>
      <w:r>
        <w:rPr>
          <w:rFonts w:ascii="Arial" w:cs="Arial" w:eastAsia="Arial" w:hAnsi="Arial"/>
          <w:sz w:val="18"/>
          <w:szCs w:val="18"/>
          <w:color w:val="auto"/>
        </w:rPr>
        <w:t>The Company utilizes a risk grading matrix to assign a risk grade to each of its loans. A description of the general characteristics of loans characterized as classified is as follows: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Mention</w:t>
      </w:r>
    </w:p>
    <w:p>
      <w:pPr>
        <w:spacing w:after="0" w:line="217" w:lineRule="exact"/>
        <w:rPr>
          <w:sz w:val="20"/>
          <w:szCs w:val="20"/>
          <w:color w:val="auto"/>
        </w:rPr>
      </w:pPr>
    </w:p>
    <w:p>
      <w:pPr>
        <w:jc w:val="both"/>
        <w:ind w:right="100" w:firstLine="318"/>
        <w:spacing w:after="0" w:line="260" w:lineRule="auto"/>
        <w:rPr>
          <w:sz w:val="20"/>
          <w:szCs w:val="20"/>
          <w:color w:val="auto"/>
        </w:rPr>
      </w:pPr>
      <w:r>
        <w:rPr>
          <w:rFonts w:ascii="Arial" w:cs="Arial" w:eastAsia="Arial" w:hAnsi="Arial"/>
          <w:sz w:val="18"/>
          <w:szCs w:val="18"/>
          <w:color w:val="auto"/>
        </w:rPr>
        <w:t>A special mention loan has potential weaknesses that deserve management’s close attention. If left uncorrected, these potential weaknesses may result in deterioration of the repayment prospects for the asset or in the Company’s credit position at some future date. Special mention loans are not adversely classified and do not expose the Company to sufficient risk to warrant adverse classification.</w:t>
      </w:r>
    </w:p>
    <w:p>
      <w:pPr>
        <w:spacing w:after="0" w:line="175" w:lineRule="exact"/>
        <w:rPr>
          <w:sz w:val="20"/>
          <w:szCs w:val="20"/>
          <w:color w:val="auto"/>
        </w:rPr>
      </w:pPr>
    </w:p>
    <w:p>
      <w:pPr>
        <w:jc w:val="both"/>
        <w:ind w:right="100" w:firstLine="318"/>
        <w:spacing w:after="0" w:line="260" w:lineRule="auto"/>
        <w:rPr>
          <w:sz w:val="20"/>
          <w:szCs w:val="20"/>
          <w:color w:val="auto"/>
        </w:rPr>
      </w:pPr>
      <w:r>
        <w:rPr>
          <w:rFonts w:ascii="Arial" w:cs="Arial" w:eastAsia="Arial" w:hAnsi="Arial"/>
          <w:sz w:val="18"/>
          <w:szCs w:val="18"/>
          <w:color w:val="auto"/>
        </w:rPr>
        <w:t>Borrowers may exhibit poor liquidity and leverage positions resulting from generally negative cash flow or negative trends in earnings. Access to alternative financing may be limited to finance companies for business borrowers and may be unavailable for commercial real estate borrowers.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Substandard</w:t>
      </w:r>
    </w:p>
    <w:p>
      <w:pPr>
        <w:spacing w:after="0" w:line="217" w:lineRule="exact"/>
        <w:rPr>
          <w:sz w:val="20"/>
          <w:szCs w:val="20"/>
          <w:color w:val="auto"/>
        </w:rPr>
      </w:pPr>
    </w:p>
    <w:p>
      <w:pPr>
        <w:jc w:val="both"/>
        <w:ind w:right="100" w:firstLine="318"/>
        <w:spacing w:after="0" w:line="260" w:lineRule="auto"/>
        <w:rPr>
          <w:sz w:val="20"/>
          <w:szCs w:val="20"/>
          <w:color w:val="auto"/>
        </w:rPr>
      </w:pPr>
      <w:r>
        <w:rPr>
          <w:rFonts w:ascii="Arial" w:cs="Arial" w:eastAsia="Arial" w:hAnsi="Arial"/>
          <w:sz w:val="18"/>
          <w:szCs w:val="18"/>
          <w:color w:val="auto"/>
        </w:rPr>
        <w:t>A substandard loan is inadequately protected by the current financial condition and paying capacity of the obligor or of the collateral pledged, if any. Substandard loans have a well-defined weakness, or weaknesses, that jeopardize the liquidation of the debt. They are characterized by the distinct possibility that the Company will sustain some loss if the deficiencies are not corrected.</w:t>
      </w:r>
    </w:p>
    <w:p>
      <w:pPr>
        <w:spacing w:after="0" w:line="175" w:lineRule="exact"/>
        <w:rPr>
          <w:sz w:val="20"/>
          <w:szCs w:val="20"/>
          <w:color w:val="auto"/>
        </w:rPr>
      </w:pPr>
    </w:p>
    <w:p>
      <w:pPr>
        <w:jc w:val="both"/>
        <w:ind w:right="100" w:firstLine="318"/>
        <w:spacing w:after="0" w:line="274" w:lineRule="auto"/>
        <w:rPr>
          <w:sz w:val="20"/>
          <w:szCs w:val="20"/>
          <w:color w:val="auto"/>
        </w:rPr>
      </w:pPr>
      <w:r>
        <w:rPr>
          <w:rFonts w:ascii="Arial" w:cs="Arial" w:eastAsia="Arial" w:hAnsi="Arial"/>
          <w:sz w:val="18"/>
          <w:szCs w:val="18"/>
          <w:color w:val="auto"/>
        </w:rPr>
        <w:t>Borrowers may exhibit recent or unexpected unprofitable operations, an inadequate debt service coverage ratio, or marginal liquidity and capitalization. These loans require more intense supervision by Company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262255</wp:posOffset>
            </wp:positionV>
            <wp:extent cx="716026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617" w:right="239" w:bottom="1440" w:gutter="0" w:footer="0" w:header="0"/>
        </w:sectPr>
      </w:pPr>
    </w:p>
    <w:bookmarkStart w:id="26" w:name="page27"/>
    <w:bookmarkEnd w:id="26"/>
    <w:p>
      <w:pPr>
        <w:ind w:left="3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408940</wp:posOffset>
            </wp:positionH>
            <wp:positionV relativeFrom="page">
              <wp:posOffset>391795</wp:posOffset>
            </wp:positionV>
            <wp:extent cx="666369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663690" cy="17145"/>
                    </a:xfrm>
                    <a:prstGeom prst="rect">
                      <a:avLst/>
                    </a:prstGeom>
                    <a:noFill/>
                  </pic:spPr>
                </pic:pic>
              </a:graphicData>
            </a:graphic>
          </wp:anchor>
        </w:drawing>
        <w:t>Capital Bancorp, Inc. and Subsidiaries</w:t>
      </w:r>
    </w:p>
    <w:p>
      <w:pPr>
        <w:ind w:left="34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6350</wp:posOffset>
            </wp:positionV>
            <wp:extent cx="6663690" cy="165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663690" cy="16510"/>
                    </a:xfrm>
                    <a:prstGeom prst="rect">
                      <a:avLst/>
                    </a:prstGeom>
                    <a:noFill/>
                  </pic:spPr>
                </pic:pic>
              </a:graphicData>
            </a:graphic>
          </wp:anchor>
        </w:drawing>
      </w:r>
    </w:p>
    <w:p>
      <w:pPr>
        <w:spacing w:after="0" w:line="26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5 - Portfolio Loans Receivable (continued)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Doubtful</w:t>
      </w:r>
    </w:p>
    <w:p>
      <w:pPr>
        <w:spacing w:after="0" w:line="217" w:lineRule="exact"/>
        <w:rPr>
          <w:sz w:val="20"/>
          <w:szCs w:val="20"/>
          <w:color w:val="auto"/>
        </w:rPr>
      </w:pPr>
    </w:p>
    <w:p>
      <w:pPr>
        <w:ind w:firstLine="318"/>
        <w:spacing w:after="0" w:line="274" w:lineRule="auto"/>
        <w:rPr>
          <w:sz w:val="20"/>
          <w:szCs w:val="20"/>
          <w:color w:val="auto"/>
        </w:rPr>
      </w:pPr>
      <w:r>
        <w:rPr>
          <w:rFonts w:ascii="Arial" w:cs="Arial" w:eastAsia="Arial" w:hAnsi="Arial"/>
          <w:sz w:val="18"/>
          <w:szCs w:val="18"/>
          <w:color w:val="auto"/>
        </w:rPr>
        <w:t>A doubtful loan has all the weaknesses associated with a substandard loan with the added characteristic that the weaknesses make collection or liquidation in full, on the basis of currently existing facts, conditions, and values, highly questionable and improbable.</w:t>
      </w:r>
    </w:p>
    <w:p>
      <w:pPr>
        <w:spacing w:after="0" w:line="163" w:lineRule="exact"/>
        <w:rPr>
          <w:sz w:val="20"/>
          <w:szCs w:val="20"/>
          <w:color w:val="auto"/>
        </w:rPr>
      </w:pPr>
    </w:p>
    <w:p>
      <w:pPr>
        <w:ind w:right="20" w:firstLine="318"/>
        <w:spacing w:after="0" w:line="274" w:lineRule="auto"/>
        <w:rPr>
          <w:sz w:val="20"/>
          <w:szCs w:val="20"/>
          <w:color w:val="auto"/>
        </w:rPr>
      </w:pPr>
      <w:r>
        <w:rPr>
          <w:rFonts w:ascii="Arial" w:cs="Arial" w:eastAsia="Arial" w:hAnsi="Arial"/>
          <w:sz w:val="18"/>
          <w:szCs w:val="18"/>
          <w:color w:val="auto"/>
        </w:rPr>
        <w:t>The following table presents the balances of classified loans based on the risk grade. Classified loans include Special Mention, Substandard, and Doubtful loans:</w:t>
      </w:r>
    </w:p>
    <w:p>
      <w:pPr>
        <w:spacing w:after="0" w:line="206" w:lineRule="exact"/>
        <w:rPr>
          <w:sz w:val="20"/>
          <w:szCs w:val="20"/>
          <w:color w:val="auto"/>
        </w:rPr>
      </w:pPr>
    </w:p>
    <w:p>
      <w:pPr>
        <w:ind w:left="40"/>
        <w:spacing w:after="0"/>
        <w:rPr>
          <w:sz w:val="20"/>
          <w:szCs w:val="20"/>
          <w:color w:val="auto"/>
        </w:rPr>
      </w:pPr>
      <w:r>
        <w:rPr>
          <w:rFonts w:ascii="Arial" w:cs="Arial" w:eastAsia="Arial" w:hAnsi="Arial"/>
          <w:sz w:val="16"/>
          <w:szCs w:val="16"/>
          <w:b w:val="1"/>
          <w:bCs w:val="1"/>
          <w:u w:val="single" w:color="auto"/>
          <w:color w:val="auto"/>
        </w:rPr>
        <w:t>Portfolio Loan Classifications</w:t>
      </w:r>
    </w:p>
    <w:p>
      <w:pPr>
        <w:spacing w:after="0" w:line="2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940" w:type="dxa"/>
            <w:vAlign w:val="bottom"/>
            <w:gridSpan w:val="4"/>
          </w:tcPr>
          <w:p>
            <w:pPr>
              <w:ind w:left="20"/>
              <w:spacing w:after="0"/>
              <w:rPr>
                <w:sz w:val="20"/>
                <w:szCs w:val="20"/>
                <w:color w:val="auto"/>
              </w:rPr>
            </w:pPr>
            <w:r>
              <w:rPr>
                <w:rFonts w:ascii="Arial" w:cs="Arial" w:eastAsia="Arial" w:hAnsi="Arial"/>
                <w:sz w:val="11"/>
                <w:szCs w:val="11"/>
                <w:color w:val="auto"/>
              </w:rPr>
              <w:t>(in thousands)</w:t>
            </w:r>
          </w:p>
        </w:tc>
        <w:tc>
          <w:tcPr>
            <w:tcW w:w="280" w:type="dxa"/>
            <w:vAlign w:val="bottom"/>
          </w:tcPr>
          <w:p>
            <w:pPr>
              <w:spacing w:after="0"/>
              <w:rPr>
                <w:sz w:val="17"/>
                <w:szCs w:val="17"/>
                <w:color w:val="auto"/>
              </w:rPr>
            </w:pPr>
          </w:p>
        </w:tc>
        <w:tc>
          <w:tcPr>
            <w:tcW w:w="1200" w:type="dxa"/>
            <w:vAlign w:val="bottom"/>
            <w:gridSpan w:val="2"/>
          </w:tcPr>
          <w:p>
            <w:pPr>
              <w:ind w:left="180"/>
              <w:spacing w:after="0"/>
              <w:rPr>
                <w:sz w:val="20"/>
                <w:szCs w:val="20"/>
                <w:color w:val="auto"/>
              </w:rPr>
            </w:pPr>
            <w:r>
              <w:rPr>
                <w:rFonts w:ascii="Arial" w:cs="Arial" w:eastAsia="Arial" w:hAnsi="Arial"/>
                <w:sz w:val="14"/>
                <w:szCs w:val="14"/>
                <w:b w:val="1"/>
                <w:bCs w:val="1"/>
                <w:color w:val="auto"/>
              </w:rPr>
              <w:t>Pass</w:t>
            </w:r>
            <w:r>
              <w:rPr>
                <w:rFonts w:ascii="Arial" w:cs="Arial" w:eastAsia="Arial" w:hAnsi="Arial"/>
                <w:sz w:val="18"/>
                <w:szCs w:val="18"/>
                <w:b w:val="1"/>
                <w:bCs w:val="1"/>
                <w:color w:val="auto"/>
                <w:vertAlign w:val="superscript"/>
              </w:rPr>
              <w:t>(1)</w:t>
            </w:r>
          </w:p>
        </w:tc>
        <w:tc>
          <w:tcPr>
            <w:tcW w:w="120" w:type="dxa"/>
            <w:vAlign w:val="bottom"/>
          </w:tcPr>
          <w:p>
            <w:pPr>
              <w:spacing w:after="0"/>
              <w:rPr>
                <w:sz w:val="17"/>
                <w:szCs w:val="17"/>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rPr>
              <w:t>Special Mention</w:t>
            </w:r>
          </w:p>
        </w:tc>
        <w:tc>
          <w:tcPr>
            <w:tcW w:w="180" w:type="dxa"/>
            <w:vAlign w:val="bottom"/>
          </w:tcPr>
          <w:p>
            <w:pPr>
              <w:spacing w:after="0"/>
              <w:rPr>
                <w:sz w:val="17"/>
                <w:szCs w:val="17"/>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Substandard</w:t>
            </w:r>
          </w:p>
        </w:tc>
        <w:tc>
          <w:tcPr>
            <w:tcW w:w="1040" w:type="dxa"/>
            <w:vAlign w:val="bottom"/>
          </w:tcPr>
          <w:p>
            <w:pPr>
              <w:jc w:val="right"/>
              <w:ind w:right="9"/>
              <w:spacing w:after="0"/>
              <w:rPr>
                <w:sz w:val="20"/>
                <w:szCs w:val="20"/>
                <w:color w:val="auto"/>
              </w:rPr>
            </w:pPr>
            <w:r>
              <w:rPr>
                <w:rFonts w:ascii="Arial" w:cs="Arial" w:eastAsia="Arial" w:hAnsi="Arial"/>
                <w:sz w:val="14"/>
                <w:szCs w:val="14"/>
                <w:b w:val="1"/>
                <w:bCs w:val="1"/>
                <w:color w:val="auto"/>
              </w:rPr>
              <w:t>Doubtful</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449"/>
              <w:spacing w:after="0"/>
              <w:rPr>
                <w:sz w:val="20"/>
                <w:szCs w:val="20"/>
                <w:color w:val="auto"/>
              </w:rPr>
            </w:pPr>
            <w:r>
              <w:rPr>
                <w:rFonts w:ascii="Arial" w:cs="Arial" w:eastAsia="Arial" w:hAnsi="Arial"/>
                <w:sz w:val="14"/>
                <w:szCs w:val="14"/>
                <w:b w:val="1"/>
                <w:bCs w:val="1"/>
                <w:color w:val="auto"/>
              </w:rPr>
              <w:t>Total</w:t>
            </w:r>
          </w:p>
        </w:tc>
      </w:tr>
      <w:tr>
        <w:trPr>
          <w:trHeight w:val="139"/>
        </w:trPr>
        <w:tc>
          <w:tcPr>
            <w:tcW w:w="3940" w:type="dxa"/>
            <w:vAlign w:val="bottom"/>
            <w:gridSpan w:val="4"/>
          </w:tcPr>
          <w:p>
            <w:pPr>
              <w:ind w:left="20"/>
              <w:spacing w:after="0" w:line="139" w:lineRule="exact"/>
              <w:rPr>
                <w:sz w:val="20"/>
                <w:szCs w:val="20"/>
                <w:color w:val="auto"/>
              </w:rPr>
            </w:pPr>
            <w:r>
              <w:rPr>
                <w:rFonts w:ascii="Arial" w:cs="Arial" w:eastAsia="Arial" w:hAnsi="Arial"/>
                <w:sz w:val="14"/>
                <w:szCs w:val="14"/>
                <w:b w:val="1"/>
                <w:bCs w:val="1"/>
                <w:color w:val="auto"/>
              </w:rPr>
              <w:t>March 31, 2022</w:t>
            </w:r>
          </w:p>
        </w:tc>
        <w:tc>
          <w:tcPr>
            <w:tcW w:w="2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r>
      <w:tr>
        <w:trPr>
          <w:trHeight w:val="30"/>
        </w:trPr>
        <w:tc>
          <w:tcPr>
            <w:tcW w:w="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09"/>
        </w:trPr>
        <w:tc>
          <w:tcPr>
            <w:tcW w:w="394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Real estate:</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3920" w:type="dxa"/>
            <w:vAlign w:val="bottom"/>
            <w:gridSpan w:val="3"/>
          </w:tcPr>
          <w:p>
            <w:pPr>
              <w:ind w:left="160"/>
              <w:spacing w:after="0"/>
              <w:rPr>
                <w:sz w:val="20"/>
                <w:szCs w:val="20"/>
                <w:color w:val="auto"/>
              </w:rPr>
            </w:pPr>
            <w:r>
              <w:rPr>
                <w:rFonts w:ascii="Arial" w:cs="Arial" w:eastAsia="Arial" w:hAnsi="Arial"/>
                <w:sz w:val="14"/>
                <w:szCs w:val="14"/>
                <w:color w:val="auto"/>
              </w:rPr>
              <w:t>Residential</w:t>
            </w:r>
          </w:p>
        </w:tc>
        <w:tc>
          <w:tcPr>
            <w:tcW w:w="280" w:type="dxa"/>
            <w:vAlign w:val="bottom"/>
          </w:tcPr>
          <w:p>
            <w:pPr>
              <w:jc w:val="right"/>
              <w:ind w:right="109"/>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415,104</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440</w:t>
            </w:r>
          </w:p>
        </w:tc>
        <w:tc>
          <w:tcPr>
            <w:tcW w:w="12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ind w:right="9"/>
              <w:spacing w:after="0"/>
              <w:rPr>
                <w:sz w:val="20"/>
                <w:szCs w:val="20"/>
                <w:color w:val="auto"/>
              </w:rPr>
            </w:pPr>
            <w:r>
              <w:rPr>
                <w:rFonts w:ascii="Arial" w:cs="Arial" w:eastAsia="Arial" w:hAnsi="Arial"/>
                <w:sz w:val="14"/>
                <w:szCs w:val="14"/>
                <w:b w:val="1"/>
                <w:bCs w:val="1"/>
                <w:color w:val="auto"/>
              </w:rPr>
              <w:t>4,698</w:t>
            </w:r>
          </w:p>
        </w:tc>
        <w:tc>
          <w:tcPr>
            <w:tcW w:w="120" w:type="dxa"/>
            <w:vAlign w:val="bottom"/>
          </w:tcPr>
          <w:p>
            <w:pPr>
              <w:spacing w:after="0"/>
              <w:rPr>
                <w:sz w:val="17"/>
                <w:szCs w:val="17"/>
                <w:color w:val="auto"/>
              </w:rPr>
            </w:pPr>
          </w:p>
        </w:tc>
        <w:tc>
          <w:tcPr>
            <w:tcW w:w="1040" w:type="dxa"/>
            <w:vAlign w:val="bottom"/>
          </w:tcPr>
          <w:p>
            <w:pPr>
              <w:jc w:val="right"/>
              <w:ind w:right="889"/>
              <w:spacing w:after="0"/>
              <w:rPr>
                <w:sz w:val="20"/>
                <w:szCs w:val="20"/>
                <w:color w:val="auto"/>
              </w:rPr>
            </w:pPr>
            <w:r>
              <w:rPr>
                <w:rFonts w:ascii="Arial" w:cs="Arial" w:eastAsia="Arial" w:hAnsi="Arial"/>
                <w:sz w:val="14"/>
                <w:szCs w:val="14"/>
                <w:b w:val="1"/>
                <w:bCs w:val="1"/>
                <w:color w:val="auto"/>
                <w:w w:val="76"/>
              </w:rPr>
              <w:t>$</w:t>
            </w:r>
          </w:p>
        </w:tc>
        <w:tc>
          <w:tcPr>
            <w:tcW w:w="420" w:type="dxa"/>
            <w:vAlign w:val="bottom"/>
            <w:gridSpan w:val="2"/>
          </w:tcPr>
          <w:p>
            <w:pPr>
              <w:ind w:left="10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jc w:val="right"/>
              <w:ind w:right="149"/>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420,242</w:t>
            </w:r>
          </w:p>
        </w:tc>
      </w:tr>
      <w:tr>
        <w:trPr>
          <w:trHeight w:val="199"/>
        </w:trPr>
        <w:tc>
          <w:tcPr>
            <w:tcW w:w="20" w:type="dxa"/>
            <w:vAlign w:val="bottom"/>
            <w:shd w:val="clear" w:color="auto" w:fill="CCEEFF"/>
          </w:tcPr>
          <w:p>
            <w:pPr>
              <w:spacing w:after="0"/>
              <w:rPr>
                <w:sz w:val="17"/>
                <w:szCs w:val="17"/>
                <w:color w:val="auto"/>
              </w:rPr>
            </w:pPr>
          </w:p>
        </w:tc>
        <w:tc>
          <w:tcPr>
            <w:tcW w:w="392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Commercial</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559,910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4,793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22</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564,725</w:t>
            </w:r>
          </w:p>
        </w:tc>
      </w:tr>
      <w:tr>
        <w:trPr>
          <w:trHeight w:val="198"/>
        </w:trPr>
        <w:tc>
          <w:tcPr>
            <w:tcW w:w="20" w:type="dxa"/>
            <w:vAlign w:val="bottom"/>
          </w:tcPr>
          <w:p>
            <w:pPr>
              <w:spacing w:after="0"/>
              <w:rPr>
                <w:sz w:val="17"/>
                <w:szCs w:val="17"/>
                <w:color w:val="auto"/>
              </w:rPr>
            </w:pPr>
          </w:p>
        </w:tc>
        <w:tc>
          <w:tcPr>
            <w:tcW w:w="3920" w:type="dxa"/>
            <w:vAlign w:val="bottom"/>
            <w:gridSpan w:val="3"/>
          </w:tcPr>
          <w:p>
            <w:pPr>
              <w:ind w:left="160"/>
              <w:spacing w:after="0"/>
              <w:rPr>
                <w:sz w:val="20"/>
                <w:szCs w:val="20"/>
                <w:color w:val="auto"/>
              </w:rPr>
            </w:pPr>
            <w:r>
              <w:rPr>
                <w:rFonts w:ascii="Arial" w:cs="Arial" w:eastAsia="Arial" w:hAnsi="Arial"/>
                <w:sz w:val="14"/>
                <w:szCs w:val="14"/>
                <w:color w:val="auto"/>
              </w:rPr>
              <w:t>Construction</w:t>
            </w: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243,681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200" w:type="dxa"/>
            <w:vAlign w:val="bottom"/>
          </w:tcPr>
          <w:p>
            <w:pPr>
              <w:jc w:val="right"/>
              <w:ind w:right="9"/>
              <w:spacing w:after="0"/>
              <w:rPr>
                <w:sz w:val="20"/>
                <w:szCs w:val="20"/>
                <w:color w:val="auto"/>
              </w:rPr>
            </w:pPr>
            <w:r>
              <w:rPr>
                <w:rFonts w:ascii="Arial" w:cs="Arial" w:eastAsia="Arial" w:hAnsi="Arial"/>
                <w:sz w:val="14"/>
                <w:szCs w:val="14"/>
                <w:b w:val="1"/>
                <w:bCs w:val="1"/>
                <w:color w:val="auto"/>
              </w:rPr>
              <w:t>2,041</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gridSpan w:val="2"/>
          </w:tcPr>
          <w:p>
            <w:pPr>
              <w:ind w:left="10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245,722</w:t>
            </w:r>
          </w:p>
        </w:tc>
      </w:tr>
      <w:tr>
        <w:trPr>
          <w:trHeight w:val="199"/>
        </w:trPr>
        <w:tc>
          <w:tcPr>
            <w:tcW w:w="394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Commercial and Industrial</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171,012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4,889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1,603</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177,504</w:t>
            </w:r>
          </w:p>
        </w:tc>
      </w:tr>
      <w:tr>
        <w:trPr>
          <w:trHeight w:val="198"/>
        </w:trPr>
        <w:tc>
          <w:tcPr>
            <w:tcW w:w="3940" w:type="dxa"/>
            <w:vAlign w:val="bottom"/>
            <w:gridSpan w:val="4"/>
          </w:tcPr>
          <w:p>
            <w:pPr>
              <w:ind w:left="20"/>
              <w:spacing w:after="0"/>
              <w:rPr>
                <w:sz w:val="20"/>
                <w:szCs w:val="20"/>
                <w:color w:val="auto"/>
              </w:rPr>
            </w:pPr>
            <w:r>
              <w:rPr>
                <w:rFonts w:ascii="Arial" w:cs="Arial" w:eastAsia="Arial" w:hAnsi="Arial"/>
                <w:sz w:val="14"/>
                <w:szCs w:val="14"/>
                <w:color w:val="auto"/>
              </w:rPr>
              <w:t>Credit card</w:t>
            </w: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123,750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spacing w:after="0"/>
              <w:rPr>
                <w:sz w:val="17"/>
                <w:szCs w:val="17"/>
                <w:color w:val="auto"/>
              </w:rPr>
            </w:pPr>
          </w:p>
        </w:tc>
        <w:tc>
          <w:tcPr>
            <w:tcW w:w="420" w:type="dxa"/>
            <w:vAlign w:val="bottom"/>
            <w:gridSpan w:val="2"/>
          </w:tcPr>
          <w:p>
            <w:pPr>
              <w:ind w:left="10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123,750</w:t>
            </w:r>
          </w:p>
        </w:tc>
      </w:tr>
      <w:tr>
        <w:trPr>
          <w:trHeight w:val="199"/>
        </w:trPr>
        <w:tc>
          <w:tcPr>
            <w:tcW w:w="394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Other consumer</w:t>
            </w:r>
          </w:p>
        </w:tc>
        <w:tc>
          <w:tcPr>
            <w:tcW w:w="2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909</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909</w:t>
            </w:r>
          </w:p>
        </w:tc>
      </w:tr>
      <w:tr>
        <w:trPr>
          <w:trHeight w:val="193"/>
        </w:trPr>
        <w:tc>
          <w:tcPr>
            <w:tcW w:w="20" w:type="dxa"/>
            <w:vAlign w:val="bottom"/>
          </w:tcPr>
          <w:p>
            <w:pPr>
              <w:spacing w:after="0"/>
              <w:rPr>
                <w:sz w:val="16"/>
                <w:szCs w:val="16"/>
                <w:color w:val="auto"/>
              </w:rPr>
            </w:pPr>
          </w:p>
        </w:tc>
        <w:tc>
          <w:tcPr>
            <w:tcW w:w="3920" w:type="dxa"/>
            <w:vAlign w:val="bottom"/>
            <w:gridSpan w:val="3"/>
          </w:tcPr>
          <w:p>
            <w:pPr>
              <w:ind w:left="200"/>
              <w:spacing w:after="0"/>
              <w:rPr>
                <w:sz w:val="20"/>
                <w:szCs w:val="20"/>
                <w:color w:val="auto"/>
              </w:rPr>
            </w:pPr>
            <w:r>
              <w:rPr>
                <w:rFonts w:ascii="Arial" w:cs="Arial" w:eastAsia="Arial" w:hAnsi="Arial"/>
                <w:sz w:val="14"/>
                <w:szCs w:val="14"/>
                <w:color w:val="auto"/>
              </w:rPr>
              <w:t>Portfolio loans receivable, gross</w:t>
            </w:r>
          </w:p>
        </w:tc>
        <w:tc>
          <w:tcPr>
            <w:tcW w:w="280" w:type="dxa"/>
            <w:vAlign w:val="bottom"/>
          </w:tcPr>
          <w:p>
            <w:pPr>
              <w:jc w:val="right"/>
              <w:ind w:right="109"/>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1,514,366</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10,122</w:t>
            </w:r>
          </w:p>
        </w:tc>
        <w:tc>
          <w:tcPr>
            <w:tcW w:w="12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ind w:right="9"/>
              <w:spacing w:after="0"/>
              <w:rPr>
                <w:sz w:val="20"/>
                <w:szCs w:val="20"/>
                <w:color w:val="auto"/>
              </w:rPr>
            </w:pPr>
            <w:r>
              <w:rPr>
                <w:rFonts w:ascii="Arial" w:cs="Arial" w:eastAsia="Arial" w:hAnsi="Arial"/>
                <w:sz w:val="14"/>
                <w:szCs w:val="14"/>
                <w:b w:val="1"/>
                <w:bCs w:val="1"/>
                <w:color w:val="auto"/>
              </w:rPr>
              <w:t>8,364</w:t>
            </w:r>
          </w:p>
        </w:tc>
        <w:tc>
          <w:tcPr>
            <w:tcW w:w="120" w:type="dxa"/>
            <w:vAlign w:val="bottom"/>
          </w:tcPr>
          <w:p>
            <w:pPr>
              <w:spacing w:after="0"/>
              <w:rPr>
                <w:sz w:val="16"/>
                <w:szCs w:val="16"/>
                <w:color w:val="auto"/>
              </w:rPr>
            </w:pPr>
          </w:p>
        </w:tc>
        <w:tc>
          <w:tcPr>
            <w:tcW w:w="1040" w:type="dxa"/>
            <w:vAlign w:val="bottom"/>
          </w:tcPr>
          <w:p>
            <w:pPr>
              <w:jc w:val="right"/>
              <w:ind w:right="889"/>
              <w:spacing w:after="0"/>
              <w:rPr>
                <w:sz w:val="20"/>
                <w:szCs w:val="20"/>
                <w:color w:val="auto"/>
              </w:rPr>
            </w:pPr>
            <w:r>
              <w:rPr>
                <w:rFonts w:ascii="Arial" w:cs="Arial" w:eastAsia="Arial" w:hAnsi="Arial"/>
                <w:sz w:val="14"/>
                <w:szCs w:val="14"/>
                <w:b w:val="1"/>
                <w:bCs w:val="1"/>
                <w:color w:val="auto"/>
                <w:w w:val="76"/>
              </w:rPr>
              <w:t>$</w:t>
            </w:r>
          </w:p>
        </w:tc>
        <w:tc>
          <w:tcPr>
            <w:tcW w:w="420" w:type="dxa"/>
            <w:vAlign w:val="bottom"/>
            <w:gridSpan w:val="2"/>
          </w:tcPr>
          <w:p>
            <w:pPr>
              <w:ind w:left="10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jc w:val="right"/>
              <w:ind w:right="149"/>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1,532,852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178"/>
        </w:trPr>
        <w:tc>
          <w:tcPr>
            <w:tcW w:w="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159"/>
        </w:trPr>
        <w:tc>
          <w:tcPr>
            <w:tcW w:w="3940" w:type="dxa"/>
            <w:vAlign w:val="bottom"/>
            <w:gridSpan w:val="4"/>
          </w:tcPr>
          <w:p>
            <w:pPr>
              <w:ind w:left="20"/>
              <w:spacing w:after="0" w:line="159" w:lineRule="exact"/>
              <w:rPr>
                <w:sz w:val="20"/>
                <w:szCs w:val="20"/>
                <w:color w:val="auto"/>
              </w:rPr>
            </w:pPr>
            <w:r>
              <w:rPr>
                <w:rFonts w:ascii="Arial" w:cs="Arial" w:eastAsia="Arial" w:hAnsi="Arial"/>
                <w:sz w:val="14"/>
                <w:szCs w:val="14"/>
                <w:b w:val="1"/>
                <w:bCs w:val="1"/>
                <w:color w:val="auto"/>
              </w:rPr>
              <w:t>December 31, 2021</w:t>
            </w: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30"/>
        </w:trPr>
        <w:tc>
          <w:tcPr>
            <w:tcW w:w="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09"/>
        </w:trPr>
        <w:tc>
          <w:tcPr>
            <w:tcW w:w="394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Real estate:</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194"/>
        </w:trPr>
        <w:tc>
          <w:tcPr>
            <w:tcW w:w="20" w:type="dxa"/>
            <w:vAlign w:val="bottom"/>
          </w:tcPr>
          <w:p>
            <w:pPr>
              <w:spacing w:after="0"/>
              <w:rPr>
                <w:sz w:val="16"/>
                <w:szCs w:val="16"/>
                <w:color w:val="auto"/>
              </w:rPr>
            </w:pPr>
          </w:p>
        </w:tc>
        <w:tc>
          <w:tcPr>
            <w:tcW w:w="3920" w:type="dxa"/>
            <w:vAlign w:val="bottom"/>
            <w:gridSpan w:val="3"/>
          </w:tcPr>
          <w:p>
            <w:pPr>
              <w:ind w:left="160"/>
              <w:spacing w:after="0"/>
              <w:rPr>
                <w:sz w:val="20"/>
                <w:szCs w:val="20"/>
                <w:color w:val="auto"/>
              </w:rPr>
            </w:pPr>
            <w:r>
              <w:rPr>
                <w:rFonts w:ascii="Arial" w:cs="Arial" w:eastAsia="Arial" w:hAnsi="Arial"/>
                <w:sz w:val="14"/>
                <w:szCs w:val="14"/>
                <w:color w:val="auto"/>
              </w:rPr>
              <w:t>Residential</w:t>
            </w: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394,488</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2,540</w:t>
            </w:r>
          </w:p>
        </w:tc>
        <w:tc>
          <w:tcPr>
            <w:tcW w:w="12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9"/>
              <w:spacing w:after="0"/>
              <w:rPr>
                <w:sz w:val="20"/>
                <w:szCs w:val="20"/>
                <w:color w:val="auto"/>
              </w:rPr>
            </w:pPr>
            <w:r>
              <w:rPr>
                <w:rFonts w:ascii="Arial" w:cs="Arial" w:eastAsia="Arial" w:hAnsi="Arial"/>
                <w:sz w:val="14"/>
                <w:szCs w:val="14"/>
                <w:color w:val="auto"/>
              </w:rPr>
              <w:t>4,579</w:t>
            </w:r>
          </w:p>
        </w:tc>
        <w:tc>
          <w:tcPr>
            <w:tcW w:w="120" w:type="dxa"/>
            <w:vAlign w:val="bottom"/>
          </w:tcPr>
          <w:p>
            <w:pPr>
              <w:spacing w:after="0"/>
              <w:rPr>
                <w:sz w:val="16"/>
                <w:szCs w:val="16"/>
                <w:color w:val="auto"/>
              </w:rPr>
            </w:pPr>
          </w:p>
        </w:tc>
        <w:tc>
          <w:tcPr>
            <w:tcW w:w="1040" w:type="dxa"/>
            <w:vAlign w:val="bottom"/>
          </w:tcPr>
          <w:p>
            <w:pPr>
              <w:jc w:val="right"/>
              <w:ind w:right="889"/>
              <w:spacing w:after="0"/>
              <w:rPr>
                <w:sz w:val="20"/>
                <w:szCs w:val="20"/>
                <w:color w:val="auto"/>
              </w:rPr>
            </w:pPr>
            <w:r>
              <w:rPr>
                <w:rFonts w:ascii="Arial" w:cs="Arial" w:eastAsia="Arial" w:hAnsi="Arial"/>
                <w:sz w:val="14"/>
                <w:szCs w:val="14"/>
                <w:color w:val="auto"/>
                <w:w w:val="76"/>
              </w:rPr>
              <w:t>$</w:t>
            </w:r>
          </w:p>
        </w:tc>
        <w:tc>
          <w:tcPr>
            <w:tcW w:w="4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401,607</w:t>
            </w:r>
          </w:p>
        </w:tc>
      </w:tr>
      <w:tr>
        <w:trPr>
          <w:trHeight w:val="203"/>
        </w:trPr>
        <w:tc>
          <w:tcPr>
            <w:tcW w:w="20" w:type="dxa"/>
            <w:vAlign w:val="bottom"/>
            <w:shd w:val="clear" w:color="auto" w:fill="CCEEFF"/>
          </w:tcPr>
          <w:p>
            <w:pPr>
              <w:spacing w:after="0"/>
              <w:rPr>
                <w:sz w:val="17"/>
                <w:szCs w:val="17"/>
                <w:color w:val="auto"/>
              </w:rPr>
            </w:pPr>
          </w:p>
        </w:tc>
        <w:tc>
          <w:tcPr>
            <w:tcW w:w="392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Commercial</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548,244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8,070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556,339</w:t>
            </w:r>
          </w:p>
        </w:tc>
      </w:tr>
      <w:tr>
        <w:trPr>
          <w:trHeight w:val="194"/>
        </w:trPr>
        <w:tc>
          <w:tcPr>
            <w:tcW w:w="20" w:type="dxa"/>
            <w:vAlign w:val="bottom"/>
          </w:tcPr>
          <w:p>
            <w:pPr>
              <w:spacing w:after="0"/>
              <w:rPr>
                <w:sz w:val="16"/>
                <w:szCs w:val="16"/>
                <w:color w:val="auto"/>
              </w:rPr>
            </w:pPr>
          </w:p>
        </w:tc>
        <w:tc>
          <w:tcPr>
            <w:tcW w:w="3920" w:type="dxa"/>
            <w:vAlign w:val="bottom"/>
            <w:gridSpan w:val="3"/>
          </w:tcPr>
          <w:p>
            <w:pPr>
              <w:ind w:left="160"/>
              <w:spacing w:after="0"/>
              <w:rPr>
                <w:sz w:val="20"/>
                <w:szCs w:val="20"/>
                <w:color w:val="auto"/>
              </w:rPr>
            </w:pPr>
            <w:r>
              <w:rPr>
                <w:rFonts w:ascii="Arial" w:cs="Arial" w:eastAsia="Arial" w:hAnsi="Arial"/>
                <w:sz w:val="14"/>
                <w:szCs w:val="14"/>
                <w:color w:val="auto"/>
              </w:rPr>
              <w:t>Construction</w:t>
            </w: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243,848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3,496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ind w:right="9"/>
              <w:spacing w:after="0"/>
              <w:rPr>
                <w:sz w:val="20"/>
                <w:szCs w:val="20"/>
                <w:color w:val="auto"/>
              </w:rPr>
            </w:pPr>
            <w:r>
              <w:rPr>
                <w:rFonts w:ascii="Arial" w:cs="Arial" w:eastAsia="Arial" w:hAnsi="Arial"/>
                <w:sz w:val="14"/>
                <w:szCs w:val="14"/>
                <w:color w:val="auto"/>
              </w:rPr>
              <w:t>7,803</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255,147</w:t>
            </w:r>
          </w:p>
        </w:tc>
      </w:tr>
      <w:tr>
        <w:trPr>
          <w:trHeight w:val="203"/>
        </w:trPr>
        <w:tc>
          <w:tcPr>
            <w:tcW w:w="394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Commercial and Industrial</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164,066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10,417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1,473</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175,956</w:t>
            </w:r>
          </w:p>
        </w:tc>
      </w:tr>
      <w:tr>
        <w:trPr>
          <w:trHeight w:val="194"/>
        </w:trPr>
        <w:tc>
          <w:tcPr>
            <w:tcW w:w="3940" w:type="dxa"/>
            <w:vAlign w:val="bottom"/>
            <w:gridSpan w:val="4"/>
          </w:tcPr>
          <w:p>
            <w:pPr>
              <w:ind w:left="20"/>
              <w:spacing w:after="0"/>
              <w:rPr>
                <w:sz w:val="20"/>
                <w:szCs w:val="20"/>
                <w:color w:val="auto"/>
              </w:rPr>
            </w:pPr>
            <w:r>
              <w:rPr>
                <w:rFonts w:ascii="Arial" w:cs="Arial" w:eastAsia="Arial" w:hAnsi="Arial"/>
                <w:sz w:val="14"/>
                <w:szCs w:val="14"/>
                <w:color w:val="auto"/>
              </w:rPr>
              <w:t>Credit card</w:t>
            </w: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141,120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40" w:type="dxa"/>
            <w:vAlign w:val="bottom"/>
          </w:tcPr>
          <w:p>
            <w:pPr>
              <w:spacing w:after="0"/>
              <w:rPr>
                <w:sz w:val="16"/>
                <w:szCs w:val="16"/>
                <w:color w:val="auto"/>
              </w:rPr>
            </w:pPr>
          </w:p>
        </w:tc>
        <w:tc>
          <w:tcPr>
            <w:tcW w:w="4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141,120</w:t>
            </w:r>
          </w:p>
        </w:tc>
      </w:tr>
      <w:tr>
        <w:trPr>
          <w:trHeight w:val="199"/>
        </w:trPr>
        <w:tc>
          <w:tcPr>
            <w:tcW w:w="394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Other consumer</w:t>
            </w:r>
          </w:p>
        </w:tc>
        <w:tc>
          <w:tcPr>
            <w:tcW w:w="2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1,033</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1,033</w:t>
            </w:r>
          </w:p>
        </w:tc>
      </w:tr>
      <w:tr>
        <w:trPr>
          <w:trHeight w:val="196"/>
        </w:trPr>
        <w:tc>
          <w:tcPr>
            <w:tcW w:w="20" w:type="dxa"/>
            <w:vAlign w:val="bottom"/>
          </w:tcPr>
          <w:p>
            <w:pPr>
              <w:spacing w:after="0"/>
              <w:rPr>
                <w:sz w:val="17"/>
                <w:szCs w:val="17"/>
                <w:color w:val="auto"/>
              </w:rPr>
            </w:pPr>
          </w:p>
        </w:tc>
        <w:tc>
          <w:tcPr>
            <w:tcW w:w="3920" w:type="dxa"/>
            <w:vAlign w:val="bottom"/>
            <w:gridSpan w:val="3"/>
          </w:tcPr>
          <w:p>
            <w:pPr>
              <w:ind w:left="200"/>
              <w:spacing w:after="0"/>
              <w:rPr>
                <w:sz w:val="20"/>
                <w:szCs w:val="20"/>
                <w:color w:val="auto"/>
              </w:rPr>
            </w:pPr>
            <w:r>
              <w:rPr>
                <w:rFonts w:ascii="Arial" w:cs="Arial" w:eastAsia="Arial" w:hAnsi="Arial"/>
                <w:sz w:val="14"/>
                <w:szCs w:val="14"/>
                <w:color w:val="auto"/>
              </w:rPr>
              <w:t>Portfolio loans receivable, gross</w:t>
            </w: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1,492,799</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24,523</w:t>
            </w:r>
          </w:p>
        </w:tc>
        <w:tc>
          <w:tcPr>
            <w:tcW w:w="12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9"/>
              <w:spacing w:after="0"/>
              <w:rPr>
                <w:sz w:val="20"/>
                <w:szCs w:val="20"/>
                <w:color w:val="auto"/>
              </w:rPr>
            </w:pPr>
            <w:r>
              <w:rPr>
                <w:rFonts w:ascii="Arial" w:cs="Arial" w:eastAsia="Arial" w:hAnsi="Arial"/>
                <w:sz w:val="14"/>
                <w:szCs w:val="14"/>
                <w:color w:val="auto"/>
              </w:rPr>
              <w:t>13,880</w:t>
            </w:r>
          </w:p>
        </w:tc>
        <w:tc>
          <w:tcPr>
            <w:tcW w:w="120" w:type="dxa"/>
            <w:vAlign w:val="bottom"/>
          </w:tcPr>
          <w:p>
            <w:pPr>
              <w:spacing w:after="0"/>
              <w:rPr>
                <w:sz w:val="17"/>
                <w:szCs w:val="17"/>
                <w:color w:val="auto"/>
              </w:rPr>
            </w:pPr>
          </w:p>
        </w:tc>
        <w:tc>
          <w:tcPr>
            <w:tcW w:w="1040" w:type="dxa"/>
            <w:vAlign w:val="bottom"/>
          </w:tcPr>
          <w:p>
            <w:pPr>
              <w:jc w:val="right"/>
              <w:ind w:right="889"/>
              <w:spacing w:after="0"/>
              <w:rPr>
                <w:sz w:val="20"/>
                <w:szCs w:val="20"/>
                <w:color w:val="auto"/>
              </w:rPr>
            </w:pPr>
            <w:r>
              <w:rPr>
                <w:rFonts w:ascii="Arial" w:cs="Arial" w:eastAsia="Arial" w:hAnsi="Arial"/>
                <w:sz w:val="14"/>
                <w:szCs w:val="14"/>
                <w:color w:val="auto"/>
                <w:w w:val="76"/>
              </w:rPr>
              <w:t>$</w:t>
            </w:r>
          </w:p>
        </w:tc>
        <w:tc>
          <w:tcPr>
            <w:tcW w:w="4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1,531,202</w:t>
            </w: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w:t>
      </w:r>
    </w:p>
    <w:p>
      <w:pPr>
        <w:ind w:left="240" w:hanging="234"/>
        <w:spacing w:after="0" w:line="216" w:lineRule="auto"/>
        <w:tabs>
          <w:tab w:leader="none" w:pos="240" w:val="left"/>
        </w:tabs>
        <w:numPr>
          <w:ilvl w:val="0"/>
          <w:numId w:val="4"/>
        </w:numPr>
        <w:rPr>
          <w:rFonts w:ascii="Arial" w:cs="Arial" w:eastAsia="Arial" w:hAnsi="Arial"/>
          <w:sz w:val="18"/>
          <w:szCs w:val="18"/>
          <w:color w:val="auto"/>
          <w:vertAlign w:val="superscript"/>
        </w:rPr>
      </w:pPr>
      <w:r>
        <w:rPr>
          <w:rFonts w:ascii="Arial" w:cs="Arial" w:eastAsia="Arial" w:hAnsi="Arial"/>
          <w:sz w:val="11"/>
          <w:szCs w:val="11"/>
          <w:color w:val="auto"/>
        </w:rPr>
        <w:t>Pass includes loans graded exceptional, very good, good, satisfactory and pass/watch, in addition to credit cards and consumer credits that are not individually graded.</w:t>
      </w:r>
    </w:p>
    <w:p>
      <w:pPr>
        <w:spacing w:after="0" w:line="228"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8"/>
          <w:szCs w:val="18"/>
          <w:color w:val="auto"/>
        </w:rPr>
        <w:t>Impaired loans also include certain loans that have been modified in TDRs where economic concessions have been granted to borrowers who have experienced or are expected to experience financial difficulties. These concessions typically result from the Company’s loss mitigation activities and could include reductions in the interest rate, payment extensions, forgiveness of principal, forbearance or other actions. Certain TDRs are classified as nonperforming at the time of restructure and may only be returned to performing status after confirmation of the borrower’s sustained repayment performance for a reasonable period, generally six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262255</wp:posOffset>
            </wp:positionV>
            <wp:extent cx="716026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617" w:right="339" w:bottom="1440" w:gutter="0" w:footer="0" w:header="0"/>
        </w:sectPr>
      </w:pPr>
    </w:p>
    <w:bookmarkStart w:id="27" w:name="page28"/>
    <w:bookmarkEnd w:id="27"/>
    <w:p>
      <w:pPr>
        <w:ind w:left="3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408940</wp:posOffset>
            </wp:positionH>
            <wp:positionV relativeFrom="page">
              <wp:posOffset>391795</wp:posOffset>
            </wp:positionV>
            <wp:extent cx="666369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663690" cy="17145"/>
                    </a:xfrm>
                    <a:prstGeom prst="rect">
                      <a:avLst/>
                    </a:prstGeom>
                    <a:noFill/>
                  </pic:spPr>
                </pic:pic>
              </a:graphicData>
            </a:graphic>
          </wp:anchor>
        </w:drawing>
        <w:t>Capital Bancorp, Inc. and Subsidiaries</w:t>
      </w:r>
    </w:p>
    <w:p>
      <w:pPr>
        <w:ind w:left="34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6350</wp:posOffset>
            </wp:positionV>
            <wp:extent cx="666369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26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5 - Portfolio Loans Receivable (continued)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right="100" w:firstLine="318"/>
        <w:spacing w:after="0" w:line="274" w:lineRule="auto"/>
        <w:rPr>
          <w:sz w:val="20"/>
          <w:szCs w:val="20"/>
          <w:color w:val="auto"/>
        </w:rPr>
      </w:pPr>
      <w:r>
        <w:rPr>
          <w:rFonts w:ascii="Arial" w:cs="Arial" w:eastAsia="Arial" w:hAnsi="Arial"/>
          <w:sz w:val="18"/>
          <w:szCs w:val="18"/>
          <w:color w:val="auto"/>
        </w:rPr>
        <w:t>Modifications such as payment deferrals through March 31, 2022 have been short term in nature and are included in the population of loans deferred and have not impacted TDRs. The status of TDRs is as follows:</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Troubled Debt Restructurings</w:t>
      </w:r>
    </w:p>
    <w:p>
      <w:pPr>
        <w:spacing w:after="0" w:line="46" w:lineRule="exact"/>
        <w:rPr>
          <w:sz w:val="20"/>
          <w:szCs w:val="20"/>
          <w:color w:val="auto"/>
        </w:rPr>
      </w:pPr>
    </w:p>
    <w:tbl>
      <w:tblPr>
        <w:tblLayout w:type="fixed"/>
        <w:tblInd w:w="32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4540" w:type="dxa"/>
            <w:vAlign w:val="bottom"/>
            <w:gridSpan w:val="3"/>
          </w:tcPr>
          <w:p>
            <w:pPr>
              <w:spacing w:after="0"/>
              <w:rPr>
                <w:sz w:val="20"/>
                <w:szCs w:val="20"/>
                <w:color w:val="auto"/>
              </w:rPr>
            </w:pPr>
            <w:r>
              <w:rPr>
                <w:rFonts w:ascii="Arial" w:cs="Arial" w:eastAsia="Arial" w:hAnsi="Arial"/>
                <w:sz w:val="11"/>
                <w:szCs w:val="11"/>
                <w:color w:val="auto"/>
              </w:rPr>
              <w:t>(in thousands)</w:t>
            </w: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Number of</w:t>
            </w: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Recorded Investment</w:t>
            </w: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540" w:type="dxa"/>
            <w:vAlign w:val="bottom"/>
            <w:gridSpan w:val="3"/>
          </w:tcPr>
          <w:p>
            <w:pPr>
              <w:spacing w:after="0" w:line="139" w:lineRule="exact"/>
              <w:rPr>
                <w:sz w:val="20"/>
                <w:szCs w:val="20"/>
                <w:color w:val="auto"/>
              </w:rPr>
            </w:pPr>
            <w:r>
              <w:rPr>
                <w:rFonts w:ascii="Arial" w:cs="Arial" w:eastAsia="Arial" w:hAnsi="Arial"/>
                <w:sz w:val="14"/>
                <w:szCs w:val="14"/>
                <w:b w:val="1"/>
                <w:bCs w:val="1"/>
                <w:color w:val="auto"/>
              </w:rPr>
              <w:t>March 31, 2022</w:t>
            </w:r>
          </w:p>
        </w:tc>
        <w:tc>
          <w:tcPr>
            <w:tcW w:w="1680" w:type="dxa"/>
            <w:vAlign w:val="bottom"/>
            <w:gridSpan w:val="2"/>
          </w:tcPr>
          <w:p>
            <w:pPr>
              <w:jc w:val="center"/>
              <w:ind w:right="140"/>
              <w:spacing w:after="0" w:line="133" w:lineRule="exact"/>
              <w:rPr>
                <w:sz w:val="20"/>
                <w:szCs w:val="20"/>
                <w:color w:val="auto"/>
              </w:rPr>
            </w:pPr>
            <w:r>
              <w:rPr>
                <w:rFonts w:ascii="Arial" w:cs="Arial" w:eastAsia="Arial" w:hAnsi="Arial"/>
                <w:sz w:val="14"/>
                <w:szCs w:val="14"/>
                <w:b w:val="1"/>
                <w:bCs w:val="1"/>
                <w:color w:val="auto"/>
              </w:rPr>
              <w:t>Contracts</w:t>
            </w:r>
          </w:p>
        </w:tc>
        <w:tc>
          <w:tcPr>
            <w:tcW w:w="240" w:type="dxa"/>
            <w:vAlign w:val="bottom"/>
          </w:tcPr>
          <w:p>
            <w:pPr>
              <w:spacing w:after="0"/>
              <w:rPr>
                <w:sz w:val="13"/>
                <w:szCs w:val="13"/>
                <w:color w:val="auto"/>
              </w:rPr>
            </w:pPr>
          </w:p>
        </w:tc>
        <w:tc>
          <w:tcPr>
            <w:tcW w:w="1420" w:type="dxa"/>
            <w:vAlign w:val="bottom"/>
            <w:gridSpan w:val="2"/>
          </w:tcPr>
          <w:p>
            <w:pPr>
              <w:ind w:left="160"/>
              <w:spacing w:after="0" w:line="139" w:lineRule="exact"/>
              <w:rPr>
                <w:sz w:val="20"/>
                <w:szCs w:val="20"/>
                <w:color w:val="auto"/>
              </w:rPr>
            </w:pPr>
            <w:r>
              <w:rPr>
                <w:rFonts w:ascii="Arial" w:cs="Arial" w:eastAsia="Arial" w:hAnsi="Arial"/>
                <w:sz w:val="14"/>
                <w:szCs w:val="14"/>
                <w:b w:val="1"/>
                <w:bCs w:val="1"/>
                <w:color w:val="auto"/>
              </w:rPr>
              <w:t>Performing</w:t>
            </w:r>
          </w:p>
        </w:tc>
        <w:tc>
          <w:tcPr>
            <w:tcW w:w="100" w:type="dxa"/>
            <w:vAlign w:val="bottom"/>
          </w:tcPr>
          <w:p>
            <w:pPr>
              <w:spacing w:after="0"/>
              <w:rPr>
                <w:sz w:val="13"/>
                <w:szCs w:val="13"/>
                <w:color w:val="auto"/>
              </w:rPr>
            </w:pPr>
          </w:p>
        </w:tc>
        <w:tc>
          <w:tcPr>
            <w:tcW w:w="1760" w:type="dxa"/>
            <w:vAlign w:val="bottom"/>
            <w:gridSpan w:val="2"/>
          </w:tcPr>
          <w:p>
            <w:pPr>
              <w:ind w:left="260"/>
              <w:spacing w:after="0" w:line="139" w:lineRule="exact"/>
              <w:rPr>
                <w:sz w:val="20"/>
                <w:szCs w:val="20"/>
                <w:color w:val="auto"/>
              </w:rPr>
            </w:pPr>
            <w:r>
              <w:rPr>
                <w:rFonts w:ascii="Arial" w:cs="Arial" w:eastAsia="Arial" w:hAnsi="Arial"/>
                <w:sz w:val="14"/>
                <w:szCs w:val="14"/>
                <w:b w:val="1"/>
                <w:bCs w:val="1"/>
                <w:color w:val="auto"/>
              </w:rPr>
              <w:t>Nonperforming</w:t>
            </w:r>
          </w:p>
        </w:tc>
        <w:tc>
          <w:tcPr>
            <w:tcW w:w="340" w:type="dxa"/>
            <w:vAlign w:val="bottom"/>
          </w:tcPr>
          <w:p>
            <w:pPr>
              <w:spacing w:after="0"/>
              <w:rPr>
                <w:sz w:val="13"/>
                <w:szCs w:val="13"/>
                <w:color w:val="auto"/>
              </w:rPr>
            </w:pPr>
          </w:p>
        </w:tc>
        <w:tc>
          <w:tcPr>
            <w:tcW w:w="920" w:type="dxa"/>
            <w:vAlign w:val="bottom"/>
          </w:tcPr>
          <w:p>
            <w:pPr>
              <w:jc w:val="right"/>
              <w:ind w:right="289"/>
              <w:spacing w:after="0" w:line="13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4"/>
                <w:szCs w:val="14"/>
                <w:color w:val="auto"/>
              </w:rPr>
              <w:t>Real estate:</w:t>
            </w:r>
          </w:p>
        </w:tc>
        <w:tc>
          <w:tcPr>
            <w:tcW w:w="3540" w:type="dxa"/>
            <w:vAlign w:val="bottom"/>
            <w:gridSpan w:val="2"/>
            <w:vMerge w:val="restart"/>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3540" w:type="dxa"/>
            <w:vAlign w:val="bottom"/>
            <w:gridSpan w:val="2"/>
            <w:vMerge w:val="continue"/>
          </w:tcPr>
          <w:p>
            <w:pPr>
              <w:spacing w:after="0"/>
              <w:rPr>
                <w:sz w:val="15"/>
                <w:szCs w:val="15"/>
                <w:color w:val="auto"/>
              </w:rPr>
            </w:pPr>
          </w:p>
        </w:tc>
        <w:tc>
          <w:tcPr>
            <w:tcW w:w="1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5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Residential</w:t>
            </w:r>
          </w:p>
        </w:tc>
        <w:tc>
          <w:tcPr>
            <w:tcW w:w="156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4</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b w:val="1"/>
                <w:bCs w:val="1"/>
                <w:color w:val="auto"/>
                <w:w w:val="76"/>
              </w:rPr>
              <w:t>$</w:t>
            </w:r>
          </w:p>
        </w:tc>
        <w:tc>
          <w:tcPr>
            <w:tcW w:w="1420" w:type="dxa"/>
            <w:vAlign w:val="bottom"/>
            <w:gridSpan w:val="2"/>
            <w:shd w:val="clear" w:color="auto" w:fill="CCEEFF"/>
          </w:tcPr>
          <w:p>
            <w:pPr>
              <w:ind w:left="110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445</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9"/>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w:t>
            </w: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454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color w:val="auto"/>
              </w:rPr>
              <w:t>Commercial and Industrial</w:t>
            </w:r>
          </w:p>
        </w:tc>
        <w:tc>
          <w:tcPr>
            <w:tcW w:w="15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ind w:left="110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80</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454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156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b w:val="1"/>
                <w:bCs w:val="1"/>
                <w:color w:val="auto"/>
                <w:w w:val="76"/>
              </w:rPr>
              <w:t>$</w:t>
            </w:r>
          </w:p>
        </w:tc>
        <w:tc>
          <w:tcPr>
            <w:tcW w:w="1420" w:type="dxa"/>
            <w:vAlign w:val="bottom"/>
            <w:gridSpan w:val="2"/>
            <w:shd w:val="clear" w:color="auto" w:fill="CCEEFF"/>
          </w:tcPr>
          <w:p>
            <w:pPr>
              <w:ind w:left="110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525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9"/>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auto"/>
            </w:tcBorders>
            <w:gridSpan w:val="2"/>
            <w:shd w:val="clear" w:color="auto" w:fill="CCEEFF"/>
          </w:tcPr>
          <w:p>
            <w:pPr>
              <w:spacing w:after="0" w:line="159" w:lineRule="exact"/>
              <w:rPr>
                <w:sz w:val="20"/>
                <w:szCs w:val="20"/>
                <w:color w:val="auto"/>
              </w:rPr>
            </w:pPr>
            <w:r>
              <w:rPr>
                <w:rFonts w:ascii="Arial" w:cs="Arial" w:eastAsia="Arial" w:hAnsi="Arial"/>
                <w:sz w:val="14"/>
                <w:szCs w:val="14"/>
                <w:b w:val="1"/>
                <w:bCs w:val="1"/>
                <w:color w:val="auto"/>
                <w:w w:val="99"/>
              </w:rPr>
              <w:t>December 31, 2021</w:t>
            </w:r>
          </w:p>
        </w:tc>
        <w:tc>
          <w:tcPr>
            <w:tcW w:w="326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540" w:type="dxa"/>
            <w:vAlign w:val="bottom"/>
            <w:gridSpan w:val="3"/>
          </w:tcPr>
          <w:p>
            <w:pPr>
              <w:spacing w:after="0"/>
              <w:rPr>
                <w:sz w:val="20"/>
                <w:szCs w:val="20"/>
                <w:color w:val="auto"/>
              </w:rPr>
            </w:pPr>
            <w:r>
              <w:rPr>
                <w:rFonts w:ascii="Arial" w:cs="Arial" w:eastAsia="Arial" w:hAnsi="Arial"/>
                <w:sz w:val="14"/>
                <w:szCs w:val="14"/>
                <w:color w:val="auto"/>
              </w:rPr>
              <w:t>Real estate:</w:t>
            </w: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5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Residential</w:t>
            </w:r>
          </w:p>
        </w:tc>
        <w:tc>
          <w:tcPr>
            <w:tcW w:w="15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420" w:type="dxa"/>
            <w:vAlign w:val="bottom"/>
            <w:gridSpan w:val="2"/>
            <w:shd w:val="clear" w:color="auto" w:fill="CCEEFF"/>
          </w:tcPr>
          <w:p>
            <w:pPr>
              <w:ind w:left="1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4"/>
        </w:trPr>
        <w:tc>
          <w:tcPr>
            <w:tcW w:w="20" w:type="dxa"/>
            <w:vAlign w:val="bottom"/>
            <w:tcBorders>
              <w:bottom w:val="single" w:sz="8" w:color="CCEEFF"/>
            </w:tcBorders>
          </w:tcPr>
          <w:p>
            <w:pPr>
              <w:spacing w:after="0"/>
              <w:rPr>
                <w:sz w:val="16"/>
                <w:szCs w:val="16"/>
                <w:color w:val="auto"/>
              </w:rPr>
            </w:pPr>
          </w:p>
        </w:tc>
        <w:tc>
          <w:tcPr>
            <w:tcW w:w="454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color w:val="auto"/>
              </w:rPr>
              <w:t>Commercial and Industrial</w:t>
            </w:r>
          </w:p>
        </w:tc>
        <w:tc>
          <w:tcPr>
            <w:tcW w:w="15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ind w:left="11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54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15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420" w:type="dxa"/>
            <w:vAlign w:val="bottom"/>
            <w:gridSpan w:val="2"/>
            <w:shd w:val="clear" w:color="auto" w:fill="CCEEFF"/>
          </w:tcPr>
          <w:p>
            <w:pPr>
              <w:ind w:left="1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ind w:right="100" w:firstLine="318"/>
        <w:spacing w:after="0" w:line="274" w:lineRule="auto"/>
        <w:rPr>
          <w:sz w:val="20"/>
          <w:szCs w:val="20"/>
          <w:color w:val="auto"/>
        </w:rPr>
      </w:pPr>
      <w:r>
        <w:rPr>
          <w:rFonts w:ascii="Arial" w:cs="Arial" w:eastAsia="Arial" w:hAnsi="Arial"/>
          <w:sz w:val="18"/>
          <w:szCs w:val="18"/>
          <w:color w:val="auto"/>
        </w:rPr>
        <w:t>During the three months ended March 31, 2022 and 2021 the Company did not have any new TDRs and no TDRs defaulted during the same periods.</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Outstanding loan commitments were as follows:</w:t>
      </w:r>
    </w:p>
    <w:p>
      <w:pPr>
        <w:spacing w:after="0" w:line="259"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Loan Commitments</w:t>
      </w:r>
    </w:p>
    <w:p>
      <w:pPr>
        <w:spacing w:after="0" w:line="34" w:lineRule="exact"/>
        <w:rPr>
          <w:sz w:val="20"/>
          <w:szCs w:val="20"/>
          <w:color w:val="auto"/>
        </w:rPr>
      </w:pPr>
    </w:p>
    <w:tbl>
      <w:tblPr>
        <w:tblLayout w:type="fixed"/>
        <w:tblInd w:w="320" w:type="dxa"/>
        <w:tblCellMar>
          <w:top w:w="0" w:type="dxa"/>
          <w:left w:w="0" w:type="dxa"/>
          <w:bottom w:w="0" w:type="dxa"/>
          <w:right w:w="0" w:type="dxa"/>
        </w:tblCellMar>
      </w:tblPr>
      <w:tr>
        <w:trPr>
          <w:trHeight w:val="194"/>
        </w:trPr>
        <w:tc>
          <w:tcPr>
            <w:tcW w:w="702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340" w:type="dxa"/>
            <w:vAlign w:val="bottom"/>
          </w:tcPr>
          <w:p>
            <w:pPr>
              <w:spacing w:after="0"/>
              <w:rPr>
                <w:sz w:val="16"/>
                <w:szCs w:val="16"/>
                <w:color w:val="auto"/>
              </w:rPr>
            </w:pPr>
          </w:p>
        </w:tc>
        <w:tc>
          <w:tcPr>
            <w:tcW w:w="1940" w:type="dxa"/>
            <w:vAlign w:val="bottom"/>
            <w:gridSpan w:val="2"/>
          </w:tcPr>
          <w:p>
            <w:pPr>
              <w:ind w:left="240"/>
              <w:spacing w:after="0"/>
              <w:rPr>
                <w:sz w:val="20"/>
                <w:szCs w:val="20"/>
                <w:color w:val="auto"/>
              </w:rPr>
            </w:pPr>
            <w:r>
              <w:rPr>
                <w:rFonts w:ascii="Arial" w:cs="Arial" w:eastAsia="Arial" w:hAnsi="Arial"/>
                <w:sz w:val="14"/>
                <w:szCs w:val="14"/>
                <w:b w:val="1"/>
                <w:bCs w:val="1"/>
                <w:color w:val="auto"/>
              </w:rPr>
              <w:t>March 31, 2022</w:t>
            </w:r>
          </w:p>
        </w:tc>
        <w:tc>
          <w:tcPr>
            <w:tcW w:w="200" w:type="dxa"/>
            <w:vAlign w:val="bottom"/>
          </w:tcPr>
          <w:p>
            <w:pPr>
              <w:spacing w:after="0"/>
              <w:rPr>
                <w:sz w:val="16"/>
                <w:szCs w:val="16"/>
                <w:color w:val="auto"/>
              </w:rPr>
            </w:pPr>
          </w:p>
        </w:tc>
        <w:tc>
          <w:tcPr>
            <w:tcW w:w="1520" w:type="dxa"/>
            <w:vAlign w:val="bottom"/>
          </w:tcPr>
          <w:p>
            <w:pPr>
              <w:jc w:val="right"/>
              <w:ind w:right="49"/>
              <w:spacing w:after="0"/>
              <w:rPr>
                <w:sz w:val="20"/>
                <w:szCs w:val="20"/>
                <w:color w:val="auto"/>
              </w:rPr>
            </w:pPr>
            <w:r>
              <w:rPr>
                <w:rFonts w:ascii="Arial" w:cs="Arial" w:eastAsia="Arial" w:hAnsi="Arial"/>
                <w:sz w:val="14"/>
                <w:szCs w:val="14"/>
                <w:b w:val="1"/>
                <w:bCs w:val="1"/>
                <w:color w:val="auto"/>
              </w:rPr>
              <w:t>December 31, 2021</w:t>
            </w:r>
          </w:p>
        </w:tc>
      </w:tr>
      <w:tr>
        <w:trPr>
          <w:trHeight w:val="174"/>
        </w:trPr>
        <w:tc>
          <w:tcPr>
            <w:tcW w:w="7020" w:type="dxa"/>
            <w:vAlign w:val="bottom"/>
          </w:tcPr>
          <w:p>
            <w:pPr>
              <w:ind w:left="20"/>
              <w:spacing w:after="0"/>
              <w:rPr>
                <w:sz w:val="20"/>
                <w:szCs w:val="20"/>
                <w:color w:val="auto"/>
              </w:rPr>
            </w:pPr>
            <w:r>
              <w:rPr>
                <w:rFonts w:ascii="Arial" w:cs="Arial" w:eastAsia="Arial" w:hAnsi="Arial"/>
                <w:sz w:val="14"/>
                <w:szCs w:val="14"/>
                <w:color w:val="auto"/>
              </w:rPr>
              <w:t>Unused lines of credit</w:t>
            </w:r>
          </w:p>
        </w:tc>
        <w:tc>
          <w:tcPr>
            <w:tcW w:w="340" w:type="dxa"/>
            <w:vAlign w:val="bottom"/>
            <w:tcBorders>
              <w:top w:val="single" w:sz="8" w:color="auto"/>
            </w:tcBorders>
          </w:tcPr>
          <w:p>
            <w:pPr>
              <w:spacing w:after="0"/>
              <w:rPr>
                <w:sz w:val="15"/>
                <w:szCs w:val="15"/>
                <w:color w:val="auto"/>
              </w:rPr>
            </w:pPr>
          </w:p>
        </w:tc>
        <w:tc>
          <w:tcPr>
            <w:tcW w:w="18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spacing w:after="0"/>
              <w:rPr>
                <w:sz w:val="15"/>
                <w:szCs w:val="15"/>
                <w:color w:val="auto"/>
              </w:rPr>
            </w:pPr>
          </w:p>
        </w:tc>
      </w:tr>
      <w:tr>
        <w:trPr>
          <w:trHeight w:val="203"/>
        </w:trPr>
        <w:tc>
          <w:tcPr>
            <w:tcW w:w="7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Real Estate:</w:t>
            </w:r>
          </w:p>
        </w:tc>
        <w:tc>
          <w:tcPr>
            <w:tcW w:w="34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198"/>
        </w:trPr>
        <w:tc>
          <w:tcPr>
            <w:tcW w:w="7020" w:type="dxa"/>
            <w:vAlign w:val="bottom"/>
          </w:tcPr>
          <w:p>
            <w:pPr>
              <w:ind w:left="220"/>
              <w:spacing w:after="0"/>
              <w:rPr>
                <w:sz w:val="20"/>
                <w:szCs w:val="20"/>
                <w:color w:val="auto"/>
              </w:rPr>
            </w:pPr>
            <w:r>
              <w:rPr>
                <w:rFonts w:ascii="Arial" w:cs="Arial" w:eastAsia="Arial" w:hAnsi="Arial"/>
                <w:sz w:val="14"/>
                <w:szCs w:val="14"/>
                <w:color w:val="auto"/>
              </w:rPr>
              <w:t>Residential</w:t>
            </w:r>
          </w:p>
        </w:tc>
        <w:tc>
          <w:tcPr>
            <w:tcW w:w="340" w:type="dxa"/>
            <w:vAlign w:val="bottom"/>
          </w:tcPr>
          <w:p>
            <w:pPr>
              <w:jc w:val="right"/>
              <w:ind w:right="169"/>
              <w:spacing w:after="0"/>
              <w:rPr>
                <w:sz w:val="20"/>
                <w:szCs w:val="20"/>
                <w:color w:val="auto"/>
              </w:rPr>
            </w:pPr>
            <w:r>
              <w:rPr>
                <w:rFonts w:ascii="Arial" w:cs="Arial" w:eastAsia="Arial" w:hAnsi="Arial"/>
                <w:sz w:val="14"/>
                <w:szCs w:val="14"/>
                <w:b w:val="1"/>
                <w:bCs w:val="1"/>
                <w:color w:val="auto"/>
              </w:rPr>
              <w:t>$</w:t>
            </w:r>
          </w:p>
        </w:tc>
        <w:tc>
          <w:tcPr>
            <w:tcW w:w="1820" w:type="dxa"/>
            <w:vAlign w:val="bottom"/>
          </w:tcPr>
          <w:p>
            <w:pPr>
              <w:jc w:val="right"/>
              <w:ind w:right="9"/>
              <w:spacing w:after="0"/>
              <w:rPr>
                <w:sz w:val="20"/>
                <w:szCs w:val="20"/>
                <w:color w:val="auto"/>
              </w:rPr>
            </w:pPr>
            <w:r>
              <w:rPr>
                <w:rFonts w:ascii="Arial" w:cs="Arial" w:eastAsia="Arial" w:hAnsi="Arial"/>
                <w:sz w:val="14"/>
                <w:szCs w:val="14"/>
                <w:b w:val="1"/>
                <w:bCs w:val="1"/>
                <w:color w:val="auto"/>
              </w:rPr>
              <w:t>16,829</w:t>
            </w:r>
          </w:p>
        </w:tc>
        <w:tc>
          <w:tcPr>
            <w:tcW w:w="120" w:type="dxa"/>
            <w:vAlign w:val="bottom"/>
          </w:tcPr>
          <w:p>
            <w:pPr>
              <w:spacing w:after="0"/>
              <w:rPr>
                <w:sz w:val="17"/>
                <w:szCs w:val="17"/>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15,7</w:t>
            </w:r>
          </w:p>
        </w:tc>
      </w:tr>
      <w:tr>
        <w:trPr>
          <w:trHeight w:val="199"/>
        </w:trPr>
        <w:tc>
          <w:tcPr>
            <w:tcW w:w="70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Residential - Home Equity</w:t>
            </w:r>
          </w:p>
        </w:tc>
        <w:tc>
          <w:tcPr>
            <w:tcW w:w="340" w:type="dxa"/>
            <w:vAlign w:val="bottom"/>
            <w:shd w:val="clear" w:color="auto" w:fill="CCEEFF"/>
          </w:tcPr>
          <w:p>
            <w:pPr>
              <w:spacing w:after="0"/>
              <w:rPr>
                <w:sz w:val="17"/>
                <w:szCs w:val="17"/>
                <w:color w:val="auto"/>
              </w:rPr>
            </w:pPr>
          </w:p>
        </w:tc>
        <w:tc>
          <w:tcPr>
            <w:tcW w:w="182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38,354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w:t>
            </w:r>
          </w:p>
        </w:tc>
      </w:tr>
      <w:tr>
        <w:trPr>
          <w:trHeight w:val="198"/>
        </w:trPr>
        <w:tc>
          <w:tcPr>
            <w:tcW w:w="7020" w:type="dxa"/>
            <w:vAlign w:val="bottom"/>
          </w:tcPr>
          <w:p>
            <w:pPr>
              <w:ind w:left="220"/>
              <w:spacing w:after="0"/>
              <w:rPr>
                <w:sz w:val="20"/>
                <w:szCs w:val="20"/>
                <w:color w:val="auto"/>
              </w:rPr>
            </w:pPr>
            <w:r>
              <w:rPr>
                <w:rFonts w:ascii="Arial" w:cs="Arial" w:eastAsia="Arial" w:hAnsi="Arial"/>
                <w:sz w:val="14"/>
                <w:szCs w:val="14"/>
                <w:color w:val="auto"/>
              </w:rPr>
              <w:t>Commercial</w:t>
            </w:r>
          </w:p>
        </w:tc>
        <w:tc>
          <w:tcPr>
            <w:tcW w:w="340" w:type="dxa"/>
            <w:vAlign w:val="bottom"/>
          </w:tcPr>
          <w:p>
            <w:pPr>
              <w:spacing w:after="0"/>
              <w:rPr>
                <w:sz w:val="17"/>
                <w:szCs w:val="17"/>
                <w:color w:val="auto"/>
              </w:rPr>
            </w:pPr>
          </w:p>
        </w:tc>
        <w:tc>
          <w:tcPr>
            <w:tcW w:w="1820" w:type="dxa"/>
            <w:vAlign w:val="bottom"/>
          </w:tcPr>
          <w:p>
            <w:pPr>
              <w:jc w:val="right"/>
              <w:ind w:right="9"/>
              <w:spacing w:after="0"/>
              <w:rPr>
                <w:sz w:val="20"/>
                <w:szCs w:val="20"/>
                <w:color w:val="auto"/>
              </w:rPr>
            </w:pPr>
            <w:r>
              <w:rPr>
                <w:rFonts w:ascii="Arial" w:cs="Arial" w:eastAsia="Arial" w:hAnsi="Arial"/>
                <w:sz w:val="14"/>
                <w:szCs w:val="14"/>
                <w:b w:val="1"/>
                <w:bCs w:val="1"/>
                <w:color w:val="auto"/>
              </w:rPr>
              <w:t>16,114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17,2</w:t>
            </w:r>
          </w:p>
        </w:tc>
      </w:tr>
      <w:tr>
        <w:trPr>
          <w:trHeight w:val="199"/>
        </w:trPr>
        <w:tc>
          <w:tcPr>
            <w:tcW w:w="70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Construction</w:t>
            </w:r>
          </w:p>
        </w:tc>
        <w:tc>
          <w:tcPr>
            <w:tcW w:w="340" w:type="dxa"/>
            <w:vAlign w:val="bottom"/>
            <w:shd w:val="clear" w:color="auto" w:fill="CCEEFF"/>
          </w:tcPr>
          <w:p>
            <w:pPr>
              <w:spacing w:after="0"/>
              <w:rPr>
                <w:sz w:val="17"/>
                <w:szCs w:val="17"/>
                <w:color w:val="auto"/>
              </w:rPr>
            </w:pPr>
          </w:p>
        </w:tc>
        <w:tc>
          <w:tcPr>
            <w:tcW w:w="182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99,778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118,5</w:t>
            </w:r>
          </w:p>
        </w:tc>
      </w:tr>
      <w:tr>
        <w:trPr>
          <w:trHeight w:val="198"/>
        </w:trPr>
        <w:tc>
          <w:tcPr>
            <w:tcW w:w="7020" w:type="dxa"/>
            <w:vAlign w:val="bottom"/>
          </w:tcPr>
          <w:p>
            <w:pPr>
              <w:ind w:left="140"/>
              <w:spacing w:after="0"/>
              <w:rPr>
                <w:sz w:val="20"/>
                <w:szCs w:val="20"/>
                <w:color w:val="auto"/>
              </w:rPr>
            </w:pPr>
            <w:r>
              <w:rPr>
                <w:rFonts w:ascii="Arial" w:cs="Arial" w:eastAsia="Arial" w:hAnsi="Arial"/>
                <w:sz w:val="14"/>
                <w:szCs w:val="14"/>
                <w:color w:val="auto"/>
              </w:rPr>
              <w:t>Commercial and Industrial</w:t>
            </w:r>
          </w:p>
        </w:tc>
        <w:tc>
          <w:tcPr>
            <w:tcW w:w="340" w:type="dxa"/>
            <w:vAlign w:val="bottom"/>
          </w:tcPr>
          <w:p>
            <w:pPr>
              <w:spacing w:after="0"/>
              <w:rPr>
                <w:sz w:val="17"/>
                <w:szCs w:val="17"/>
                <w:color w:val="auto"/>
              </w:rPr>
            </w:pPr>
          </w:p>
        </w:tc>
        <w:tc>
          <w:tcPr>
            <w:tcW w:w="1820" w:type="dxa"/>
            <w:vAlign w:val="bottom"/>
          </w:tcPr>
          <w:p>
            <w:pPr>
              <w:jc w:val="right"/>
              <w:ind w:right="9"/>
              <w:spacing w:after="0"/>
              <w:rPr>
                <w:sz w:val="20"/>
                <w:szCs w:val="20"/>
                <w:color w:val="auto"/>
              </w:rPr>
            </w:pPr>
            <w:r>
              <w:rPr>
                <w:rFonts w:ascii="Arial" w:cs="Arial" w:eastAsia="Arial" w:hAnsi="Arial"/>
                <w:sz w:val="14"/>
                <w:szCs w:val="14"/>
                <w:b w:val="1"/>
                <w:bCs w:val="1"/>
                <w:color w:val="auto"/>
              </w:rPr>
              <w:t>48,838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45,1</w:t>
            </w:r>
          </w:p>
        </w:tc>
      </w:tr>
      <w:tr>
        <w:trPr>
          <w:trHeight w:val="199"/>
        </w:trPr>
        <w:tc>
          <w:tcPr>
            <w:tcW w:w="7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Secured credit card</w:t>
            </w:r>
          </w:p>
        </w:tc>
        <w:tc>
          <w:tcPr>
            <w:tcW w:w="340" w:type="dxa"/>
            <w:vAlign w:val="bottom"/>
            <w:shd w:val="clear" w:color="auto" w:fill="CCEEFF"/>
          </w:tcPr>
          <w:p>
            <w:pPr>
              <w:spacing w:after="0"/>
              <w:rPr>
                <w:sz w:val="17"/>
                <w:szCs w:val="17"/>
                <w:color w:val="auto"/>
              </w:rPr>
            </w:pPr>
          </w:p>
        </w:tc>
        <w:tc>
          <w:tcPr>
            <w:tcW w:w="182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137,572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123,8</w:t>
            </w:r>
          </w:p>
        </w:tc>
      </w:tr>
      <w:tr>
        <w:trPr>
          <w:trHeight w:val="198"/>
        </w:trPr>
        <w:tc>
          <w:tcPr>
            <w:tcW w:w="70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consumer</w:t>
            </w:r>
          </w:p>
        </w:tc>
        <w:tc>
          <w:tcPr>
            <w:tcW w:w="3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2,290</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r>
      <w:tr>
        <w:trPr>
          <w:trHeight w:val="217"/>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b w:val="1"/>
                <w:bCs w:val="1"/>
                <w:color w:val="auto"/>
              </w:rPr>
              <w:t>$</w:t>
            </w:r>
          </w:p>
        </w:tc>
        <w:tc>
          <w:tcPr>
            <w:tcW w:w="18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359,775</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360,3</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r>
        <w:trPr>
          <w:trHeight w:val="159"/>
        </w:trPr>
        <w:tc>
          <w:tcPr>
            <w:tcW w:w="7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224"/>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Commitments to originate residential loans held for sale</w:t>
            </w: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b w:val="1"/>
                <w:bCs w:val="1"/>
                <w:color w:val="auto"/>
              </w:rPr>
              <w:t>$</w:t>
            </w:r>
          </w:p>
        </w:tc>
        <w:tc>
          <w:tcPr>
            <w:tcW w:w="18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1,303</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r>
        <w:trPr>
          <w:trHeight w:val="158"/>
        </w:trPr>
        <w:tc>
          <w:tcPr>
            <w:tcW w:w="7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224"/>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Letters of credit</w:t>
            </w: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b w:val="1"/>
                <w:bCs w:val="1"/>
                <w:color w:val="auto"/>
              </w:rPr>
              <w:t>$</w:t>
            </w:r>
          </w:p>
        </w:tc>
        <w:tc>
          <w:tcPr>
            <w:tcW w:w="18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5,085</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w:t>
      </w:r>
    </w:p>
    <w:p>
      <w:pPr>
        <w:ind w:left="220" w:hanging="214"/>
        <w:spacing w:after="0" w:line="219" w:lineRule="auto"/>
        <w:tabs>
          <w:tab w:leader="none" w:pos="220" w:val="left"/>
        </w:tabs>
        <w:numPr>
          <w:ilvl w:val="0"/>
          <w:numId w:val="5"/>
        </w:numPr>
        <w:rPr>
          <w:rFonts w:ascii="Arial" w:cs="Arial" w:eastAsia="Arial" w:hAnsi="Arial"/>
          <w:sz w:val="14"/>
          <w:szCs w:val="14"/>
          <w:color w:val="auto"/>
          <w:vertAlign w:val="superscript"/>
        </w:rPr>
      </w:pPr>
      <w:r>
        <w:rPr>
          <w:rFonts w:ascii="Arial" w:cs="Arial" w:eastAsia="Arial" w:hAnsi="Arial"/>
          <w:sz w:val="11"/>
          <w:szCs w:val="11"/>
          <w:color w:val="auto"/>
        </w:rPr>
        <w:t>Outstanding loan commitments in the credit card portfolio include $111.7 million and $98.2 million in secured balances as of March 31, 2022 and December 31, 2021, respectively.</w:t>
      </w:r>
    </w:p>
    <w:p>
      <w:pPr>
        <w:spacing w:after="0" w:line="228" w:lineRule="exact"/>
        <w:rPr>
          <w:sz w:val="20"/>
          <w:szCs w:val="20"/>
          <w:color w:val="auto"/>
        </w:rPr>
      </w:pPr>
    </w:p>
    <w:p>
      <w:pPr>
        <w:jc w:val="both"/>
        <w:ind w:right="100" w:firstLine="318"/>
        <w:spacing w:after="0" w:line="255" w:lineRule="auto"/>
        <w:rPr>
          <w:sz w:val="20"/>
          <w:szCs w:val="20"/>
          <w:color w:val="auto"/>
        </w:rPr>
      </w:pPr>
      <w:r>
        <w:rPr>
          <w:rFonts w:ascii="Arial" w:cs="Arial" w:eastAsia="Arial" w:hAnsi="Arial"/>
          <w:sz w:val="18"/>
          <w:szCs w:val="18"/>
          <w:color w:val="auto"/>
        </w:rPr>
        <w:t>Lines of credit are agreements to lend to a customer as long as there is no violation of any condition of the contract. Lines of credit generally have variable interest rates. Such lines do not represent future cash requirements because it is unlikely that all customers will, at any given time, draw upon their lines in full. Loan commitments generally have variable interest rates, fixed expiration dates, and may require payment of a fee.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262255</wp:posOffset>
            </wp:positionV>
            <wp:extent cx="716026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617" w:right="239" w:bottom="1440" w:gutter="0" w:footer="0" w:header="0"/>
        </w:sectPr>
      </w:pPr>
    </w:p>
    <w:bookmarkStart w:id="28" w:name="page29"/>
    <w:bookmarkEnd w:id="28"/>
    <w:p>
      <w:pPr>
        <w:ind w:left="3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408940</wp:posOffset>
            </wp:positionH>
            <wp:positionV relativeFrom="page">
              <wp:posOffset>391795</wp:posOffset>
            </wp:positionV>
            <wp:extent cx="666369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663690" cy="17145"/>
                    </a:xfrm>
                    <a:prstGeom prst="rect">
                      <a:avLst/>
                    </a:prstGeom>
                    <a:noFill/>
                  </pic:spPr>
                </pic:pic>
              </a:graphicData>
            </a:graphic>
          </wp:anchor>
        </w:drawing>
        <w:t>Capital Bancorp, Inc. and Subsidiaries</w:t>
      </w:r>
    </w:p>
    <w:p>
      <w:pPr>
        <w:ind w:left="34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6350</wp:posOffset>
            </wp:positionV>
            <wp:extent cx="666369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26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5 - Portfolio Loans Receivable (continued)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ind w:right="100" w:firstLine="318"/>
        <w:spacing w:after="0" w:line="253" w:lineRule="auto"/>
        <w:rPr>
          <w:sz w:val="20"/>
          <w:szCs w:val="20"/>
          <w:color w:val="auto"/>
        </w:rPr>
      </w:pPr>
      <w:r>
        <w:rPr>
          <w:rFonts w:ascii="Arial" w:cs="Arial" w:eastAsia="Arial" w:hAnsi="Arial"/>
          <w:sz w:val="18"/>
          <w:szCs w:val="18"/>
          <w:color w:val="auto"/>
        </w:rPr>
        <w:t>The Company's maximum exposure to credit loss in the event of nonperformance by the customer is the contractual amount of the credit commitment. Loan commitments and lines of credit are generally made on the same terms, including collateral, as outstanding loans. Management is not aware of any accounting loss to be incurred by funding these loan commitments. The Company maintains an estimated reserve for off balance sheet items such as unfunded lines of credit, which is reflected in other liabilities, with changes being charged to or released from operating expense. Activity for this account is as follows for the periods presented:</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Off Balance Sheet Reserve</w:t>
      </w:r>
    </w:p>
    <w:p>
      <w:pPr>
        <w:spacing w:after="0" w:line="34" w:lineRule="exact"/>
        <w:rPr>
          <w:sz w:val="20"/>
          <w:szCs w:val="20"/>
          <w:color w:val="auto"/>
        </w:rPr>
      </w:pPr>
    </w:p>
    <w:tbl>
      <w:tblPr>
        <w:tblLayout w:type="fixed"/>
        <w:tblInd w:w="320" w:type="dxa"/>
        <w:tblCellMar>
          <w:top w:w="0" w:type="dxa"/>
          <w:left w:w="0" w:type="dxa"/>
          <w:bottom w:w="0" w:type="dxa"/>
          <w:right w:w="0" w:type="dxa"/>
        </w:tblCellMar>
      </w:tblPr>
      <w:tr>
        <w:trPr>
          <w:trHeight w:val="194"/>
        </w:trPr>
        <w:tc>
          <w:tcPr>
            <w:tcW w:w="818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289"/>
              <w:spacing w:after="0"/>
              <w:rPr>
                <w:sz w:val="20"/>
                <w:szCs w:val="20"/>
                <w:color w:val="auto"/>
              </w:rPr>
            </w:pPr>
            <w:r>
              <w:rPr>
                <w:rFonts w:ascii="Arial" w:cs="Arial" w:eastAsia="Arial" w:hAnsi="Arial"/>
                <w:sz w:val="14"/>
                <w:szCs w:val="14"/>
                <w:b w:val="1"/>
                <w:bCs w:val="1"/>
                <w:color w:val="auto"/>
              </w:rPr>
              <w:t>For the Three Months Ended</w:t>
            </w:r>
          </w:p>
        </w:tc>
      </w:tr>
      <w:tr>
        <w:trPr>
          <w:trHeight w:val="192"/>
        </w:trPr>
        <w:tc>
          <w:tcPr>
            <w:tcW w:w="8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 2022</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March 31, 2021</w:t>
            </w:r>
          </w:p>
        </w:tc>
      </w:tr>
      <w:tr>
        <w:trPr>
          <w:trHeight w:val="193"/>
        </w:trPr>
        <w:tc>
          <w:tcPr>
            <w:tcW w:w="8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beginning of period</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1,736</w:t>
            </w: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r>
      <w:tr>
        <w:trPr>
          <w:trHeight w:val="198"/>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Provision for (reversal of) off balance sheet credit commitments</w:t>
            </w: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(150)</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r>
      <w:tr>
        <w:trPr>
          <w:trHeight w:val="218"/>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1,586</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both"/>
        <w:ind w:right="100" w:firstLine="318"/>
        <w:spacing w:after="0" w:line="260" w:lineRule="auto"/>
        <w:rPr>
          <w:sz w:val="20"/>
          <w:szCs w:val="20"/>
          <w:color w:val="auto"/>
        </w:rPr>
      </w:pPr>
      <w:r>
        <w:rPr>
          <w:rFonts w:ascii="Arial" w:cs="Arial" w:eastAsia="Arial" w:hAnsi="Arial"/>
          <w:sz w:val="18"/>
          <w:szCs w:val="18"/>
          <w:color w:val="auto"/>
        </w:rPr>
        <w:t>The Company makes representations and warranties that loans sold to investors meet their program's guidelines and that the information provided by the borrowers is accurate and complete. In the event of a default on a loan sold, the investor may have the right to make a claim for losses due to document deficiencies, program compliance, early payment default, and fraud or borrower misrepresentations.</w:t>
      </w:r>
    </w:p>
    <w:p>
      <w:pPr>
        <w:spacing w:after="0" w:line="175" w:lineRule="exact"/>
        <w:rPr>
          <w:sz w:val="20"/>
          <w:szCs w:val="20"/>
          <w:color w:val="auto"/>
        </w:rPr>
      </w:pPr>
    </w:p>
    <w:p>
      <w:pPr>
        <w:jc w:val="both"/>
        <w:ind w:right="100" w:firstLine="318"/>
        <w:spacing w:after="0" w:line="274" w:lineRule="auto"/>
        <w:rPr>
          <w:sz w:val="20"/>
          <w:szCs w:val="20"/>
          <w:color w:val="auto"/>
        </w:rPr>
      </w:pPr>
      <w:r>
        <w:rPr>
          <w:rFonts w:ascii="Arial" w:cs="Arial" w:eastAsia="Arial" w:hAnsi="Arial"/>
          <w:sz w:val="18"/>
          <w:szCs w:val="18"/>
          <w:color w:val="auto"/>
        </w:rPr>
        <w:t>The Company maintains an estimated reserve for potential losses on mortgage loans sold, which is reflected in other liabilities, with changes being charged to or released from operating expense. Activity in this reserve is as follows for the periods presented:</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Mortgage Loan Put-back Reserve</w:t>
      </w:r>
    </w:p>
    <w:p>
      <w:pPr>
        <w:spacing w:after="0" w:line="34" w:lineRule="exact"/>
        <w:rPr>
          <w:sz w:val="20"/>
          <w:szCs w:val="20"/>
          <w:color w:val="auto"/>
        </w:rPr>
      </w:pPr>
    </w:p>
    <w:tbl>
      <w:tblPr>
        <w:tblLayout w:type="fixed"/>
        <w:tblInd w:w="320" w:type="dxa"/>
        <w:tblCellMar>
          <w:top w:w="0" w:type="dxa"/>
          <w:left w:w="0" w:type="dxa"/>
          <w:bottom w:w="0" w:type="dxa"/>
          <w:right w:w="0" w:type="dxa"/>
        </w:tblCellMar>
      </w:tblPr>
      <w:tr>
        <w:trPr>
          <w:trHeight w:val="194"/>
        </w:trPr>
        <w:tc>
          <w:tcPr>
            <w:tcW w:w="820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16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269"/>
              <w:spacing w:after="0"/>
              <w:rPr>
                <w:sz w:val="20"/>
                <w:szCs w:val="20"/>
                <w:color w:val="auto"/>
              </w:rPr>
            </w:pPr>
            <w:r>
              <w:rPr>
                <w:rFonts w:ascii="Arial" w:cs="Arial" w:eastAsia="Arial" w:hAnsi="Arial"/>
                <w:sz w:val="14"/>
                <w:szCs w:val="14"/>
                <w:b w:val="1"/>
                <w:bCs w:val="1"/>
                <w:color w:val="auto"/>
              </w:rPr>
              <w:t>For the Three Months Ended</w:t>
            </w:r>
          </w:p>
        </w:tc>
      </w:tr>
      <w:tr>
        <w:trPr>
          <w:trHeight w:val="191"/>
        </w:trPr>
        <w:tc>
          <w:tcPr>
            <w:tcW w:w="8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2022</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March 31, 2021</w:t>
            </w:r>
          </w:p>
        </w:tc>
      </w:tr>
      <w:tr>
        <w:trPr>
          <w:trHeight w:val="193"/>
        </w:trPr>
        <w:tc>
          <w:tcPr>
            <w:tcW w:w="8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beginning of period</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1,164</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r>
      <w:tr>
        <w:trPr>
          <w:trHeight w:val="198"/>
        </w:trPr>
        <w:tc>
          <w:tcPr>
            <w:tcW w:w="8200" w:type="dxa"/>
            <w:vAlign w:val="bottom"/>
          </w:tcPr>
          <w:p>
            <w:pPr>
              <w:ind w:left="20"/>
              <w:spacing w:after="0"/>
              <w:rPr>
                <w:sz w:val="20"/>
                <w:szCs w:val="20"/>
                <w:color w:val="auto"/>
              </w:rPr>
            </w:pPr>
            <w:r>
              <w:rPr>
                <w:rFonts w:ascii="Arial" w:cs="Arial" w:eastAsia="Arial" w:hAnsi="Arial"/>
                <w:sz w:val="14"/>
                <w:szCs w:val="14"/>
                <w:color w:val="auto"/>
              </w:rPr>
              <w:t>Provision for mortgage loan put backs</w:t>
            </w:r>
          </w:p>
        </w:tc>
        <w:tc>
          <w:tcPr>
            <w:tcW w:w="160" w:type="dxa"/>
            <w:vAlign w:val="bottom"/>
          </w:tcPr>
          <w:p>
            <w:pPr>
              <w:spacing w:after="0"/>
              <w:rPr>
                <w:sz w:val="17"/>
                <w:szCs w:val="17"/>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18"/>
        </w:trPr>
        <w:tc>
          <w:tcPr>
            <w:tcW w:w="8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end of period</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1,164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253365</wp:posOffset>
            </wp:positionV>
            <wp:extent cx="716026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617" w:right="239" w:bottom="1440" w:gutter="0" w:footer="0" w:header="0"/>
        </w:sectPr>
      </w:pPr>
    </w:p>
    <w:bookmarkStart w:id="29" w:name="page30"/>
    <w:bookmarkEnd w:id="29"/>
    <w:p>
      <w:pPr>
        <w:ind w:left="3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408940</wp:posOffset>
            </wp:positionH>
            <wp:positionV relativeFrom="page">
              <wp:posOffset>391795</wp:posOffset>
            </wp:positionV>
            <wp:extent cx="6995160" cy="165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16510"/>
                    </a:xfrm>
                    <a:prstGeom prst="rect">
                      <a:avLst/>
                    </a:prstGeom>
                    <a:noFill/>
                  </pic:spPr>
                </pic:pic>
              </a:graphicData>
            </a:graphic>
          </wp:anchor>
        </w:drawing>
        <w:t>Capital Bancorp, Inc. and Subsidiaries</w:t>
      </w:r>
    </w:p>
    <w:p>
      <w:pPr>
        <w:ind w:left="34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6350</wp:posOffset>
            </wp:positionV>
            <wp:extent cx="699516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6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6 - Derivative Financial Instruments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ind w:right="100" w:firstLine="318"/>
        <w:spacing w:after="0" w:line="249" w:lineRule="auto"/>
        <w:rPr>
          <w:sz w:val="20"/>
          <w:szCs w:val="20"/>
          <w:color w:val="auto"/>
        </w:rPr>
      </w:pPr>
      <w:r>
        <w:rPr>
          <w:rFonts w:ascii="Arial" w:cs="Arial" w:eastAsia="Arial" w:hAnsi="Arial"/>
          <w:sz w:val="18"/>
          <w:szCs w:val="18"/>
          <w:color w:val="auto"/>
        </w:rPr>
        <w:t>As part of its mortgage banking activities, the Company enters into interest rate lock commitments, which are commitments to originate loans whereby the interest rate on the loan is determined prior to funding and the customers have locked into that interest rate. The Company then either locks the loan and rate in with an investor and commits to deliver the loan if settlement occurs (Best Efforts) or commits to deliver the locked loan to an investor in a binding (Mandatory) delivery program. Certain loans under rate lock commitments are covered under forward sales contracts. Forward sales contracts are recorded at fair value with changes in fair value recorded in mortgage banking revenue. Interest rate lock commitments and commitments to deliver loans to investors are considered derivatives. The market value of interest rate lock commitments and best efforts contracts are not readily ascertainable with precision because they are not actively traded in stand-alone markets. The Company determines the fair value of rate lock commitments and delivery contracts by estimating the fair value of the underlying asset, which is impacted by current interest rates and takes into consideration the probability that the rate lock commitments will close or will be funded.</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reports the commitment and fair value amounts on the outstanding derivatives:</w:t>
      </w:r>
    </w:p>
    <w:p>
      <w:pPr>
        <w:spacing w:after="0" w:line="259"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Derivatives</w:t>
      </w:r>
    </w:p>
    <w:p>
      <w:pPr>
        <w:spacing w:after="0" w:line="34" w:lineRule="exact"/>
        <w:rPr>
          <w:sz w:val="20"/>
          <w:szCs w:val="20"/>
          <w:color w:val="auto"/>
        </w:rPr>
      </w:pPr>
    </w:p>
    <w:tbl>
      <w:tblPr>
        <w:tblLayout w:type="fixed"/>
        <w:tblInd w:w="320" w:type="dxa"/>
        <w:tblCellMar>
          <w:top w:w="0" w:type="dxa"/>
          <w:left w:w="0" w:type="dxa"/>
          <w:bottom w:w="0" w:type="dxa"/>
          <w:right w:w="0" w:type="dxa"/>
        </w:tblCellMar>
      </w:tblPr>
      <w:tr>
        <w:trPr>
          <w:trHeight w:val="194"/>
        </w:trPr>
        <w:tc>
          <w:tcPr>
            <w:tcW w:w="722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 thousands)</w:t>
            </w:r>
          </w:p>
        </w:tc>
        <w:tc>
          <w:tcPr>
            <w:tcW w:w="3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March 31, 2022</w:t>
            </w:r>
          </w:p>
        </w:tc>
        <w:tc>
          <w:tcPr>
            <w:tcW w:w="2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December 31, 2021</w:t>
            </w:r>
          </w:p>
        </w:tc>
      </w:tr>
      <w:tr>
        <w:trPr>
          <w:trHeight w:val="192"/>
        </w:trPr>
        <w:tc>
          <w:tcPr>
            <w:tcW w:w="7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Notional amount of open forward sales agreements</w:t>
            </w: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b w:val="1"/>
                <w:bCs w:val="1"/>
                <w:color w:val="auto"/>
                <w:w w:val="76"/>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9,250</w:t>
            </w:r>
          </w:p>
        </w:tc>
        <w:tc>
          <w:tcPr>
            <w:tcW w:w="2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w:t>
            </w:r>
          </w:p>
        </w:tc>
      </w:tr>
      <w:tr>
        <w:trPr>
          <w:trHeight w:val="198"/>
        </w:trPr>
        <w:tc>
          <w:tcPr>
            <w:tcW w:w="7220" w:type="dxa"/>
            <w:vAlign w:val="bottom"/>
          </w:tcPr>
          <w:p>
            <w:pPr>
              <w:ind w:left="20"/>
              <w:spacing w:after="0"/>
              <w:rPr>
                <w:sz w:val="20"/>
                <w:szCs w:val="20"/>
                <w:color w:val="auto"/>
              </w:rPr>
            </w:pPr>
            <w:r>
              <w:rPr>
                <w:rFonts w:ascii="Arial" w:cs="Arial" w:eastAsia="Arial" w:hAnsi="Arial"/>
                <w:sz w:val="14"/>
                <w:szCs w:val="14"/>
                <w:color w:val="auto"/>
              </w:rPr>
              <w:t>Fair value of open forward delivery sales agreements</w:t>
            </w:r>
          </w:p>
        </w:tc>
        <w:tc>
          <w:tcPr>
            <w:tcW w:w="3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120</w:t>
            </w:r>
          </w:p>
        </w:tc>
        <w:tc>
          <w:tcPr>
            <w:tcW w:w="2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9"/>
        </w:trPr>
        <w:tc>
          <w:tcPr>
            <w:tcW w:w="7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Notional amount of open mandatory delivery commitments</w:t>
            </w:r>
          </w:p>
        </w:tc>
        <w:tc>
          <w:tcPr>
            <w:tcW w:w="30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4,002</w:t>
            </w:r>
          </w:p>
        </w:tc>
        <w:tc>
          <w:tcPr>
            <w:tcW w:w="24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r>
      <w:tr>
        <w:trPr>
          <w:trHeight w:val="198"/>
        </w:trPr>
        <w:tc>
          <w:tcPr>
            <w:tcW w:w="7220" w:type="dxa"/>
            <w:vAlign w:val="bottom"/>
          </w:tcPr>
          <w:p>
            <w:pPr>
              <w:ind w:left="20"/>
              <w:spacing w:after="0"/>
              <w:rPr>
                <w:sz w:val="20"/>
                <w:szCs w:val="20"/>
                <w:color w:val="auto"/>
              </w:rPr>
            </w:pPr>
            <w:r>
              <w:rPr>
                <w:rFonts w:ascii="Arial" w:cs="Arial" w:eastAsia="Arial" w:hAnsi="Arial"/>
                <w:sz w:val="14"/>
                <w:szCs w:val="14"/>
                <w:color w:val="auto"/>
              </w:rPr>
              <w:t>Fair value of open mandatory delivery commitments</w:t>
            </w:r>
          </w:p>
        </w:tc>
        <w:tc>
          <w:tcPr>
            <w:tcW w:w="3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(80)</w:t>
            </w:r>
          </w:p>
        </w:tc>
        <w:tc>
          <w:tcPr>
            <w:tcW w:w="24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199"/>
        </w:trPr>
        <w:tc>
          <w:tcPr>
            <w:tcW w:w="7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Notional amount of interest rate lock commitments</w:t>
            </w:r>
          </w:p>
        </w:tc>
        <w:tc>
          <w:tcPr>
            <w:tcW w:w="30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8,667</w:t>
            </w:r>
          </w:p>
        </w:tc>
        <w:tc>
          <w:tcPr>
            <w:tcW w:w="24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w:t>
            </w:r>
          </w:p>
        </w:tc>
      </w:tr>
      <w:tr>
        <w:trPr>
          <w:trHeight w:val="198"/>
        </w:trPr>
        <w:tc>
          <w:tcPr>
            <w:tcW w:w="7220" w:type="dxa"/>
            <w:vAlign w:val="bottom"/>
          </w:tcPr>
          <w:p>
            <w:pPr>
              <w:ind w:left="20"/>
              <w:spacing w:after="0"/>
              <w:rPr>
                <w:sz w:val="20"/>
                <w:szCs w:val="20"/>
                <w:color w:val="auto"/>
              </w:rPr>
            </w:pPr>
            <w:r>
              <w:rPr>
                <w:rFonts w:ascii="Arial" w:cs="Arial" w:eastAsia="Arial" w:hAnsi="Arial"/>
                <w:sz w:val="14"/>
                <w:szCs w:val="14"/>
                <w:color w:val="auto"/>
              </w:rPr>
              <w:t>Fair value of interest rate lock commitments</w:t>
            </w:r>
          </w:p>
        </w:tc>
        <w:tc>
          <w:tcPr>
            <w:tcW w:w="3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(42)</w:t>
            </w:r>
          </w:p>
        </w:tc>
        <w:tc>
          <w:tcPr>
            <w:tcW w:w="240" w:type="dxa"/>
            <w:vAlign w:val="bottom"/>
          </w:tcPr>
          <w:p>
            <w:pPr>
              <w:spacing w:after="0"/>
              <w:rPr>
                <w:sz w:val="17"/>
                <w:szCs w:val="17"/>
                <w:color w:val="auto"/>
              </w:rPr>
            </w:pPr>
          </w:p>
        </w:tc>
        <w:tc>
          <w:tcPr>
            <w:tcW w:w="1560" w:type="dxa"/>
            <w:vAlign w:val="bottom"/>
          </w:tcPr>
          <w:p>
            <w:pPr>
              <w:spacing w:after="0"/>
              <w:rPr>
                <w:sz w:val="17"/>
                <w:szCs w:val="17"/>
                <w:color w:val="auto"/>
              </w:rPr>
            </w:pPr>
          </w:p>
        </w:tc>
      </w:tr>
    </w:tbl>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Leases</w:t>
      </w:r>
    </w:p>
    <w:p>
      <w:pPr>
        <w:spacing w:after="0" w:line="219" w:lineRule="exact"/>
        <w:rPr>
          <w:sz w:val="20"/>
          <w:szCs w:val="20"/>
          <w:color w:val="auto"/>
        </w:rPr>
      </w:pPr>
    </w:p>
    <w:p>
      <w:pPr>
        <w:jc w:val="both"/>
        <w:ind w:right="100" w:firstLine="318"/>
        <w:spacing w:after="0" w:line="255" w:lineRule="auto"/>
        <w:rPr>
          <w:sz w:val="20"/>
          <w:szCs w:val="20"/>
          <w:color w:val="auto"/>
        </w:rPr>
      </w:pPr>
      <w:r>
        <w:rPr>
          <w:rFonts w:ascii="Arial" w:cs="Arial" w:eastAsia="Arial" w:hAnsi="Arial"/>
          <w:sz w:val="18"/>
          <w:szCs w:val="18"/>
          <w:color w:val="auto"/>
        </w:rPr>
        <w:t>The Company’s primary leasing activities relate to certain real estate leases entered into in support of the Company’s branch operations and back office operations. The Company leases four of its full service branches and four other locations for corporate/administration activities, operations, and loan production. All property leases under lease agreements have been been designated as operating leases. The Company does not have leases designated as finance leases.</w:t>
      </w:r>
    </w:p>
    <w:p>
      <w:pPr>
        <w:spacing w:after="0" w:line="180" w:lineRule="exact"/>
        <w:rPr>
          <w:sz w:val="20"/>
          <w:szCs w:val="20"/>
          <w:color w:val="auto"/>
        </w:rPr>
      </w:pPr>
    </w:p>
    <w:p>
      <w:pPr>
        <w:jc w:val="both"/>
        <w:ind w:right="100" w:firstLine="318"/>
        <w:spacing w:after="0" w:line="248" w:lineRule="auto"/>
        <w:rPr>
          <w:sz w:val="20"/>
          <w:szCs w:val="20"/>
          <w:color w:val="auto"/>
        </w:rPr>
      </w:pPr>
      <w:r>
        <w:rPr>
          <w:rFonts w:ascii="Arial" w:cs="Arial" w:eastAsia="Arial" w:hAnsi="Arial"/>
          <w:sz w:val="18"/>
          <w:szCs w:val="18"/>
          <w:color w:val="auto"/>
        </w:rPr>
        <w:t>The Company determines if an arrangement is a lease at inception. Operating lease right-of-use (“ROU”) assets are included in premises and equipment, and operating lease liabilities are included as other liabilities in the consolidated balance sheets. ROU assets represent the right to use an underlying asset for the lease term and lease liabilities represent the obligation to make lease payments arising from the lease. Operating lease ROU assets and liabilities are recognized at commencement date based on the present value of lease payments over the lease term. As the Company's leases do not provide an implicit rate, the Company uses its incremental borrowing rate based on the information available at commencement date in determining the present value of lease payments. The weighted average discount rate used was 2.23% at March 31, 2022 and December 31, 2021. The operating lease ROU asset also includes any lease pre-payments. The Company's lease terms may include options to extend or terminate the lease when it is reasonably certain that the Company will exercise that option. Lease expense for lease payments is recognized on a straight-line basis over the lease term. The Company has lease agreements with lease and non-lease components, which the Company has elected to account for separately as the non-lease component amounts are readily determinable under most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262255</wp:posOffset>
            </wp:positionV>
            <wp:extent cx="716026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617" w:right="239" w:bottom="1440" w:gutter="0" w:footer="0" w:header="0"/>
        </w:sectPr>
      </w:pPr>
    </w:p>
    <w:bookmarkStart w:id="30" w:name="page31"/>
    <w:bookmarkEnd w:id="30"/>
    <w:p>
      <w:pPr>
        <w:ind w:left="3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408940</wp:posOffset>
            </wp:positionH>
            <wp:positionV relativeFrom="page">
              <wp:posOffset>391795</wp:posOffset>
            </wp:positionV>
            <wp:extent cx="653732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537325" cy="17145"/>
                    </a:xfrm>
                    <a:prstGeom prst="rect">
                      <a:avLst/>
                    </a:prstGeom>
                    <a:noFill/>
                  </pic:spPr>
                </pic:pic>
              </a:graphicData>
            </a:graphic>
          </wp:anchor>
        </w:drawing>
        <w:t>Capital Bancorp, Inc. and Subsidiaries</w:t>
      </w:r>
    </w:p>
    <w:p>
      <w:pPr>
        <w:ind w:left="34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6350</wp:posOffset>
            </wp:positionV>
            <wp:extent cx="653732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537325" cy="17145"/>
                    </a:xfrm>
                    <a:prstGeom prst="rect">
                      <a:avLst/>
                    </a:prstGeom>
                    <a:noFill/>
                  </pic:spPr>
                </pic:pic>
              </a:graphicData>
            </a:graphic>
          </wp:anchor>
        </w:drawing>
      </w:r>
    </w:p>
    <w:p>
      <w:pPr>
        <w:spacing w:after="0" w:line="26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7 - Leases (continued)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ind w:right="100" w:firstLine="318"/>
        <w:spacing w:after="0" w:line="275" w:lineRule="auto"/>
        <w:rPr>
          <w:sz w:val="20"/>
          <w:szCs w:val="20"/>
          <w:color w:val="auto"/>
        </w:rPr>
      </w:pPr>
      <w:r>
        <w:rPr>
          <w:rFonts w:ascii="Arial" w:cs="Arial" w:eastAsia="Arial" w:hAnsi="Arial"/>
          <w:sz w:val="17"/>
          <w:szCs w:val="17"/>
          <w:color w:val="auto"/>
        </w:rPr>
        <w:t>As of March 31, 2022, the Company’s lease ROU assets and related lease liabilities were $2.3 million and $ 2.5 million, respectively, compared to December 31, 2021 balances of $2.5 million of ROU assets and $2.7 million of lease liabilities, and have remaining terms ranging from 1 - 6 years, including extension options that the Company is reasonably certain will be exercised. As of March 31, 2022, the Company had not entered into any material leases that have not yet commenced. The Company’s lease information is summarized as follows: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Leases</w:t>
      </w:r>
    </w:p>
    <w:p>
      <w:pPr>
        <w:spacing w:after="0" w:line="37"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820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16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2022</w:t>
            </w: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 202</w:t>
            </w:r>
          </w:p>
        </w:tc>
      </w:tr>
      <w:tr>
        <w:trPr>
          <w:trHeight w:val="179"/>
        </w:trPr>
        <w:tc>
          <w:tcPr>
            <w:tcW w:w="8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Lease Right of Use Asset:</w:t>
            </w:r>
          </w:p>
        </w:tc>
        <w:tc>
          <w:tcPr>
            <w:tcW w:w="16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r>
      <w:tr>
        <w:trPr>
          <w:trHeight w:val="198"/>
        </w:trPr>
        <w:tc>
          <w:tcPr>
            <w:tcW w:w="8200" w:type="dxa"/>
            <w:vAlign w:val="bottom"/>
          </w:tcPr>
          <w:p>
            <w:pPr>
              <w:ind w:left="20"/>
              <w:spacing w:after="0"/>
              <w:rPr>
                <w:sz w:val="20"/>
                <w:szCs w:val="20"/>
                <w:color w:val="auto"/>
              </w:rPr>
            </w:pPr>
            <w:r>
              <w:rPr>
                <w:rFonts w:ascii="Arial" w:cs="Arial" w:eastAsia="Arial" w:hAnsi="Arial"/>
                <w:sz w:val="14"/>
                <w:szCs w:val="14"/>
                <w:color w:val="auto"/>
              </w:rPr>
              <w:t>Lease asset</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jc w:val="center"/>
              <w:ind w:left="749"/>
              <w:spacing w:after="0"/>
              <w:rPr>
                <w:sz w:val="20"/>
                <w:szCs w:val="20"/>
                <w:color w:val="auto"/>
              </w:rPr>
            </w:pPr>
            <w:r>
              <w:rPr>
                <w:rFonts w:ascii="Arial" w:cs="Arial" w:eastAsia="Arial" w:hAnsi="Arial"/>
                <w:sz w:val="14"/>
                <w:szCs w:val="14"/>
                <w:b w:val="1"/>
                <w:bCs w:val="1"/>
                <w:color w:val="auto"/>
              </w:rPr>
              <w:t>5,082</w:t>
            </w:r>
          </w:p>
        </w:tc>
        <w:tc>
          <w:tcPr>
            <w:tcW w:w="100" w:type="dxa"/>
            <w:vAlign w:val="bottom"/>
          </w:tcPr>
          <w:p>
            <w:pPr>
              <w:spacing w:after="0"/>
              <w:rPr>
                <w:sz w:val="17"/>
                <w:szCs w:val="17"/>
                <w:color w:val="auto"/>
              </w:rPr>
            </w:pPr>
          </w:p>
        </w:tc>
        <w:tc>
          <w:tcPr>
            <w:tcW w:w="540" w:type="dxa"/>
            <w:vAlign w:val="bottom"/>
          </w:tcPr>
          <w:p>
            <w:pPr>
              <w:jc w:val="right"/>
              <w:ind w:right="369"/>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5,3</w:t>
            </w:r>
          </w:p>
        </w:tc>
      </w:tr>
      <w:tr>
        <w:trPr>
          <w:trHeight w:val="199"/>
        </w:trPr>
        <w:tc>
          <w:tcPr>
            <w:tcW w:w="8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Accumulated amortization</w:t>
            </w:r>
          </w:p>
        </w:tc>
        <w:tc>
          <w:tcPr>
            <w:tcW w:w="16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center"/>
              <w:ind w:left="729"/>
              <w:spacing w:after="0"/>
              <w:rPr>
                <w:sz w:val="20"/>
                <w:szCs w:val="20"/>
                <w:color w:val="auto"/>
              </w:rPr>
            </w:pPr>
            <w:r>
              <w:rPr>
                <w:rFonts w:ascii="Arial" w:cs="Arial" w:eastAsia="Arial" w:hAnsi="Arial"/>
                <w:sz w:val="14"/>
                <w:szCs w:val="14"/>
                <w:b w:val="1"/>
                <w:bCs w:val="1"/>
                <w:color w:val="auto"/>
              </w:rPr>
              <w:t>(2,828)</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w:t>
            </w:r>
          </w:p>
        </w:tc>
      </w:tr>
      <w:tr>
        <w:trPr>
          <w:trHeight w:val="166"/>
        </w:trPr>
        <w:tc>
          <w:tcPr>
            <w:tcW w:w="8200" w:type="dxa"/>
            <w:vAlign w:val="bottom"/>
          </w:tcPr>
          <w:p>
            <w:pPr>
              <w:ind w:left="20"/>
              <w:spacing w:after="0"/>
              <w:rPr>
                <w:sz w:val="20"/>
                <w:szCs w:val="20"/>
                <w:color w:val="auto"/>
              </w:rPr>
            </w:pPr>
            <w:r>
              <w:rPr>
                <w:rFonts w:ascii="Arial" w:cs="Arial" w:eastAsia="Arial" w:hAnsi="Arial"/>
                <w:sz w:val="14"/>
                <w:szCs w:val="14"/>
                <w:color w:val="auto"/>
              </w:rPr>
              <w:t>Net lease asset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tcPr>
          <w:p>
            <w:pPr>
              <w:jc w:val="center"/>
              <w:ind w:left="749"/>
              <w:spacing w:after="0"/>
              <w:rPr>
                <w:sz w:val="20"/>
                <w:szCs w:val="20"/>
                <w:color w:val="auto"/>
              </w:rPr>
            </w:pPr>
            <w:r>
              <w:rPr>
                <w:rFonts w:ascii="Arial" w:cs="Arial" w:eastAsia="Arial" w:hAnsi="Arial"/>
                <w:sz w:val="14"/>
                <w:szCs w:val="14"/>
                <w:b w:val="1"/>
                <w:bCs w:val="1"/>
                <w:color w:val="auto"/>
              </w:rPr>
              <w:t>2,254</w:t>
            </w:r>
          </w:p>
        </w:tc>
        <w:tc>
          <w:tcPr>
            <w:tcW w:w="100" w:type="dxa"/>
            <w:vAlign w:val="bottom"/>
          </w:tcPr>
          <w:p>
            <w:pPr>
              <w:spacing w:after="0"/>
              <w:rPr>
                <w:sz w:val="14"/>
                <w:szCs w:val="14"/>
                <w:color w:val="auto"/>
              </w:rPr>
            </w:pPr>
          </w:p>
        </w:tc>
        <w:tc>
          <w:tcPr>
            <w:tcW w:w="54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78"/>
        </w:trPr>
        <w:tc>
          <w:tcPr>
            <w:tcW w:w="8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r>
      <w:tr>
        <w:trPr>
          <w:trHeight w:val="198"/>
        </w:trPr>
        <w:tc>
          <w:tcPr>
            <w:tcW w:w="8200" w:type="dxa"/>
            <w:vAlign w:val="bottom"/>
          </w:tcPr>
          <w:p>
            <w:pPr>
              <w:ind w:left="20"/>
              <w:spacing w:after="0"/>
              <w:rPr>
                <w:sz w:val="20"/>
                <w:szCs w:val="20"/>
                <w:color w:val="auto"/>
              </w:rPr>
            </w:pPr>
            <w:r>
              <w:rPr>
                <w:rFonts w:ascii="Arial" w:cs="Arial" w:eastAsia="Arial" w:hAnsi="Arial"/>
                <w:sz w:val="14"/>
                <w:szCs w:val="14"/>
                <w:b w:val="1"/>
                <w:bCs w:val="1"/>
                <w:color w:val="auto"/>
              </w:rPr>
              <w:t>Lease Liability:</w:t>
            </w: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9"/>
        </w:trPr>
        <w:tc>
          <w:tcPr>
            <w:tcW w:w="8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liability</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00" w:type="dxa"/>
            <w:vAlign w:val="bottom"/>
            <w:shd w:val="clear" w:color="auto" w:fill="CCEEFF"/>
          </w:tcPr>
          <w:p>
            <w:pPr>
              <w:jc w:val="center"/>
              <w:ind w:left="749"/>
              <w:spacing w:after="0"/>
              <w:rPr>
                <w:sz w:val="20"/>
                <w:szCs w:val="20"/>
                <w:color w:val="auto"/>
              </w:rPr>
            </w:pPr>
            <w:r>
              <w:rPr>
                <w:rFonts w:ascii="Arial" w:cs="Arial" w:eastAsia="Arial" w:hAnsi="Arial"/>
                <w:sz w:val="14"/>
                <w:szCs w:val="14"/>
                <w:b w:val="1"/>
                <w:bCs w:val="1"/>
                <w:color w:val="auto"/>
              </w:rPr>
              <w:t>5,243</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r>
      <w:tr>
        <w:trPr>
          <w:trHeight w:val="198"/>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amortization</w:t>
            </w: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left="729"/>
              <w:spacing w:after="0"/>
              <w:rPr>
                <w:sz w:val="20"/>
                <w:szCs w:val="20"/>
                <w:color w:val="auto"/>
              </w:rPr>
            </w:pPr>
            <w:r>
              <w:rPr>
                <w:rFonts w:ascii="Arial" w:cs="Arial" w:eastAsia="Arial" w:hAnsi="Arial"/>
                <w:sz w:val="14"/>
                <w:szCs w:val="14"/>
                <w:b w:val="1"/>
                <w:bCs w:val="1"/>
                <w:color w:val="auto"/>
              </w:rPr>
              <w:t>(2,739)</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r>
      <w:tr>
        <w:trPr>
          <w:trHeight w:val="218"/>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Lease liability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shd w:val="clear" w:color="auto" w:fill="CCEEFF"/>
          </w:tcPr>
          <w:p>
            <w:pPr>
              <w:jc w:val="center"/>
              <w:ind w:left="749"/>
              <w:spacing w:after="0"/>
              <w:rPr>
                <w:sz w:val="20"/>
                <w:szCs w:val="20"/>
                <w:color w:val="auto"/>
              </w:rPr>
            </w:pPr>
            <w:r>
              <w:rPr>
                <w:rFonts w:ascii="Arial" w:cs="Arial" w:eastAsia="Arial" w:hAnsi="Arial"/>
                <w:sz w:val="14"/>
                <w:szCs w:val="14"/>
                <w:b w:val="1"/>
                <w:bCs w:val="1"/>
                <w:color w:val="auto"/>
              </w:rPr>
              <w:t>2,504</w:t>
            </w: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69"/>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Future minimum payments for operating leases with initial or remaining terms of one year or more are as follows:</w:t>
      </w:r>
    </w:p>
    <w:p>
      <w:pPr>
        <w:spacing w:after="0" w:line="25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Lease Payment Obligations</w:t>
      </w:r>
    </w:p>
    <w:p>
      <w:pPr>
        <w:spacing w:after="0" w:line="37"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928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 thousands)</w:t>
            </w:r>
          </w:p>
        </w:tc>
        <w:tc>
          <w:tcPr>
            <w:tcW w:w="17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March 31, 2022</w:t>
            </w:r>
          </w:p>
        </w:tc>
      </w:tr>
      <w:tr>
        <w:trPr>
          <w:trHeight w:val="179"/>
        </w:trPr>
        <w:tc>
          <w:tcPr>
            <w:tcW w:w="92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Amounts due in:</w:t>
            </w:r>
          </w:p>
        </w:tc>
        <w:tc>
          <w:tcPr>
            <w:tcW w:w="1740" w:type="dxa"/>
            <w:vAlign w:val="bottom"/>
            <w:shd w:val="clear" w:color="auto" w:fill="CCEEFF"/>
          </w:tcPr>
          <w:p>
            <w:pPr>
              <w:spacing w:after="0"/>
              <w:rPr>
                <w:sz w:val="15"/>
                <w:szCs w:val="15"/>
                <w:color w:val="auto"/>
              </w:rPr>
            </w:pPr>
          </w:p>
        </w:tc>
      </w:tr>
      <w:tr>
        <w:trPr>
          <w:trHeight w:val="194"/>
        </w:trPr>
        <w:tc>
          <w:tcPr>
            <w:tcW w:w="9280" w:type="dxa"/>
            <w:vAlign w:val="bottom"/>
          </w:tcPr>
          <w:p>
            <w:pPr>
              <w:ind w:left="20"/>
              <w:spacing w:after="0"/>
              <w:rPr>
                <w:sz w:val="20"/>
                <w:szCs w:val="20"/>
                <w:color w:val="auto"/>
              </w:rPr>
            </w:pPr>
            <w:r>
              <w:rPr>
                <w:rFonts w:ascii="Arial" w:cs="Arial" w:eastAsia="Arial" w:hAnsi="Arial"/>
                <w:sz w:val="14"/>
                <w:szCs w:val="14"/>
                <w:color w:val="auto"/>
              </w:rPr>
              <w:t>2022</w:t>
            </w:r>
          </w:p>
        </w:tc>
        <w:tc>
          <w:tcPr>
            <w:tcW w:w="174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203"/>
        </w:trPr>
        <w:tc>
          <w:tcPr>
            <w:tcW w:w="9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r>
      <w:tr>
        <w:trPr>
          <w:trHeight w:val="194"/>
        </w:trPr>
        <w:tc>
          <w:tcPr>
            <w:tcW w:w="9280" w:type="dxa"/>
            <w:vAlign w:val="bottom"/>
          </w:tcPr>
          <w:p>
            <w:pPr>
              <w:ind w:left="20"/>
              <w:spacing w:after="0"/>
              <w:rPr>
                <w:sz w:val="20"/>
                <w:szCs w:val="20"/>
                <w:color w:val="auto"/>
              </w:rPr>
            </w:pPr>
            <w:r>
              <w:rPr>
                <w:rFonts w:ascii="Arial" w:cs="Arial" w:eastAsia="Arial" w:hAnsi="Arial"/>
                <w:sz w:val="14"/>
                <w:szCs w:val="14"/>
                <w:color w:val="auto"/>
              </w:rPr>
              <w:t>2024</w:t>
            </w:r>
          </w:p>
        </w:tc>
        <w:tc>
          <w:tcPr>
            <w:tcW w:w="174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03"/>
        </w:trPr>
        <w:tc>
          <w:tcPr>
            <w:tcW w:w="9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2025</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190"/>
        </w:trPr>
        <w:tc>
          <w:tcPr>
            <w:tcW w:w="9280" w:type="dxa"/>
            <w:vAlign w:val="bottom"/>
          </w:tcPr>
          <w:p>
            <w:pPr>
              <w:ind w:left="20"/>
              <w:spacing w:after="0"/>
              <w:rPr>
                <w:sz w:val="20"/>
                <w:szCs w:val="20"/>
                <w:color w:val="auto"/>
              </w:rPr>
            </w:pPr>
            <w:r>
              <w:rPr>
                <w:rFonts w:ascii="Arial" w:cs="Arial" w:eastAsia="Arial" w:hAnsi="Arial"/>
                <w:sz w:val="14"/>
                <w:szCs w:val="14"/>
                <w:color w:val="auto"/>
              </w:rPr>
              <w:t>2026</w:t>
            </w:r>
          </w:p>
        </w:tc>
        <w:tc>
          <w:tcPr>
            <w:tcW w:w="1740" w:type="dxa"/>
            <w:vAlign w:val="bottom"/>
          </w:tcPr>
          <w:p>
            <w:pPr>
              <w:jc w:val="right"/>
              <w:spacing w:after="0"/>
              <w:rPr>
                <w:sz w:val="20"/>
                <w:szCs w:val="20"/>
                <w:color w:val="auto"/>
              </w:rPr>
            </w:pPr>
            <w:r>
              <w:rPr>
                <w:rFonts w:ascii="Arial" w:cs="Arial" w:eastAsia="Arial" w:hAnsi="Arial"/>
                <w:sz w:val="14"/>
                <w:szCs w:val="14"/>
                <w:color w:val="auto"/>
              </w:rPr>
              <w:t>1</w:t>
            </w:r>
          </w:p>
        </w:tc>
      </w:tr>
    </w:tbl>
    <w:p>
      <w:pPr>
        <w:spacing w:after="0" w:line="1" w:lineRule="exact"/>
        <w:rPr>
          <w:sz w:val="20"/>
          <w:szCs w:val="20"/>
          <w:color w:val="auto"/>
        </w:rPr>
      </w:pPr>
    </w:p>
    <w:tbl>
      <w:tblPr>
        <w:tblLayout w:type="fixed"/>
        <w:tblInd w:w="320" w:type="dxa"/>
        <w:tblCellMar>
          <w:top w:w="0" w:type="dxa"/>
          <w:left w:w="0" w:type="dxa"/>
          <w:bottom w:w="0" w:type="dxa"/>
          <w:right w:w="0" w:type="dxa"/>
        </w:tblCellMar>
      </w:tblPr>
      <w:tr>
        <w:trPr>
          <w:trHeight w:val="201"/>
        </w:trPr>
        <w:tc>
          <w:tcPr>
            <w:tcW w:w="928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 future lease payments</w:t>
            </w:r>
          </w:p>
        </w:tc>
        <w:tc>
          <w:tcPr>
            <w:tcW w:w="8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w:t>
            </w:r>
          </w:p>
        </w:tc>
      </w:tr>
      <w:tr>
        <w:trPr>
          <w:trHeight w:val="194"/>
        </w:trPr>
        <w:tc>
          <w:tcPr>
            <w:tcW w:w="92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Discount of cash flows</w:t>
            </w:r>
          </w:p>
        </w:tc>
        <w:tc>
          <w:tcPr>
            <w:tcW w:w="8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21"/>
        </w:trPr>
        <w:tc>
          <w:tcPr>
            <w:tcW w:w="9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Present value of net future lease payments</w:t>
            </w:r>
          </w:p>
        </w:tc>
        <w:tc>
          <w:tcPr>
            <w:tcW w:w="820" w:type="dxa"/>
            <w:vAlign w:val="bottom"/>
            <w:tcBorders>
              <w:bottom w:val="single" w:sz="8" w:color="auto"/>
            </w:tcBorders>
            <w:shd w:val="clear" w:color="auto" w:fill="CCEEFF"/>
          </w:tcPr>
          <w:p>
            <w:pPr>
              <w:jc w:val="right"/>
              <w:ind w:right="649"/>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w:t>
            </w:r>
          </w:p>
        </w:tc>
      </w:tr>
      <w:tr>
        <w:trPr>
          <w:trHeight w:val="20"/>
        </w:trPr>
        <w:tc>
          <w:tcPr>
            <w:tcW w:w="92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Fair Value</w:t>
      </w:r>
    </w:p>
    <w:p>
      <w:pPr>
        <w:spacing w:after="0" w:line="219" w:lineRule="exact"/>
        <w:rPr>
          <w:sz w:val="20"/>
          <w:szCs w:val="20"/>
          <w:color w:val="auto"/>
        </w:rPr>
      </w:pPr>
    </w:p>
    <w:p>
      <w:pPr>
        <w:jc w:val="both"/>
        <w:ind w:right="100" w:firstLine="318"/>
        <w:spacing w:after="0" w:line="260" w:lineRule="auto"/>
        <w:rPr>
          <w:sz w:val="20"/>
          <w:szCs w:val="20"/>
          <w:color w:val="auto"/>
        </w:rPr>
      </w:pPr>
      <w:r>
        <w:rPr>
          <w:rFonts w:ascii="Arial" w:cs="Arial" w:eastAsia="Arial" w:hAnsi="Arial"/>
          <w:sz w:val="18"/>
          <w:szCs w:val="18"/>
          <w:color w:val="auto"/>
        </w:rPr>
        <w:t>Generally accepted accounting principles define fair value, establish a framework for measuring fair value, recommend disclosures about fair value, and establish a hierarchy for determining fair value measurement. The hierarchy includes three levels and is based upon the valuation techniques used to measure assets and liabilities. The three levels are as follows:</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Level 1 - Inputs to the valuation method are quoted prices (unadjusted) for identical assets or liabilities in active markets;</w:t>
      </w:r>
    </w:p>
    <w:p>
      <w:pPr>
        <w:spacing w:after="0" w:line="217" w:lineRule="exact"/>
        <w:rPr>
          <w:sz w:val="20"/>
          <w:szCs w:val="20"/>
          <w:color w:val="auto"/>
        </w:rPr>
      </w:pPr>
    </w:p>
    <w:p>
      <w:pPr>
        <w:jc w:val="both"/>
        <w:ind w:right="100" w:firstLine="318"/>
        <w:spacing w:after="0" w:line="274" w:lineRule="auto"/>
        <w:rPr>
          <w:sz w:val="20"/>
          <w:szCs w:val="20"/>
          <w:color w:val="auto"/>
        </w:rPr>
      </w:pPr>
      <w:r>
        <w:rPr>
          <w:rFonts w:ascii="Arial" w:cs="Arial" w:eastAsia="Arial" w:hAnsi="Arial"/>
          <w:sz w:val="18"/>
          <w:szCs w:val="18"/>
          <w:color w:val="auto"/>
        </w:rPr>
        <w:t>Level 2 - Inputs to the valuation method include quoted prices for similar assets and liabilities in active markets, and inputs that are observable for the asset or liability, either directly or indirectly, for substantially the full term of the financial instrument;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253365</wp:posOffset>
            </wp:positionV>
            <wp:extent cx="716026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617" w:right="239" w:bottom="1440" w:gutter="0" w:footer="0" w:header="0"/>
        </w:sectPr>
      </w:pPr>
    </w:p>
    <w:bookmarkStart w:id="31" w:name="page32"/>
    <w:bookmarkEnd w:id="31"/>
    <w:p>
      <w:pPr>
        <w:ind w:left="66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610870</wp:posOffset>
            </wp:positionH>
            <wp:positionV relativeFrom="page">
              <wp:posOffset>391795</wp:posOffset>
            </wp:positionV>
            <wp:extent cx="653732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537325" cy="17145"/>
                    </a:xfrm>
                    <a:prstGeom prst="rect">
                      <a:avLst/>
                    </a:prstGeom>
                    <a:noFill/>
                  </pic:spPr>
                </pic:pic>
              </a:graphicData>
            </a:graphic>
          </wp:anchor>
        </w:drawing>
        <w:t>Capital Bancorp, Inc. and Subsidiaries</w:t>
      </w:r>
    </w:p>
    <w:p>
      <w:pPr>
        <w:ind w:left="66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6350</wp:posOffset>
            </wp:positionV>
            <wp:extent cx="6537325" cy="165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537325" cy="16510"/>
                    </a:xfrm>
                    <a:prstGeom prst="rect">
                      <a:avLst/>
                    </a:prstGeom>
                    <a:noFill/>
                  </pic:spPr>
                </pic:pic>
              </a:graphicData>
            </a:graphic>
          </wp:anchor>
        </w:drawing>
      </w:r>
    </w:p>
    <w:p>
      <w:pPr>
        <w:spacing w:after="0" w:line="26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 8 - Fair Value (continued)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Level 3 - Inputs to the valuation method are unobservable and significant to the fair value measurement.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 on a recurring basis</w:t>
      </w:r>
    </w:p>
    <w:p>
      <w:pPr>
        <w:spacing w:after="0" w:line="217"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i w:val="1"/>
          <w:iCs w:val="1"/>
          <w:color w:val="auto"/>
        </w:rPr>
        <w:t xml:space="preserve">Investment securities available for sale </w:t>
      </w:r>
      <w:r>
        <w:rPr>
          <w:rFonts w:ascii="Arial" w:cs="Arial" w:eastAsia="Arial" w:hAnsi="Arial"/>
          <w:sz w:val="18"/>
          <w:szCs w:val="18"/>
          <w:color w:val="auto"/>
        </w:rPr>
        <w:t>- The fair values of the Company's investment securities available for sale are provided by an</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 pricing service. The fair values of the Company's securities are determined based on quoted prices for similar securities under Level 2 inputs.</w:t>
      </w:r>
    </w:p>
    <w:p>
      <w:pPr>
        <w:spacing w:after="0" w:line="175"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i w:val="1"/>
          <w:iCs w:val="1"/>
          <w:color w:val="auto"/>
        </w:rPr>
        <w:t xml:space="preserve">Marketable equity securities </w:t>
      </w:r>
      <w:r>
        <w:rPr>
          <w:rFonts w:ascii="Arial" w:cs="Arial" w:eastAsia="Arial" w:hAnsi="Arial"/>
          <w:sz w:val="18"/>
          <w:szCs w:val="18"/>
          <w:color w:val="auto"/>
        </w:rPr>
        <w:t>- The fair value of marketable equity securities is provided by an independent pricing service. The fair value is</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based on quoted prices for similar securities using Level 2 inputs.</w:t>
      </w:r>
    </w:p>
    <w:p>
      <w:pPr>
        <w:spacing w:after="0" w:line="163"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i w:val="1"/>
          <w:iCs w:val="1"/>
          <w:color w:val="auto"/>
        </w:rPr>
        <w:t xml:space="preserve">Loans held for sale </w:t>
      </w:r>
      <w:r>
        <w:rPr>
          <w:rFonts w:ascii="Arial" w:cs="Arial" w:eastAsia="Arial" w:hAnsi="Arial"/>
          <w:sz w:val="18"/>
          <w:szCs w:val="18"/>
          <w:color w:val="auto"/>
        </w:rPr>
        <w:t>- The fair value of loans held for sale is determined using Level 2 inputs of quoted prices for a similar asset, adjusted for</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 attributes of that loan.</w:t>
      </w:r>
    </w:p>
    <w:p>
      <w:pPr>
        <w:spacing w:after="0" w:line="16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i w:val="1"/>
          <w:iCs w:val="1"/>
          <w:color w:val="auto"/>
        </w:rPr>
        <w:t xml:space="preserve">Derivative financial instruments </w:t>
      </w:r>
      <w:r>
        <w:rPr>
          <w:rFonts w:ascii="Arial" w:cs="Arial" w:eastAsia="Arial" w:hAnsi="Arial"/>
          <w:sz w:val="18"/>
          <w:szCs w:val="18"/>
          <w:color w:val="auto"/>
        </w:rPr>
        <w:t>- Derivative instruments used to hedge residential mortgage loans held for sale and the related interest rate</w:t>
      </w:r>
      <w:r>
        <w:rPr>
          <w:rFonts w:ascii="Arial" w:cs="Arial" w:eastAsia="Arial" w:hAnsi="Arial"/>
          <w:sz w:val="18"/>
          <w:szCs w:val="18"/>
          <w:i w:val="1"/>
          <w:iCs w:val="1"/>
          <w:color w:val="auto"/>
        </w:rPr>
        <w:t xml:space="preserve"> </w:t>
      </w:r>
      <w:r>
        <w:rPr>
          <w:rFonts w:ascii="Arial" w:cs="Arial" w:eastAsia="Arial" w:hAnsi="Arial"/>
          <w:sz w:val="18"/>
          <w:szCs w:val="18"/>
          <w:color w:val="auto"/>
        </w:rPr>
        <w:t>lock commitments include forward commitments to sell mortgage loans and are reported at fair value utilizing Level 2 inputs. The fair values of derivative financial instruments are based on derivative market data inputs as of the valuation date and the underlying value of mortgage loans for rate lock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262255</wp:posOffset>
            </wp:positionV>
            <wp:extent cx="716026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617" w:right="339" w:bottom="1440" w:gutter="0" w:footer="0" w:header="0"/>
        </w:sectPr>
      </w:pPr>
    </w:p>
    <w:bookmarkStart w:id="32" w:name="page33"/>
    <w:bookmarkEnd w:id="32"/>
    <w:p>
      <w:pPr>
        <w:ind w:left="66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610870</wp:posOffset>
            </wp:positionH>
            <wp:positionV relativeFrom="page">
              <wp:posOffset>391795</wp:posOffset>
            </wp:positionV>
            <wp:extent cx="653732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537325" cy="17145"/>
                    </a:xfrm>
                    <a:prstGeom prst="rect">
                      <a:avLst/>
                    </a:prstGeom>
                    <a:noFill/>
                  </pic:spPr>
                </pic:pic>
              </a:graphicData>
            </a:graphic>
          </wp:anchor>
        </w:drawing>
        <w:t>Capital Bancorp, Inc. and Subsidiaries</w:t>
      </w:r>
    </w:p>
    <w:p>
      <w:pPr>
        <w:ind w:left="66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6350</wp:posOffset>
            </wp:positionV>
            <wp:extent cx="6537325" cy="165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537325" cy="16510"/>
                    </a:xfrm>
                    <a:prstGeom prst="rect">
                      <a:avLst/>
                    </a:prstGeom>
                    <a:noFill/>
                  </pic:spPr>
                </pic:pic>
              </a:graphicData>
            </a:graphic>
          </wp:anchor>
        </w:drawing>
      </w:r>
    </w:p>
    <w:p>
      <w:pPr>
        <w:spacing w:after="0" w:line="26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 8 - Fair Value (continued)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firstLine="318"/>
        <w:spacing w:after="0" w:line="274" w:lineRule="auto"/>
        <w:rPr>
          <w:sz w:val="20"/>
          <w:szCs w:val="20"/>
          <w:color w:val="auto"/>
        </w:rPr>
      </w:pPr>
      <w:r>
        <w:rPr>
          <w:rFonts w:ascii="Arial" w:cs="Arial" w:eastAsia="Arial" w:hAnsi="Arial"/>
          <w:sz w:val="18"/>
          <w:szCs w:val="18"/>
          <w:color w:val="auto"/>
        </w:rPr>
        <w:t>The Company has categorized its financial instruments measured at fair value on a recurring basis as of March 31, 2022 and December 31, 2021 as follows:</w:t>
      </w:r>
    </w:p>
    <w:p>
      <w:pPr>
        <w:spacing w:after="0" w:line="20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Fair Value of Financial Instruments</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1"/>
          <w:szCs w:val="11"/>
          <w:color w:val="auto"/>
        </w:rPr>
        <w:t>(in thousands)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gridSpan w:val="3"/>
          </w:tcPr>
          <w:p>
            <w:pPr>
              <w:spacing w:after="0"/>
              <w:rPr>
                <w:sz w:val="20"/>
                <w:szCs w:val="20"/>
                <w:color w:val="auto"/>
              </w:rPr>
            </w:pPr>
            <w:r>
              <w:rPr>
                <w:rFonts w:ascii="Arial" w:cs="Arial" w:eastAsia="Arial" w:hAnsi="Arial"/>
                <w:sz w:val="14"/>
                <w:szCs w:val="14"/>
                <w:b w:val="1"/>
                <w:bCs w:val="1"/>
                <w:color w:val="auto"/>
              </w:rPr>
              <w:t>March 31, 2022</w:t>
            </w:r>
          </w:p>
        </w:tc>
        <w:tc>
          <w:tcPr>
            <w:tcW w:w="260" w:type="dxa"/>
            <w:vAlign w:val="bottom"/>
          </w:tcPr>
          <w:p>
            <w:pPr>
              <w:spacing w:after="0"/>
              <w:rPr>
                <w:sz w:val="14"/>
                <w:szCs w:val="14"/>
                <w:color w:val="auto"/>
              </w:rPr>
            </w:pPr>
          </w:p>
        </w:tc>
        <w:tc>
          <w:tcPr>
            <w:tcW w:w="106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4"/>
                <w:szCs w:val="14"/>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1 Inputs</w:t>
            </w:r>
          </w:p>
        </w:tc>
        <w:tc>
          <w:tcPr>
            <w:tcW w:w="100" w:type="dxa"/>
            <w:vAlign w:val="bottom"/>
          </w:tcPr>
          <w:p>
            <w:pPr>
              <w:spacing w:after="0"/>
              <w:rPr>
                <w:sz w:val="14"/>
                <w:szCs w:val="14"/>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2 Inputs</w:t>
            </w:r>
          </w:p>
        </w:tc>
        <w:tc>
          <w:tcPr>
            <w:tcW w:w="12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b w:val="1"/>
                <w:bCs w:val="1"/>
                <w:color w:val="auto"/>
                <w:w w:val="98"/>
              </w:rPr>
              <w:t>Level 3 Inputs</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47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78"/>
        </w:trPr>
        <w:tc>
          <w:tcPr>
            <w:tcW w:w="20" w:type="dxa"/>
            <w:vAlign w:val="bottom"/>
            <w:shd w:val="clear" w:color="auto" w:fill="CCEEFF"/>
          </w:tcPr>
          <w:p>
            <w:pPr>
              <w:spacing w:after="0"/>
              <w:rPr>
                <w:sz w:val="15"/>
                <w:szCs w:val="15"/>
                <w:color w:val="auto"/>
              </w:rPr>
            </w:pPr>
          </w:p>
        </w:tc>
        <w:tc>
          <w:tcPr>
            <w:tcW w:w="60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Investment securities available for sale</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98"/>
        </w:trPr>
        <w:tc>
          <w:tcPr>
            <w:tcW w:w="20" w:type="dxa"/>
            <w:vAlign w:val="bottom"/>
          </w:tcPr>
          <w:p>
            <w:pPr>
              <w:spacing w:after="0"/>
              <w:rPr>
                <w:sz w:val="17"/>
                <w:szCs w:val="17"/>
                <w:color w:val="auto"/>
              </w:rPr>
            </w:pPr>
          </w:p>
        </w:tc>
        <w:tc>
          <w:tcPr>
            <w:tcW w:w="6040" w:type="dxa"/>
            <w:vAlign w:val="bottom"/>
            <w:gridSpan w:val="3"/>
          </w:tcPr>
          <w:p>
            <w:pPr>
              <w:ind w:left="120"/>
              <w:spacing w:after="0"/>
              <w:rPr>
                <w:sz w:val="20"/>
                <w:szCs w:val="20"/>
                <w:color w:val="auto"/>
              </w:rPr>
            </w:pPr>
            <w:r>
              <w:rPr>
                <w:rFonts w:ascii="Arial" w:cs="Arial" w:eastAsia="Arial" w:hAnsi="Arial"/>
                <w:sz w:val="14"/>
                <w:szCs w:val="14"/>
                <w:color w:val="auto"/>
              </w:rPr>
              <w:t>U.S. Treasuries</w:t>
            </w:r>
          </w:p>
        </w:tc>
        <w:tc>
          <w:tcPr>
            <w:tcW w:w="260" w:type="dxa"/>
            <w:vAlign w:val="bottom"/>
          </w:tcPr>
          <w:p>
            <w:pPr>
              <w:jc w:val="right"/>
              <w:ind w:right="89"/>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124,200</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gridSpan w:val="2"/>
          </w:tcPr>
          <w:p>
            <w:pPr>
              <w:ind w:left="8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124,200</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199"/>
        </w:trPr>
        <w:tc>
          <w:tcPr>
            <w:tcW w:w="20" w:type="dxa"/>
            <w:vAlign w:val="bottom"/>
            <w:shd w:val="clear" w:color="auto" w:fill="CCEEFF"/>
          </w:tcPr>
          <w:p>
            <w:pPr>
              <w:spacing w:after="0"/>
              <w:rPr>
                <w:sz w:val="17"/>
                <w:szCs w:val="17"/>
                <w:color w:val="auto"/>
              </w:rPr>
            </w:pPr>
          </w:p>
        </w:tc>
        <w:tc>
          <w:tcPr>
            <w:tcW w:w="60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Municipal</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9,414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88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9,414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r>
      <w:tr>
        <w:trPr>
          <w:trHeight w:val="198"/>
        </w:trPr>
        <w:tc>
          <w:tcPr>
            <w:tcW w:w="20" w:type="dxa"/>
            <w:vAlign w:val="bottom"/>
          </w:tcPr>
          <w:p>
            <w:pPr>
              <w:spacing w:after="0"/>
              <w:rPr>
                <w:sz w:val="17"/>
                <w:szCs w:val="17"/>
                <w:color w:val="auto"/>
              </w:rPr>
            </w:pPr>
          </w:p>
        </w:tc>
        <w:tc>
          <w:tcPr>
            <w:tcW w:w="6040" w:type="dxa"/>
            <w:vAlign w:val="bottom"/>
            <w:gridSpan w:val="3"/>
          </w:tcPr>
          <w:p>
            <w:pPr>
              <w:ind w:left="120"/>
              <w:spacing w:after="0"/>
              <w:rPr>
                <w:sz w:val="20"/>
                <w:szCs w:val="20"/>
                <w:color w:val="auto"/>
              </w:rPr>
            </w:pPr>
            <w:r>
              <w:rPr>
                <w:rFonts w:ascii="Arial" w:cs="Arial" w:eastAsia="Arial" w:hAnsi="Arial"/>
                <w:sz w:val="14"/>
                <w:szCs w:val="14"/>
                <w:color w:val="auto"/>
              </w:rPr>
              <w:t>Corporate</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4,847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ind w:left="8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4,847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26"/>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Asset-backed securities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9,823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9,823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198"/>
        </w:trPr>
        <w:tc>
          <w:tcPr>
            <w:tcW w:w="20" w:type="dxa"/>
            <w:vAlign w:val="bottom"/>
            <w:tcBorders>
              <w:bottom w:val="single" w:sz="8" w:color="CCEEFF"/>
            </w:tcBorders>
          </w:tcPr>
          <w:p>
            <w:pPr>
              <w:spacing w:after="0"/>
              <w:rPr>
                <w:sz w:val="17"/>
                <w:szCs w:val="17"/>
                <w:color w:val="auto"/>
              </w:rPr>
            </w:pPr>
          </w:p>
        </w:tc>
        <w:tc>
          <w:tcPr>
            <w:tcW w:w="6040" w:type="dxa"/>
            <w:vAlign w:val="bottom"/>
            <w:tcBorders>
              <w:bottom w:val="single" w:sz="8" w:color="CCEEFF"/>
            </w:tcBorders>
            <w:gridSpan w:val="3"/>
          </w:tcPr>
          <w:p>
            <w:pPr>
              <w:ind w:left="120"/>
              <w:spacing w:after="0"/>
              <w:rPr>
                <w:sz w:val="20"/>
                <w:szCs w:val="20"/>
                <w:color w:val="auto"/>
              </w:rPr>
            </w:pPr>
            <w:r>
              <w:rPr>
                <w:rFonts w:ascii="Arial" w:cs="Arial" w:eastAsia="Arial" w:hAnsi="Arial"/>
                <w:sz w:val="14"/>
                <w:szCs w:val="14"/>
                <w:color w:val="auto"/>
              </w:rPr>
              <w:t>Mortgage-backed securities</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24,428</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ind w:left="88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24,428</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r>
      <w:tr>
        <w:trPr>
          <w:trHeight w:val="213"/>
        </w:trPr>
        <w:tc>
          <w:tcPr>
            <w:tcW w:w="20" w:type="dxa"/>
            <w:vAlign w:val="bottom"/>
            <w:tcBorders>
              <w:bottom w:val="single" w:sz="8" w:color="CCEEFF"/>
            </w:tcBorders>
            <w:shd w:val="clear" w:color="auto" w:fill="CCEEFF"/>
          </w:tcPr>
          <w:p>
            <w:pPr>
              <w:spacing w:after="0"/>
              <w:rPr>
                <w:sz w:val="18"/>
                <w:szCs w:val="18"/>
                <w:color w:val="auto"/>
              </w:rPr>
            </w:pPr>
          </w:p>
        </w:tc>
        <w:tc>
          <w:tcPr>
            <w:tcW w:w="604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172,712</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172,712</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6040" w:type="dxa"/>
            <w:vAlign w:val="bottom"/>
            <w:gridSpan w:val="3"/>
          </w:tcPr>
          <w:p>
            <w:pPr>
              <w:spacing w:after="0"/>
              <w:rPr>
                <w:sz w:val="20"/>
                <w:szCs w:val="20"/>
                <w:color w:val="auto"/>
              </w:rPr>
            </w:pPr>
            <w:r>
              <w:rPr>
                <w:rFonts w:ascii="Arial" w:cs="Arial" w:eastAsia="Arial" w:hAnsi="Arial"/>
                <w:sz w:val="14"/>
                <w:szCs w:val="14"/>
                <w:color w:val="auto"/>
              </w:rPr>
              <w:t>Marketable equity securities</w:t>
            </w:r>
          </w:p>
        </w:tc>
        <w:tc>
          <w:tcPr>
            <w:tcW w:w="260" w:type="dxa"/>
            <w:vAlign w:val="bottom"/>
          </w:tcPr>
          <w:p>
            <w:pPr>
              <w:jc w:val="right"/>
              <w:ind w:right="89"/>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245</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gridSpan w:val="2"/>
          </w:tcPr>
          <w:p>
            <w:pPr>
              <w:ind w:left="8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245</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476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212"/>
        </w:trPr>
        <w:tc>
          <w:tcPr>
            <w:tcW w:w="20" w:type="dxa"/>
            <w:vAlign w:val="bottom"/>
            <w:tcBorders>
              <w:bottom w:val="single" w:sz="8" w:color="CCEEFF"/>
            </w:tcBorders>
            <w:shd w:val="clear" w:color="auto" w:fill="CCEEFF"/>
          </w:tcPr>
          <w:p>
            <w:pPr>
              <w:spacing w:after="0"/>
              <w:rPr>
                <w:sz w:val="18"/>
                <w:szCs w:val="18"/>
                <w:color w:val="auto"/>
              </w:rPr>
            </w:pPr>
          </w:p>
        </w:tc>
        <w:tc>
          <w:tcPr>
            <w:tcW w:w="60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Loans held for sale</w:t>
            </w: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17,036</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17,036</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6040" w:type="dxa"/>
            <w:vAlign w:val="bottom"/>
            <w:gridSpan w:val="3"/>
          </w:tcPr>
          <w:p>
            <w:pPr>
              <w:spacing w:after="0"/>
              <w:rPr>
                <w:sz w:val="20"/>
                <w:szCs w:val="20"/>
                <w:color w:val="auto"/>
              </w:rPr>
            </w:pPr>
            <w:r>
              <w:rPr>
                <w:rFonts w:ascii="Arial" w:cs="Arial" w:eastAsia="Arial" w:hAnsi="Arial"/>
                <w:sz w:val="14"/>
                <w:szCs w:val="14"/>
                <w:color w:val="auto"/>
              </w:rPr>
              <w:t>Derivative assets</w:t>
            </w:r>
          </w:p>
        </w:tc>
        <w:tc>
          <w:tcPr>
            <w:tcW w:w="260" w:type="dxa"/>
            <w:vAlign w:val="bottom"/>
          </w:tcPr>
          <w:p>
            <w:pPr>
              <w:jc w:val="right"/>
              <w:ind w:right="89"/>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120</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gridSpan w:val="2"/>
          </w:tcPr>
          <w:p>
            <w:pPr>
              <w:ind w:left="8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120</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476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185"/>
        </w:trPr>
        <w:tc>
          <w:tcPr>
            <w:tcW w:w="20" w:type="dxa"/>
            <w:vAlign w:val="bottom"/>
            <w:shd w:val="clear" w:color="auto" w:fill="CCEEFF"/>
          </w:tcPr>
          <w:p>
            <w:pPr>
              <w:spacing w:after="0"/>
              <w:rPr>
                <w:sz w:val="16"/>
                <w:szCs w:val="16"/>
                <w:color w:val="auto"/>
              </w:rPr>
            </w:pPr>
          </w:p>
        </w:tc>
        <w:tc>
          <w:tcPr>
            <w:tcW w:w="60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Derivative liabilities</w:t>
            </w: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gridSpan w:val="2"/>
            <w:shd w:val="clear" w:color="auto" w:fill="CCEEFF"/>
          </w:tcPr>
          <w:p>
            <w:pPr>
              <w:ind w:left="88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79"/>
        </w:trPr>
        <w:tc>
          <w:tcPr>
            <w:tcW w:w="2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auto"/>
            </w:tcBorders>
            <w:gridSpan w:val="2"/>
            <w:shd w:val="clear" w:color="auto" w:fill="CCEEFF"/>
          </w:tcPr>
          <w:p>
            <w:pPr>
              <w:spacing w:after="0" w:line="159" w:lineRule="exact"/>
              <w:rPr>
                <w:sz w:val="20"/>
                <w:szCs w:val="20"/>
                <w:color w:val="auto"/>
              </w:rPr>
            </w:pPr>
            <w:r>
              <w:rPr>
                <w:rFonts w:ascii="Arial" w:cs="Arial" w:eastAsia="Arial" w:hAnsi="Arial"/>
                <w:sz w:val="14"/>
                <w:szCs w:val="14"/>
                <w:b w:val="1"/>
                <w:bCs w:val="1"/>
                <w:color w:val="auto"/>
                <w:w w:val="99"/>
              </w:rPr>
              <w:t>December 31, 2021</w:t>
            </w:r>
          </w:p>
        </w:tc>
        <w:tc>
          <w:tcPr>
            <w:tcW w:w="47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r>
      <w:tr>
        <w:trPr>
          <w:trHeight w:val="194"/>
        </w:trPr>
        <w:tc>
          <w:tcPr>
            <w:tcW w:w="20" w:type="dxa"/>
            <w:vAlign w:val="bottom"/>
          </w:tcPr>
          <w:p>
            <w:pPr>
              <w:spacing w:after="0"/>
              <w:rPr>
                <w:sz w:val="16"/>
                <w:szCs w:val="16"/>
                <w:color w:val="auto"/>
              </w:rPr>
            </w:pPr>
          </w:p>
        </w:tc>
        <w:tc>
          <w:tcPr>
            <w:tcW w:w="6040" w:type="dxa"/>
            <w:vAlign w:val="bottom"/>
            <w:gridSpan w:val="3"/>
          </w:tcPr>
          <w:p>
            <w:pPr>
              <w:spacing w:after="0"/>
              <w:rPr>
                <w:sz w:val="20"/>
                <w:szCs w:val="20"/>
                <w:color w:val="auto"/>
              </w:rPr>
            </w:pPr>
            <w:r>
              <w:rPr>
                <w:rFonts w:ascii="Arial" w:cs="Arial" w:eastAsia="Arial" w:hAnsi="Arial"/>
                <w:sz w:val="14"/>
                <w:szCs w:val="14"/>
                <w:color w:val="auto"/>
              </w:rPr>
              <w:t>Investment securities available for sale</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03"/>
        </w:trPr>
        <w:tc>
          <w:tcPr>
            <w:tcW w:w="20" w:type="dxa"/>
            <w:vAlign w:val="bottom"/>
            <w:shd w:val="clear" w:color="auto" w:fill="CCEEFF"/>
          </w:tcPr>
          <w:p>
            <w:pPr>
              <w:spacing w:after="0"/>
              <w:rPr>
                <w:sz w:val="17"/>
                <w:szCs w:val="17"/>
                <w:color w:val="auto"/>
              </w:rPr>
            </w:pPr>
          </w:p>
        </w:tc>
        <w:tc>
          <w:tcPr>
            <w:tcW w:w="60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U.S. Treasuries</w:t>
            </w: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131,001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131,001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4"/>
        </w:trPr>
        <w:tc>
          <w:tcPr>
            <w:tcW w:w="20" w:type="dxa"/>
            <w:vAlign w:val="bottom"/>
          </w:tcPr>
          <w:p>
            <w:pPr>
              <w:spacing w:after="0"/>
              <w:rPr>
                <w:sz w:val="16"/>
                <w:szCs w:val="16"/>
                <w:color w:val="auto"/>
              </w:rPr>
            </w:pPr>
          </w:p>
        </w:tc>
        <w:tc>
          <w:tcPr>
            <w:tcW w:w="6040" w:type="dxa"/>
            <w:vAlign w:val="bottom"/>
            <w:gridSpan w:val="3"/>
          </w:tcPr>
          <w:p>
            <w:pPr>
              <w:ind w:left="120"/>
              <w:spacing w:after="0"/>
              <w:rPr>
                <w:sz w:val="20"/>
                <w:szCs w:val="20"/>
                <w:color w:val="auto"/>
              </w:rPr>
            </w:pPr>
            <w:r>
              <w:rPr>
                <w:rFonts w:ascii="Arial" w:cs="Arial" w:eastAsia="Arial" w:hAnsi="Arial"/>
                <w:sz w:val="14"/>
                <w:szCs w:val="14"/>
                <w:color w:val="auto"/>
              </w:rPr>
              <w:t>Municipal</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10,474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10,474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20" w:type="dxa"/>
            <w:vAlign w:val="bottom"/>
            <w:shd w:val="clear" w:color="auto" w:fill="CCEEFF"/>
          </w:tcPr>
          <w:p>
            <w:pPr>
              <w:spacing w:after="0"/>
              <w:rPr>
                <w:sz w:val="17"/>
                <w:szCs w:val="17"/>
                <w:color w:val="auto"/>
              </w:rPr>
            </w:pPr>
          </w:p>
        </w:tc>
        <w:tc>
          <w:tcPr>
            <w:tcW w:w="60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Corporate</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4,934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4,934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25"/>
        </w:trPr>
        <w:tc>
          <w:tcPr>
            <w:tcW w:w="20" w:type="dxa"/>
            <w:vAlign w:val="bottom"/>
          </w:tcPr>
          <w:p>
            <w:pPr>
              <w:spacing w:after="0"/>
              <w:rPr>
                <w:sz w:val="19"/>
                <w:szCs w:val="19"/>
                <w:color w:val="auto"/>
              </w:rPr>
            </w:pPr>
          </w:p>
        </w:tc>
        <w:tc>
          <w:tcPr>
            <w:tcW w:w="6040" w:type="dxa"/>
            <w:vAlign w:val="bottom"/>
            <w:gridSpan w:val="3"/>
          </w:tcPr>
          <w:p>
            <w:pPr>
              <w:ind w:left="120"/>
              <w:spacing w:after="0"/>
              <w:rPr>
                <w:sz w:val="20"/>
                <w:szCs w:val="20"/>
                <w:color w:val="auto"/>
              </w:rPr>
            </w:pPr>
            <w:r>
              <w:rPr>
                <w:rFonts w:ascii="Arial" w:cs="Arial" w:eastAsia="Arial" w:hAnsi="Arial"/>
                <w:sz w:val="14"/>
                <w:szCs w:val="14"/>
                <w:color w:val="auto"/>
              </w:rPr>
              <w:t>Asset-backed securities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10,140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10,140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194"/>
        </w:trPr>
        <w:tc>
          <w:tcPr>
            <w:tcW w:w="20" w:type="dxa"/>
            <w:vAlign w:val="bottom"/>
            <w:shd w:val="clear" w:color="auto" w:fill="CCEEFF"/>
          </w:tcPr>
          <w:p>
            <w:pPr>
              <w:spacing w:after="0"/>
              <w:rPr>
                <w:sz w:val="16"/>
                <w:szCs w:val="16"/>
                <w:color w:val="auto"/>
              </w:rPr>
            </w:pPr>
          </w:p>
        </w:tc>
        <w:tc>
          <w:tcPr>
            <w:tcW w:w="60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Mortgage-backed securities</w:t>
            </w:r>
          </w:p>
        </w:tc>
        <w:tc>
          <w:tcPr>
            <w:tcW w:w="2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27,906</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27,906</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20" w:type="dxa"/>
            <w:vAlign w:val="bottom"/>
          </w:tcPr>
          <w:p>
            <w:pPr>
              <w:spacing w:after="0"/>
              <w:rPr>
                <w:sz w:val="17"/>
                <w:szCs w:val="17"/>
                <w:color w:val="auto"/>
              </w:rPr>
            </w:pPr>
          </w:p>
        </w:tc>
        <w:tc>
          <w:tcPr>
            <w:tcW w:w="6040" w:type="dxa"/>
            <w:vAlign w:val="bottom"/>
            <w:gridSpan w:val="3"/>
          </w:tcPr>
          <w:p>
            <w:pPr>
              <w:ind w:left="200"/>
              <w:spacing w:after="0"/>
              <w:rPr>
                <w:sz w:val="20"/>
                <w:szCs w:val="20"/>
                <w:color w:val="auto"/>
              </w:rPr>
            </w:pPr>
            <w:r>
              <w:rPr>
                <w:rFonts w:ascii="Arial" w:cs="Arial" w:eastAsia="Arial" w:hAnsi="Arial"/>
                <w:sz w:val="14"/>
                <w:szCs w:val="14"/>
                <w:color w:val="auto"/>
              </w:rPr>
              <w:t>Total</w:t>
            </w: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184,455</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184,455</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476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212"/>
        </w:trPr>
        <w:tc>
          <w:tcPr>
            <w:tcW w:w="20" w:type="dxa"/>
            <w:vAlign w:val="bottom"/>
            <w:tcBorders>
              <w:bottom w:val="single" w:sz="8" w:color="CCEEFF"/>
            </w:tcBorders>
            <w:shd w:val="clear" w:color="auto" w:fill="CCEEFF"/>
          </w:tcPr>
          <w:p>
            <w:pPr>
              <w:spacing w:after="0"/>
              <w:rPr>
                <w:sz w:val="18"/>
                <w:szCs w:val="18"/>
                <w:color w:val="auto"/>
              </w:rPr>
            </w:pPr>
          </w:p>
        </w:tc>
        <w:tc>
          <w:tcPr>
            <w:tcW w:w="60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Marketable equity securities</w:t>
            </w: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6040" w:type="dxa"/>
            <w:vAlign w:val="bottom"/>
            <w:gridSpan w:val="3"/>
          </w:tcPr>
          <w:p>
            <w:pPr>
              <w:spacing w:after="0"/>
              <w:rPr>
                <w:sz w:val="20"/>
                <w:szCs w:val="20"/>
                <w:color w:val="auto"/>
              </w:rPr>
            </w:pPr>
            <w:r>
              <w:rPr>
                <w:rFonts w:ascii="Arial" w:cs="Arial" w:eastAsia="Arial" w:hAnsi="Arial"/>
                <w:sz w:val="14"/>
                <w:szCs w:val="14"/>
                <w:color w:val="auto"/>
              </w:rPr>
              <w:t>Loans held for sale</w:t>
            </w: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15,989</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15,989</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476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212"/>
        </w:trPr>
        <w:tc>
          <w:tcPr>
            <w:tcW w:w="20" w:type="dxa"/>
            <w:vAlign w:val="bottom"/>
            <w:tcBorders>
              <w:bottom w:val="single" w:sz="8" w:color="CCEEFF"/>
            </w:tcBorders>
            <w:shd w:val="clear" w:color="auto" w:fill="CCEEFF"/>
          </w:tcPr>
          <w:p>
            <w:pPr>
              <w:spacing w:after="0"/>
              <w:rPr>
                <w:sz w:val="18"/>
                <w:szCs w:val="18"/>
                <w:color w:val="auto"/>
              </w:rPr>
            </w:pPr>
          </w:p>
        </w:tc>
        <w:tc>
          <w:tcPr>
            <w:tcW w:w="60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Derivative assets</w:t>
            </w: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6040" w:type="dxa"/>
            <w:vAlign w:val="bottom"/>
            <w:gridSpan w:val="3"/>
          </w:tcPr>
          <w:p>
            <w:pPr>
              <w:spacing w:after="0"/>
              <w:rPr>
                <w:sz w:val="20"/>
                <w:szCs w:val="20"/>
                <w:color w:val="auto"/>
              </w:rPr>
            </w:pPr>
            <w:r>
              <w:rPr>
                <w:rFonts w:ascii="Arial" w:cs="Arial" w:eastAsia="Arial" w:hAnsi="Arial"/>
                <w:sz w:val="14"/>
                <w:szCs w:val="14"/>
                <w:color w:val="auto"/>
              </w:rPr>
              <w:t>Derivative liabilities</w:t>
            </w: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recorded using FASB ASC 825-10</w:t>
      </w:r>
    </w:p>
    <w:p>
      <w:pPr>
        <w:spacing w:after="0" w:line="2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Under FASB ASC 825-10, the Company may elect to report most financial instruments and certain other items at fair value on an instrument-by-instrument basis with changes in fair value reported in net income. After the initial adoption, the election is made at the acquisition of an eligible financial asset, financial liability or firm commitment or when certain specified reconsideration events occur. The fair value election, with respect to an item, may not be revoked once an election is made.</w:t>
      </w:r>
    </w:p>
    <w:p>
      <w:pPr>
        <w:spacing w:after="0" w:line="180"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The following table reflects the difference between the fair value carrying amount of loans held for sale, measured at fair value under FASB ASC 825-10, and the aggregate unpaid principal amount the Company is contractually entitled to receive at maturity:</w:t>
      </w:r>
    </w:p>
    <w:p>
      <w:pPr>
        <w:spacing w:after="0" w:line="206"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Fair Value of Loans Held for Sale</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714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280" w:type="dxa"/>
            <w:vAlign w:val="bottom"/>
          </w:tcPr>
          <w:p>
            <w:pPr>
              <w:spacing w:after="0"/>
              <w:rPr>
                <w:sz w:val="16"/>
                <w:szCs w:val="16"/>
                <w:color w:val="auto"/>
              </w:rPr>
            </w:pPr>
          </w:p>
        </w:tc>
        <w:tc>
          <w:tcPr>
            <w:tcW w:w="180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 2022</w:t>
            </w:r>
          </w:p>
        </w:tc>
        <w:tc>
          <w:tcPr>
            <w:tcW w:w="200" w:type="dxa"/>
            <w:vAlign w:val="bottom"/>
          </w:tcPr>
          <w:p>
            <w:pPr>
              <w:spacing w:after="0"/>
              <w:rPr>
                <w:sz w:val="16"/>
                <w:szCs w:val="16"/>
                <w:color w:val="auto"/>
              </w:rPr>
            </w:pPr>
          </w:p>
        </w:tc>
        <w:tc>
          <w:tcPr>
            <w:tcW w:w="1760" w:type="dxa"/>
            <w:vAlign w:val="bottom"/>
          </w:tcPr>
          <w:p>
            <w:pPr>
              <w:jc w:val="right"/>
              <w:ind w:right="289"/>
              <w:spacing w:after="0"/>
              <w:rPr>
                <w:sz w:val="20"/>
                <w:szCs w:val="20"/>
                <w:color w:val="auto"/>
              </w:rPr>
            </w:pPr>
            <w:r>
              <w:rPr>
                <w:rFonts w:ascii="Arial" w:cs="Arial" w:eastAsia="Arial" w:hAnsi="Arial"/>
                <w:sz w:val="14"/>
                <w:szCs w:val="14"/>
                <w:b w:val="1"/>
                <w:bCs w:val="1"/>
                <w:color w:val="auto"/>
              </w:rPr>
              <w:t>December 31, 2021</w:t>
            </w:r>
          </w:p>
        </w:tc>
      </w:tr>
      <w:tr>
        <w:trPr>
          <w:trHeight w:val="192"/>
        </w:trPr>
        <w:tc>
          <w:tcPr>
            <w:tcW w:w="7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Aggregate fair value</w:t>
            </w: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b w:val="1"/>
                <w:bCs w:val="1"/>
                <w:color w:val="auto"/>
                <w:w w:val="76"/>
              </w:rPr>
              <w:t>$</w:t>
            </w:r>
          </w:p>
        </w:tc>
        <w:tc>
          <w:tcPr>
            <w:tcW w:w="168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17,036</w:t>
            </w: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7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15,989</w:t>
            </w:r>
          </w:p>
        </w:tc>
      </w:tr>
      <w:tr>
        <w:trPr>
          <w:trHeight w:val="198"/>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Contractual principal</w:t>
            </w:r>
          </w:p>
        </w:tc>
        <w:tc>
          <w:tcPr>
            <w:tcW w:w="2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16,191</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14,504</w:t>
            </w:r>
          </w:p>
        </w:tc>
      </w:tr>
      <w:tr>
        <w:trPr>
          <w:trHeight w:val="218"/>
        </w:trPr>
        <w:tc>
          <w:tcPr>
            <w:tcW w:w="7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Difference</w:t>
            </w: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b w:val="1"/>
                <w:bCs w:val="1"/>
                <w:color w:val="auto"/>
                <w:w w:val="76"/>
              </w:rPr>
              <w:t>$</w:t>
            </w:r>
          </w:p>
        </w:tc>
        <w:tc>
          <w:tcPr>
            <w:tcW w:w="16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845</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7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1,485</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6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260985</wp:posOffset>
            </wp:positionV>
            <wp:extent cx="716026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617" w:right="339" w:bottom="1440" w:gutter="0" w:footer="0" w:header="0"/>
          <w:type w:val="continuous"/>
        </w:sectPr>
      </w:pPr>
    </w:p>
    <w:bookmarkStart w:id="33" w:name="page34"/>
    <w:bookmarkEnd w:id="33"/>
    <w:p>
      <w:pPr>
        <w:ind w:left="66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610870</wp:posOffset>
            </wp:positionH>
            <wp:positionV relativeFrom="page">
              <wp:posOffset>391795</wp:posOffset>
            </wp:positionV>
            <wp:extent cx="653732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537325" cy="17145"/>
                    </a:xfrm>
                    <a:prstGeom prst="rect">
                      <a:avLst/>
                    </a:prstGeom>
                    <a:noFill/>
                  </pic:spPr>
                </pic:pic>
              </a:graphicData>
            </a:graphic>
          </wp:anchor>
        </w:drawing>
        <w:t>Capital Bancorp, Inc. and Subsidiaries</w:t>
      </w:r>
    </w:p>
    <w:p>
      <w:pPr>
        <w:ind w:left="66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6350</wp:posOffset>
            </wp:positionV>
            <wp:extent cx="653732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537325" cy="17145"/>
                    </a:xfrm>
                    <a:prstGeom prst="rect">
                      <a:avLst/>
                    </a:prstGeom>
                    <a:noFill/>
                  </pic:spPr>
                </pic:pic>
              </a:graphicData>
            </a:graphic>
          </wp:anchor>
        </w:drawing>
      </w:r>
    </w:p>
    <w:p>
      <w:pPr>
        <w:spacing w:after="0" w:line="26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 8 - Fair Value (continued)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ind w:right="100" w:firstLine="318"/>
        <w:spacing w:after="0" w:line="274" w:lineRule="auto"/>
        <w:rPr>
          <w:sz w:val="20"/>
          <w:szCs w:val="20"/>
          <w:color w:val="auto"/>
        </w:rPr>
      </w:pPr>
      <w:r>
        <w:rPr>
          <w:rFonts w:ascii="Arial" w:cs="Arial" w:eastAsia="Arial" w:hAnsi="Arial"/>
          <w:sz w:val="18"/>
          <w:szCs w:val="18"/>
          <w:color w:val="auto"/>
        </w:rPr>
        <w:t>The Company has elected to account for loans held for sale at fair value to eliminate the mismatch that would occur by recording changes in market value on derivative instruments used to hedge loans held for sale while carrying the loans at the lower of cost or market.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 on a nonrecurring basis</w:t>
      </w:r>
    </w:p>
    <w:p>
      <w:pPr>
        <w:spacing w:after="0" w:line="217" w:lineRule="exact"/>
        <w:rPr>
          <w:sz w:val="20"/>
          <w:szCs w:val="20"/>
          <w:color w:val="auto"/>
        </w:rPr>
      </w:pPr>
    </w:p>
    <w:p>
      <w:pPr>
        <w:jc w:val="both"/>
        <w:ind w:right="100" w:firstLine="318"/>
        <w:spacing w:after="0" w:line="255" w:lineRule="auto"/>
        <w:rPr>
          <w:sz w:val="20"/>
          <w:szCs w:val="20"/>
          <w:color w:val="auto"/>
        </w:rPr>
      </w:pPr>
      <w:r>
        <w:rPr>
          <w:rFonts w:ascii="Arial" w:cs="Arial" w:eastAsia="Arial" w:hAnsi="Arial"/>
          <w:sz w:val="18"/>
          <w:szCs w:val="18"/>
          <w:i w:val="1"/>
          <w:iCs w:val="1"/>
          <w:color w:val="auto"/>
        </w:rPr>
        <w:t xml:space="preserve">Impaired loans </w:t>
      </w:r>
      <w:r>
        <w:rPr>
          <w:rFonts w:ascii="Arial" w:cs="Arial" w:eastAsia="Arial" w:hAnsi="Arial"/>
          <w:sz w:val="18"/>
          <w:szCs w:val="18"/>
          <w:color w:val="auto"/>
        </w:rPr>
        <w:t>- The Company has measured impairment generally based on the fair value of the loan's collateral and discounted cash flow</w:t>
      </w:r>
      <w:r>
        <w:rPr>
          <w:rFonts w:ascii="Arial" w:cs="Arial" w:eastAsia="Arial" w:hAnsi="Arial"/>
          <w:sz w:val="18"/>
          <w:szCs w:val="18"/>
          <w:i w:val="1"/>
          <w:iCs w:val="1"/>
          <w:color w:val="auto"/>
        </w:rPr>
        <w:t xml:space="preserve"> </w:t>
      </w:r>
      <w:r>
        <w:rPr>
          <w:rFonts w:ascii="Arial" w:cs="Arial" w:eastAsia="Arial" w:hAnsi="Arial"/>
          <w:sz w:val="18"/>
          <w:szCs w:val="18"/>
          <w:color w:val="auto"/>
        </w:rPr>
        <w:t>analysis. Fair value is generally determined based upon independent third-party appraisals of the properties, or discounted cash flows based upon the expected proceeds. These assets are included as Level 3 fair values. As of March 31, 2022 and December 31, 2021, the fair values consist of loan balances of $5.6 million and $11.3 million, with specific reserves of $204 thousand and $218 thousand, respectively.</w:t>
      </w:r>
    </w:p>
    <w:p>
      <w:pPr>
        <w:spacing w:after="0" w:line="180" w:lineRule="exact"/>
        <w:rPr>
          <w:sz w:val="20"/>
          <w:szCs w:val="20"/>
          <w:color w:val="auto"/>
        </w:rPr>
      </w:pPr>
    </w:p>
    <w:p>
      <w:pPr>
        <w:jc w:val="both"/>
        <w:ind w:right="100" w:firstLine="318"/>
        <w:spacing w:after="0" w:line="260" w:lineRule="auto"/>
        <w:rPr>
          <w:sz w:val="20"/>
          <w:szCs w:val="20"/>
          <w:color w:val="auto"/>
        </w:rPr>
      </w:pPr>
      <w:r>
        <w:rPr>
          <w:rFonts w:ascii="Arial" w:cs="Arial" w:eastAsia="Arial" w:hAnsi="Arial"/>
          <w:sz w:val="18"/>
          <w:szCs w:val="18"/>
          <w:i w:val="1"/>
          <w:iCs w:val="1"/>
          <w:color w:val="auto"/>
        </w:rPr>
        <w:t xml:space="preserve">Foreclosed real estate </w:t>
      </w:r>
      <w:r>
        <w:rPr>
          <w:rFonts w:ascii="Arial" w:cs="Arial" w:eastAsia="Arial" w:hAnsi="Arial"/>
          <w:sz w:val="18"/>
          <w:szCs w:val="18"/>
          <w:color w:val="auto"/>
        </w:rPr>
        <w:t>- The Company's foreclosed real estate is measured at fair value less cost to sell. Fair value was determined based</w:t>
      </w:r>
      <w:r>
        <w:rPr>
          <w:rFonts w:ascii="Arial" w:cs="Arial" w:eastAsia="Arial" w:hAnsi="Arial"/>
          <w:sz w:val="18"/>
          <w:szCs w:val="18"/>
          <w:i w:val="1"/>
          <w:iCs w:val="1"/>
          <w:color w:val="auto"/>
        </w:rPr>
        <w:t xml:space="preserve"> </w:t>
      </w:r>
      <w:r>
        <w:rPr>
          <w:rFonts w:ascii="Arial" w:cs="Arial" w:eastAsia="Arial" w:hAnsi="Arial"/>
          <w:sz w:val="18"/>
          <w:szCs w:val="18"/>
          <w:color w:val="auto"/>
        </w:rPr>
        <w:t>on offers and/or appraisals. Cost to sell the real estate was based on standard market factors. The Company has categorized its foreclosed real estate as Level 3.</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has categorized its impaired loans and foreclosed real estate as follows:</w:t>
      </w:r>
    </w:p>
    <w:p>
      <w:pPr>
        <w:spacing w:after="0" w:line="2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Fair Value of Impaired Loans and Foreclosed Real Estate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 thousands)</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 2022</w:t>
            </w:r>
          </w:p>
        </w:tc>
        <w:tc>
          <w:tcPr>
            <w:tcW w:w="4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b w:val="1"/>
                <w:bCs w:val="1"/>
                <w:color w:val="auto"/>
              </w:rPr>
              <w:t>December 31, 2021</w:t>
            </w:r>
          </w:p>
        </w:tc>
      </w:tr>
      <w:tr>
        <w:trPr>
          <w:trHeight w:val="186"/>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Impaired loans</w:t>
            </w:r>
          </w:p>
        </w:tc>
        <w:tc>
          <w:tcPr>
            <w:tcW w:w="15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r>
      <w:tr>
        <w:trPr>
          <w:trHeight w:val="221"/>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Level 3 inputs</w:t>
            </w:r>
          </w:p>
        </w:tc>
        <w:tc>
          <w:tcPr>
            <w:tcW w:w="1520" w:type="dxa"/>
            <w:vAlign w:val="bottom"/>
            <w:tcBorders>
              <w:bottom w:val="single" w:sz="8" w:color="auto"/>
            </w:tcBorders>
          </w:tcPr>
          <w:p>
            <w:pPr>
              <w:jc w:val="right"/>
              <w:ind w:right="1349"/>
              <w:spacing w:after="0"/>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5,436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11,121</w:t>
            </w:r>
          </w:p>
        </w:tc>
      </w:tr>
      <w:tr>
        <w:trPr>
          <w:trHeight w:val="222"/>
        </w:trPr>
        <w:tc>
          <w:tcPr>
            <w:tcW w:w="7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520" w:type="dxa"/>
            <w:vAlign w:val="bottom"/>
            <w:tcBorders>
              <w:bottom w:val="single" w:sz="8" w:color="auto"/>
            </w:tcBorders>
            <w:shd w:val="clear" w:color="auto" w:fill="CCEEFF"/>
          </w:tcPr>
          <w:p>
            <w:pPr>
              <w:jc w:val="right"/>
              <w:ind w:right="1349"/>
              <w:spacing w:after="0"/>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5,436</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11,121</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r>
        <w:trPr>
          <w:trHeight w:val="158"/>
        </w:trPr>
        <w:tc>
          <w:tcPr>
            <w:tcW w:w="71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199"/>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Foreclosed real estate</w:t>
            </w:r>
          </w:p>
        </w:tc>
        <w:tc>
          <w:tcPr>
            <w:tcW w:w="15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r>
      <w:tr>
        <w:trPr>
          <w:trHeight w:val="198"/>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Level 3 inputs</w:t>
            </w:r>
          </w:p>
        </w:tc>
        <w:tc>
          <w:tcPr>
            <w:tcW w:w="1520" w:type="dxa"/>
            <w:vAlign w:val="bottom"/>
            <w:tcBorders>
              <w:bottom w:val="single" w:sz="8" w:color="auto"/>
            </w:tcBorders>
          </w:tcPr>
          <w:p>
            <w:pPr>
              <w:jc w:val="right"/>
              <w:ind w:right="1349"/>
              <w:spacing w:after="0"/>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w:t>
            </w:r>
          </w:p>
        </w:tc>
      </w:tr>
      <w:tr>
        <w:trPr>
          <w:trHeight w:val="213"/>
        </w:trPr>
        <w:tc>
          <w:tcPr>
            <w:tcW w:w="7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520" w:type="dxa"/>
            <w:vAlign w:val="bottom"/>
            <w:shd w:val="clear" w:color="auto" w:fill="CCEEFF"/>
          </w:tcPr>
          <w:p>
            <w:pPr>
              <w:jc w:val="right"/>
              <w:ind w:right="1349"/>
              <w:spacing w:after="0"/>
              <w:rPr>
                <w:sz w:val="20"/>
                <w:szCs w:val="20"/>
                <w:color w:val="auto"/>
              </w:rPr>
            </w:pPr>
            <w:r>
              <w:rPr>
                <w:rFonts w:ascii="Arial" w:cs="Arial" w:eastAsia="Arial" w:hAnsi="Arial"/>
                <w:sz w:val="14"/>
                <w:szCs w:val="14"/>
                <w:b w:val="1"/>
                <w:bCs w:val="1"/>
                <w:color w:val="auto"/>
              </w:rPr>
              <w:t>$</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both"/>
        <w:ind w:right="100" w:firstLine="318"/>
        <w:spacing w:after="0" w:line="274" w:lineRule="auto"/>
        <w:rPr>
          <w:sz w:val="20"/>
          <w:szCs w:val="20"/>
          <w:color w:val="auto"/>
        </w:rPr>
      </w:pPr>
      <w:r>
        <w:rPr>
          <w:rFonts w:ascii="Arial" w:cs="Arial" w:eastAsia="Arial" w:hAnsi="Arial"/>
          <w:sz w:val="18"/>
          <w:szCs w:val="18"/>
          <w:color w:val="auto"/>
        </w:rPr>
        <w:t>The following table provides information describing the unobservable inputs used in Level 3 fair value measurements at March 31, 2022 and December 31, 2021:</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Unobservable Inputs</w:t>
      </w:r>
    </w:p>
    <w:p>
      <w:pPr>
        <w:spacing w:after="0" w:line="258" w:lineRule="exact"/>
        <w:rPr>
          <w:sz w:val="20"/>
          <w:szCs w:val="20"/>
          <w:color w:val="auto"/>
        </w:rPr>
      </w:pPr>
    </w:p>
    <w:tbl>
      <w:tblPr>
        <w:tblLayout w:type="fixed"/>
        <w:tblInd w:w="320" w:type="dxa"/>
        <w:tblCellMar>
          <w:top w:w="0" w:type="dxa"/>
          <w:left w:w="0" w:type="dxa"/>
          <w:bottom w:w="0" w:type="dxa"/>
          <w:right w:w="0" w:type="dxa"/>
        </w:tblCellMar>
      </w:tblPr>
      <w:tr>
        <w:trPr>
          <w:trHeight w:val="194"/>
        </w:trPr>
        <w:tc>
          <w:tcPr>
            <w:tcW w:w="2220" w:type="dxa"/>
            <w:vAlign w:val="bottom"/>
            <w:tcBorders>
              <w:bottom w:val="single" w:sz="8" w:color="CCEEFF"/>
            </w:tcBorders>
          </w:tcPr>
          <w:p>
            <w:pPr>
              <w:spacing w:after="0"/>
              <w:rPr>
                <w:sz w:val="16"/>
                <w:szCs w:val="16"/>
                <w:color w:val="auto"/>
              </w:rPr>
            </w:pPr>
          </w:p>
        </w:tc>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Valuation Technique</w:t>
            </w:r>
          </w:p>
        </w:tc>
        <w:tc>
          <w:tcPr>
            <w:tcW w:w="120" w:type="dxa"/>
            <w:vAlign w:val="bottom"/>
            <w:tcBorders>
              <w:bottom w:val="single" w:sz="8" w:color="CCEEFF"/>
            </w:tcBorders>
          </w:tcPr>
          <w:p>
            <w:pPr>
              <w:spacing w:after="0"/>
              <w:rPr>
                <w:sz w:val="16"/>
                <w:szCs w:val="16"/>
                <w:color w:val="auto"/>
              </w:rPr>
            </w:pP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Unobservable Inputs</w:t>
            </w: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ind w:left="109"/>
              <w:spacing w:after="0"/>
              <w:rPr>
                <w:sz w:val="20"/>
                <w:szCs w:val="20"/>
                <w:color w:val="auto"/>
              </w:rPr>
            </w:pPr>
            <w:r>
              <w:rPr>
                <w:rFonts w:ascii="Arial" w:cs="Arial" w:eastAsia="Arial" w:hAnsi="Arial"/>
                <w:sz w:val="14"/>
                <w:szCs w:val="14"/>
                <w:b w:val="1"/>
                <w:bCs w:val="1"/>
                <w:color w:val="auto"/>
              </w:rPr>
              <w:t>Range of Inputs</w:t>
            </w:r>
          </w:p>
        </w:tc>
        <w:tc>
          <w:tcPr>
            <w:tcW w:w="0" w:type="dxa"/>
            <w:vAlign w:val="bottom"/>
          </w:tcPr>
          <w:p>
            <w:pPr>
              <w:spacing w:after="0"/>
              <w:rPr>
                <w:sz w:val="1"/>
                <w:szCs w:val="1"/>
                <w:color w:val="auto"/>
              </w:rPr>
            </w:pPr>
          </w:p>
        </w:tc>
      </w:tr>
      <w:tr>
        <w:trPr>
          <w:trHeight w:val="140"/>
        </w:trPr>
        <w:tc>
          <w:tcPr>
            <w:tcW w:w="22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Impaired Loans</w:t>
            </w:r>
          </w:p>
        </w:tc>
        <w:tc>
          <w:tcPr>
            <w:tcW w:w="300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rPr>
              <w:t>Appraised Value/Discounted Cash Flows</w:t>
            </w:r>
          </w:p>
        </w:tc>
        <w:tc>
          <w:tcPr>
            <w:tcW w:w="4200" w:type="dxa"/>
            <w:vAlign w:val="bottom"/>
            <w:gridSpan w:val="2"/>
            <w:shd w:val="clear" w:color="auto" w:fill="CCEEFF"/>
          </w:tcPr>
          <w:p>
            <w:pPr>
              <w:jc w:val="center"/>
              <w:ind w:right="140"/>
              <w:spacing w:after="0" w:line="139" w:lineRule="exact"/>
              <w:rPr>
                <w:sz w:val="20"/>
                <w:szCs w:val="20"/>
                <w:color w:val="auto"/>
              </w:rPr>
            </w:pPr>
            <w:r>
              <w:rPr>
                <w:rFonts w:ascii="Arial" w:cs="Arial" w:eastAsia="Arial" w:hAnsi="Arial"/>
                <w:sz w:val="14"/>
                <w:szCs w:val="14"/>
                <w:color w:val="auto"/>
              </w:rPr>
              <w:t>Discounts to appraisals or cash flows for estimated holding</w:t>
            </w:r>
          </w:p>
        </w:tc>
        <w:tc>
          <w:tcPr>
            <w:tcW w:w="1600" w:type="dxa"/>
            <w:vAlign w:val="bottom"/>
            <w:vMerge w:val="restart"/>
            <w:shd w:val="clear" w:color="auto" w:fill="CCEEFF"/>
          </w:tcPr>
          <w:p>
            <w:pPr>
              <w:jc w:val="center"/>
              <w:ind w:left="109"/>
              <w:spacing w:after="0"/>
              <w:rPr>
                <w:sz w:val="20"/>
                <w:szCs w:val="20"/>
                <w:color w:val="auto"/>
              </w:rPr>
            </w:pPr>
            <w:r>
              <w:rPr>
                <w:rFonts w:ascii="Arial" w:cs="Arial" w:eastAsia="Arial" w:hAnsi="Arial"/>
                <w:sz w:val="14"/>
                <w:szCs w:val="14"/>
                <w:color w:val="auto"/>
                <w:w w:val="98"/>
              </w:rPr>
              <w:t>11 to 25%</w:t>
            </w:r>
          </w:p>
        </w:tc>
        <w:tc>
          <w:tcPr>
            <w:tcW w:w="0" w:type="dxa"/>
            <w:vAlign w:val="bottom"/>
          </w:tcPr>
          <w:p>
            <w:pPr>
              <w:spacing w:after="0"/>
              <w:rPr>
                <w:sz w:val="1"/>
                <w:szCs w:val="1"/>
                <w:color w:val="auto"/>
              </w:rPr>
            </w:pPr>
          </w:p>
        </w:tc>
      </w:tr>
      <w:tr>
        <w:trPr>
          <w:trHeight w:val="185"/>
        </w:trPr>
        <w:tc>
          <w:tcPr>
            <w:tcW w:w="2220" w:type="dxa"/>
            <w:vAlign w:val="bottom"/>
            <w:vMerge w:val="continue"/>
            <w:shd w:val="clear" w:color="auto" w:fill="CCEEFF"/>
          </w:tcPr>
          <w:p>
            <w:pPr>
              <w:spacing w:after="0"/>
              <w:rPr>
                <w:sz w:val="16"/>
                <w:szCs w:val="16"/>
                <w:color w:val="auto"/>
              </w:rPr>
            </w:pPr>
          </w:p>
        </w:tc>
        <w:tc>
          <w:tcPr>
            <w:tcW w:w="3000" w:type="dxa"/>
            <w:vAlign w:val="bottom"/>
            <w:gridSpan w:val="2"/>
            <w:vMerge w:val="continue"/>
            <w:shd w:val="clear" w:color="auto" w:fill="CCEEFF"/>
          </w:tcPr>
          <w:p>
            <w:pPr>
              <w:spacing w:after="0"/>
              <w:rPr>
                <w:sz w:val="16"/>
                <w:szCs w:val="16"/>
                <w:color w:val="auto"/>
              </w:rPr>
            </w:pPr>
          </w:p>
        </w:tc>
        <w:tc>
          <w:tcPr>
            <w:tcW w:w="420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rPr>
              <w:t>and/or selling costs</w:t>
            </w:r>
          </w:p>
        </w:tc>
        <w:tc>
          <w:tcPr>
            <w:tcW w:w="16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220" w:type="dxa"/>
            <w:vAlign w:val="bottom"/>
            <w:vMerge w:val="restart"/>
          </w:tcPr>
          <w:p>
            <w:pPr>
              <w:ind w:left="20"/>
              <w:spacing w:after="0"/>
              <w:rPr>
                <w:sz w:val="20"/>
                <w:szCs w:val="20"/>
                <w:color w:val="auto"/>
              </w:rPr>
            </w:pPr>
            <w:r>
              <w:rPr>
                <w:rFonts w:ascii="Arial" w:cs="Arial" w:eastAsia="Arial" w:hAnsi="Arial"/>
                <w:sz w:val="14"/>
                <w:szCs w:val="14"/>
                <w:color w:val="auto"/>
              </w:rPr>
              <w:t>Foreclosed Real Estate</w:t>
            </w:r>
          </w:p>
        </w:tc>
        <w:tc>
          <w:tcPr>
            <w:tcW w:w="300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rPr>
              <w:t>Appraised Value/Comparable Sales</w:t>
            </w:r>
          </w:p>
        </w:tc>
        <w:tc>
          <w:tcPr>
            <w:tcW w:w="4200" w:type="dxa"/>
            <w:vAlign w:val="bottom"/>
            <w:gridSpan w:val="2"/>
          </w:tcPr>
          <w:p>
            <w:pPr>
              <w:jc w:val="center"/>
              <w:ind w:right="140"/>
              <w:spacing w:after="0" w:line="146" w:lineRule="exact"/>
              <w:rPr>
                <w:sz w:val="20"/>
                <w:szCs w:val="20"/>
                <w:color w:val="auto"/>
              </w:rPr>
            </w:pPr>
            <w:r>
              <w:rPr>
                <w:rFonts w:ascii="Arial" w:cs="Arial" w:eastAsia="Arial" w:hAnsi="Arial"/>
                <w:sz w:val="14"/>
                <w:szCs w:val="14"/>
                <w:color w:val="auto"/>
              </w:rPr>
              <w:t>Discounts to appraisals for estimated holding and/or selling</w:t>
            </w:r>
          </w:p>
        </w:tc>
        <w:tc>
          <w:tcPr>
            <w:tcW w:w="1600" w:type="dxa"/>
            <w:vAlign w:val="bottom"/>
            <w:vMerge w:val="restart"/>
          </w:tcPr>
          <w:p>
            <w:pPr>
              <w:jc w:val="center"/>
              <w:ind w:left="109"/>
              <w:spacing w:after="0"/>
              <w:rPr>
                <w:sz w:val="20"/>
                <w:szCs w:val="20"/>
                <w:color w:val="auto"/>
              </w:rPr>
            </w:pPr>
            <w:r>
              <w:rPr>
                <w:rFonts w:ascii="Arial" w:cs="Arial" w:eastAsia="Arial" w:hAnsi="Arial"/>
                <w:sz w:val="14"/>
                <w:szCs w:val="14"/>
                <w:color w:val="auto"/>
                <w:w w:val="98"/>
              </w:rPr>
              <w:t>11 to 25%</w:t>
            </w:r>
          </w:p>
        </w:tc>
        <w:tc>
          <w:tcPr>
            <w:tcW w:w="0" w:type="dxa"/>
            <w:vAlign w:val="bottom"/>
          </w:tcPr>
          <w:p>
            <w:pPr>
              <w:spacing w:after="0"/>
              <w:rPr>
                <w:sz w:val="1"/>
                <w:szCs w:val="1"/>
                <w:color w:val="auto"/>
              </w:rPr>
            </w:pPr>
          </w:p>
        </w:tc>
      </w:tr>
      <w:tr>
        <w:trPr>
          <w:trHeight w:val="186"/>
        </w:trPr>
        <w:tc>
          <w:tcPr>
            <w:tcW w:w="2220" w:type="dxa"/>
            <w:vAlign w:val="bottom"/>
            <w:vMerge w:val="continue"/>
          </w:tcPr>
          <w:p>
            <w:pPr>
              <w:spacing w:after="0"/>
              <w:rPr>
                <w:sz w:val="16"/>
                <w:szCs w:val="16"/>
                <w:color w:val="auto"/>
              </w:rPr>
            </w:pPr>
          </w:p>
        </w:tc>
        <w:tc>
          <w:tcPr>
            <w:tcW w:w="3000" w:type="dxa"/>
            <w:vAlign w:val="bottom"/>
            <w:gridSpan w:val="2"/>
            <w:vMerge w:val="continue"/>
          </w:tcPr>
          <w:p>
            <w:pPr>
              <w:spacing w:after="0"/>
              <w:rPr>
                <w:sz w:val="16"/>
                <w:szCs w:val="16"/>
                <w:color w:val="auto"/>
              </w:rPr>
            </w:pPr>
          </w:p>
        </w:tc>
        <w:tc>
          <w:tcPr>
            <w:tcW w:w="4200" w:type="dxa"/>
            <w:vAlign w:val="bottom"/>
            <w:gridSpan w:val="2"/>
          </w:tcPr>
          <w:p>
            <w:pPr>
              <w:jc w:val="center"/>
              <w:ind w:right="140"/>
              <w:spacing w:after="0"/>
              <w:rPr>
                <w:sz w:val="20"/>
                <w:szCs w:val="20"/>
                <w:color w:val="auto"/>
              </w:rPr>
            </w:pPr>
            <w:r>
              <w:rPr>
                <w:rFonts w:ascii="Arial" w:cs="Arial" w:eastAsia="Arial" w:hAnsi="Arial"/>
                <w:sz w:val="14"/>
                <w:szCs w:val="14"/>
                <w:color w:val="auto"/>
              </w:rPr>
              <w:t>costs</w:t>
            </w: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17" w:lineRule="exact"/>
        <w:rPr>
          <w:sz w:val="20"/>
          <w:szCs w:val="20"/>
          <w:color w:val="auto"/>
        </w:rPr>
      </w:pPr>
    </w:p>
    <w:p>
      <w:pPr>
        <w:jc w:val="both"/>
        <w:ind w:right="100" w:firstLine="318"/>
        <w:spacing w:after="0" w:line="255" w:lineRule="auto"/>
        <w:rPr>
          <w:sz w:val="20"/>
          <w:szCs w:val="20"/>
          <w:color w:val="auto"/>
        </w:rPr>
      </w:pPr>
      <w:r>
        <w:rPr>
          <w:rFonts w:ascii="Arial" w:cs="Arial" w:eastAsia="Arial" w:hAnsi="Arial"/>
          <w:sz w:val="18"/>
          <w:szCs w:val="18"/>
          <w:color w:val="auto"/>
        </w:rPr>
        <w:t>Fair value information about financial instruments, whether or not recognized in the balance sheet, for which it is practical to estimate the value is based upon the characteristics of the instruments and relevant market information. Financial instruments include cash, evidence of ownership in an entity, or contracts that convey or impose on an entity the contractual right or obligation to either receive or deliver cash for another financial instrument.</w:t>
      </w:r>
    </w:p>
    <w:p>
      <w:pPr>
        <w:spacing w:after="0" w:line="180" w:lineRule="exact"/>
        <w:rPr>
          <w:sz w:val="20"/>
          <w:szCs w:val="20"/>
          <w:color w:val="auto"/>
        </w:rPr>
      </w:pPr>
    </w:p>
    <w:p>
      <w:pPr>
        <w:jc w:val="both"/>
        <w:ind w:right="100" w:firstLine="318"/>
        <w:spacing w:after="0" w:line="274" w:lineRule="auto"/>
        <w:rPr>
          <w:sz w:val="20"/>
          <w:szCs w:val="20"/>
          <w:color w:val="auto"/>
        </w:rPr>
      </w:pPr>
      <w:r>
        <w:rPr>
          <w:rFonts w:ascii="Arial" w:cs="Arial" w:eastAsia="Arial" w:hAnsi="Arial"/>
          <w:sz w:val="18"/>
          <w:szCs w:val="18"/>
          <w:color w:val="auto"/>
        </w:rPr>
        <w:t>The information used to determine fair value is highly subjective and judgmental in nature and, therefore, the results may not be precise. Subjective factors include, among other things, estimates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253365</wp:posOffset>
            </wp:positionV>
            <wp:extent cx="716026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617" w:right="239" w:bottom="1440" w:gutter="0" w:footer="0" w:header="0"/>
        </w:sectPr>
      </w:pPr>
    </w:p>
    <w:bookmarkStart w:id="34" w:name="page35"/>
    <w:bookmarkEnd w:id="34"/>
    <w:p>
      <w:pPr>
        <w:ind w:left="66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610870</wp:posOffset>
            </wp:positionH>
            <wp:positionV relativeFrom="page">
              <wp:posOffset>391795</wp:posOffset>
            </wp:positionV>
            <wp:extent cx="6537325" cy="165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537325" cy="16510"/>
                    </a:xfrm>
                    <a:prstGeom prst="rect">
                      <a:avLst/>
                    </a:prstGeom>
                    <a:noFill/>
                  </pic:spPr>
                </pic:pic>
              </a:graphicData>
            </a:graphic>
          </wp:anchor>
        </w:drawing>
        <w:t>Capital Bancorp, Inc. and Subsidiaries</w:t>
      </w:r>
    </w:p>
    <w:p>
      <w:pPr>
        <w:ind w:left="66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6350</wp:posOffset>
            </wp:positionV>
            <wp:extent cx="653732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537325" cy="17145"/>
                    </a:xfrm>
                    <a:prstGeom prst="rect">
                      <a:avLst/>
                    </a:prstGeom>
                    <a:noFill/>
                  </pic:spPr>
                </pic:pic>
              </a:graphicData>
            </a:graphic>
          </wp:anchor>
        </w:drawing>
      </w:r>
    </w:p>
    <w:p>
      <w:pPr>
        <w:spacing w:after="0" w:line="26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 8 - Fair Value (continued)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cash flows, risk characteristics, credit quality, and interest rates, all of which are subject to change. Since the fair value is estimated as of the balance sheet date, the amounts that will actually be realized or paid upon settlement or maturity on these various instruments could be significantly different.</w:t>
      </w:r>
    </w:p>
    <w:p>
      <w:pPr>
        <w:spacing w:after="0" w:line="175"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fair value of the Company’s loan portfolio includes a credit risk assumption in the determination of the fair value of its loans. This credit risk assumption is intended to approximate the fair value that a market participant would realize in a hypothetical orderly transaction. The Company’s loan portfolio is initially fair valued using a segmented approach. The Company divides its loan portfolio into the following categories: variable rate loans, impaired loans, and all other loans. The results are then adjusted to account for credit risk as described above. However, under the new guidance, the Company believes a further credit risk discount must be applied through the use of a discounted cash flow model to compensate for illiquidity risk, based on certain assumptions included within the discounted cash flow model, primarily the use of discount rates that better capture inherent credit risk over the lifetime of a loan. This consideration of enhanced credit risk provides an estimated exit price for the Company’s loan portfolio.</w:t>
      </w:r>
    </w:p>
    <w:p>
      <w:pPr>
        <w:spacing w:after="0" w:line="190"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For variable-rate loans that reprice frequently and have no significant change in credit risk, fair values approximate carrying values. Fair values for impaired loans are estimated using discounted cash flow models or based on the fair value of the underlying collateral.</w:t>
      </w:r>
    </w:p>
    <w:p>
      <w:pPr>
        <w:spacing w:after="0" w:line="163"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The fair value of cash and cash equivalents and investments in restricted stocks is the carrying amount. Restricted stock includes equity of the Federal Reserve and other banker’s banks.</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fair value of noninterest bearing deposits and securities sold under agreements to repurchase is the carrying amount.</w:t>
      </w:r>
    </w:p>
    <w:p>
      <w:pPr>
        <w:spacing w:after="0" w:line="217" w:lineRule="exact"/>
        <w:rPr>
          <w:sz w:val="20"/>
          <w:szCs w:val="20"/>
          <w:color w:val="auto"/>
        </w:rPr>
      </w:pPr>
    </w:p>
    <w:p>
      <w:pPr>
        <w:jc w:val="both"/>
        <w:ind w:firstLine="318"/>
        <w:spacing w:after="0" w:line="304" w:lineRule="auto"/>
        <w:rPr>
          <w:sz w:val="20"/>
          <w:szCs w:val="20"/>
          <w:color w:val="auto"/>
        </w:rPr>
      </w:pPr>
      <w:r>
        <w:rPr>
          <w:rFonts w:ascii="Arial" w:cs="Arial" w:eastAsia="Arial" w:hAnsi="Arial"/>
          <w:sz w:val="17"/>
          <w:szCs w:val="17"/>
          <w:color w:val="auto"/>
        </w:rPr>
        <w:t>The fair value of checking, savings, and money market deposits is the amount payable on demand at the reporting date. Fair value of fixed maturity term accounts and individual retirement accounts is estimated using rates currently offered for accounts of similar remaining maturities.</w:t>
      </w:r>
    </w:p>
    <w:p>
      <w:pPr>
        <w:spacing w:after="0" w:line="141"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The fair value of certificates of deposit in other financial institutions is estimated based on interest rates currently offered for deposits of similar remaining maturities.</w:t>
      </w:r>
    </w:p>
    <w:p>
      <w:pPr>
        <w:spacing w:after="0" w:line="163"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The fair value of borrowings is estimated by discounting the value of contractual cash flows using current market rates for borrowings with similar terms and remaining maturities.</w:t>
      </w:r>
    </w:p>
    <w:p>
      <w:pPr>
        <w:spacing w:after="0" w:line="163"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The fair value of outstanding loan commitments, unused lines of credit, and letters of credit are not included in the table since the carrying value generally approximates fair value. These instruments generate fees that approximate those currently charged to originate similar commitments.</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table below presents the carrying amount, fair value, and placement in the fair value hierarchy of the Company’s financial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262255</wp:posOffset>
            </wp:positionV>
            <wp:extent cx="716026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617" w:right="339" w:bottom="1440" w:gutter="0" w:footer="0" w:header="0"/>
        </w:sectPr>
      </w:pPr>
    </w:p>
    <w:bookmarkStart w:id="35" w:name="page36"/>
    <w:bookmarkEnd w:id="35"/>
    <w:p>
      <w:pPr>
        <w:ind w:left="66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610870</wp:posOffset>
            </wp:positionH>
            <wp:positionV relativeFrom="page">
              <wp:posOffset>391795</wp:posOffset>
            </wp:positionV>
            <wp:extent cx="6537325" cy="165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537325" cy="16510"/>
                    </a:xfrm>
                    <a:prstGeom prst="rect">
                      <a:avLst/>
                    </a:prstGeom>
                    <a:noFill/>
                  </pic:spPr>
                </pic:pic>
              </a:graphicData>
            </a:graphic>
          </wp:anchor>
        </w:drawing>
        <w:t>Capital Bancorp, Inc. and Subsidiaries</w:t>
      </w:r>
    </w:p>
    <w:p>
      <w:pPr>
        <w:ind w:left="66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6350</wp:posOffset>
            </wp:positionV>
            <wp:extent cx="653732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537325" cy="17145"/>
                    </a:xfrm>
                    <a:prstGeom prst="rect">
                      <a:avLst/>
                    </a:prstGeom>
                    <a:noFill/>
                  </pic:spPr>
                </pic:pic>
              </a:graphicData>
            </a:graphic>
          </wp:anchor>
        </w:drawing>
      </w:r>
    </w:p>
    <w:p>
      <w:pPr>
        <w:spacing w:after="0" w:line="26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 8 - Fair Value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Fair Value of Selected Financial Instruments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4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849"/>
              <w:spacing w:after="0"/>
              <w:rPr>
                <w:sz w:val="20"/>
                <w:szCs w:val="20"/>
                <w:color w:val="auto"/>
              </w:rPr>
            </w:pPr>
            <w:r>
              <w:rPr>
                <w:rFonts w:ascii="Arial" w:cs="Arial" w:eastAsia="Arial" w:hAnsi="Arial"/>
                <w:sz w:val="14"/>
                <w:szCs w:val="14"/>
                <w:b w:val="1"/>
                <w:bCs w:val="1"/>
                <w:color w:val="auto"/>
              </w:rPr>
              <w:t>March 31, 2022</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729"/>
              <w:spacing w:after="0"/>
              <w:rPr>
                <w:sz w:val="20"/>
                <w:szCs w:val="20"/>
                <w:color w:val="auto"/>
              </w:rPr>
            </w:pPr>
            <w:r>
              <w:rPr>
                <w:rFonts w:ascii="Arial" w:cs="Arial" w:eastAsia="Arial" w:hAnsi="Arial"/>
                <w:sz w:val="14"/>
                <w:szCs w:val="14"/>
                <w:b w:val="1"/>
                <w:bCs w:val="1"/>
                <w:color w:val="auto"/>
              </w:rPr>
              <w:t>December 31, 2021</w:t>
            </w:r>
          </w:p>
        </w:tc>
      </w:tr>
      <w:tr>
        <w:trPr>
          <w:trHeight w:val="191"/>
        </w:trPr>
        <w:tc>
          <w:tcPr>
            <w:tcW w:w="540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100" w:type="dxa"/>
            <w:vAlign w:val="bottom"/>
          </w:tcPr>
          <w:p>
            <w:pPr>
              <w:spacing w:after="0"/>
              <w:rPr>
                <w:sz w:val="16"/>
                <w:szCs w:val="16"/>
                <w:color w:val="auto"/>
              </w:rPr>
            </w:pPr>
          </w:p>
        </w:tc>
        <w:tc>
          <w:tcPr>
            <w:tcW w:w="1380" w:type="dxa"/>
            <w:vAlign w:val="bottom"/>
            <w:gridSpan w:val="2"/>
          </w:tcPr>
          <w:p>
            <w:pPr>
              <w:spacing w:after="0"/>
              <w:rPr>
                <w:sz w:val="20"/>
                <w:szCs w:val="20"/>
                <w:color w:val="auto"/>
              </w:rPr>
            </w:pPr>
            <w:r>
              <w:rPr>
                <w:rFonts w:ascii="Arial" w:cs="Arial" w:eastAsia="Arial" w:hAnsi="Arial"/>
                <w:sz w:val="14"/>
                <w:szCs w:val="14"/>
                <w:b w:val="1"/>
                <w:bCs w:val="1"/>
                <w:color w:val="auto"/>
              </w:rPr>
              <w:t>Carrying Amount</w:t>
            </w:r>
          </w:p>
        </w:tc>
        <w:tc>
          <w:tcPr>
            <w:tcW w:w="220" w:type="dxa"/>
            <w:vAlign w:val="bottom"/>
          </w:tcPr>
          <w:p>
            <w:pPr>
              <w:spacing w:after="0"/>
              <w:rPr>
                <w:sz w:val="16"/>
                <w:szCs w:val="16"/>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b w:val="1"/>
                <w:bCs w:val="1"/>
                <w:color w:val="auto"/>
              </w:rPr>
              <w:t>Carrying Amount</w:t>
            </w:r>
          </w:p>
        </w:tc>
        <w:tc>
          <w:tcPr>
            <w:tcW w:w="220" w:type="dxa"/>
            <w:vAlign w:val="bottom"/>
          </w:tcPr>
          <w:p>
            <w:pPr>
              <w:spacing w:after="0"/>
              <w:rPr>
                <w:sz w:val="16"/>
                <w:szCs w:val="16"/>
                <w:color w:val="auto"/>
              </w:rPr>
            </w:pPr>
          </w:p>
        </w:tc>
        <w:tc>
          <w:tcPr>
            <w:tcW w:w="1140" w:type="dxa"/>
            <w:vAlign w:val="bottom"/>
          </w:tcPr>
          <w:p>
            <w:pPr>
              <w:jc w:val="right"/>
              <w:ind w:right="289"/>
              <w:spacing w:after="0"/>
              <w:rPr>
                <w:sz w:val="20"/>
                <w:szCs w:val="20"/>
                <w:color w:val="auto"/>
              </w:rPr>
            </w:pPr>
            <w:r>
              <w:rPr>
                <w:rFonts w:ascii="Arial" w:cs="Arial" w:eastAsia="Arial" w:hAnsi="Arial"/>
                <w:sz w:val="14"/>
                <w:szCs w:val="14"/>
                <w:b w:val="1"/>
                <w:bCs w:val="1"/>
                <w:color w:val="auto"/>
              </w:rPr>
              <w:t>Fair Value</w:t>
            </w:r>
          </w:p>
        </w:tc>
      </w:tr>
      <w:tr>
        <w:trPr>
          <w:trHeight w:val="193"/>
        </w:trPr>
        <w:tc>
          <w:tcPr>
            <w:tcW w:w="5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Financial assets</w:t>
            </w:r>
          </w:p>
        </w:tc>
        <w:tc>
          <w:tcPr>
            <w:tcW w:w="10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r>
      <w:tr>
        <w:trPr>
          <w:trHeight w:val="194"/>
        </w:trPr>
        <w:tc>
          <w:tcPr>
            <w:tcW w:w="5400" w:type="dxa"/>
            <w:vAlign w:val="bottom"/>
          </w:tcPr>
          <w:p>
            <w:pPr>
              <w:ind w:left="20"/>
              <w:spacing w:after="0"/>
              <w:rPr>
                <w:sz w:val="20"/>
                <w:szCs w:val="20"/>
                <w:color w:val="auto"/>
              </w:rPr>
            </w:pPr>
            <w:r>
              <w:rPr>
                <w:rFonts w:ascii="Arial" w:cs="Arial" w:eastAsia="Arial" w:hAnsi="Arial"/>
                <w:sz w:val="14"/>
                <w:szCs w:val="14"/>
                <w:color w:val="auto"/>
              </w:rPr>
              <w:t>Level 1</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03"/>
        </w:trPr>
        <w:tc>
          <w:tcPr>
            <w:tcW w:w="5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and due from banks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14,955</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14,955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42,914</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42,914</w:t>
            </w:r>
          </w:p>
        </w:tc>
      </w:tr>
      <w:tr>
        <w:trPr>
          <w:trHeight w:val="198"/>
        </w:trPr>
        <w:tc>
          <w:tcPr>
            <w:tcW w:w="5400" w:type="dxa"/>
            <w:vAlign w:val="bottom"/>
          </w:tcPr>
          <w:p>
            <w:pPr>
              <w:ind w:left="180"/>
              <w:spacing w:after="0"/>
              <w:rPr>
                <w:sz w:val="20"/>
                <w:szCs w:val="20"/>
                <w:color w:val="auto"/>
              </w:rPr>
            </w:pPr>
            <w:r>
              <w:rPr>
                <w:rFonts w:ascii="Arial" w:cs="Arial" w:eastAsia="Arial" w:hAnsi="Arial"/>
                <w:sz w:val="14"/>
                <w:szCs w:val="14"/>
                <w:color w:val="auto"/>
              </w:rPr>
              <w:t>Interest bearing deposits at other financial institutions</w:t>
            </w: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298,501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298,501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136,824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136,824</w:t>
            </w:r>
          </w:p>
        </w:tc>
      </w:tr>
      <w:tr>
        <w:trPr>
          <w:trHeight w:val="199"/>
        </w:trPr>
        <w:tc>
          <w:tcPr>
            <w:tcW w:w="5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Federal funds sold</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330</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330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3,657</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3,657</w:t>
            </w:r>
          </w:p>
        </w:tc>
      </w:tr>
      <w:tr>
        <w:trPr>
          <w:trHeight w:val="194"/>
        </w:trPr>
        <w:tc>
          <w:tcPr>
            <w:tcW w:w="5400" w:type="dxa"/>
            <w:vAlign w:val="bottom"/>
          </w:tcPr>
          <w:p>
            <w:pPr>
              <w:ind w:left="20"/>
              <w:spacing w:after="0"/>
              <w:rPr>
                <w:sz w:val="20"/>
                <w:szCs w:val="20"/>
                <w:color w:val="auto"/>
              </w:rPr>
            </w:pPr>
            <w:r>
              <w:rPr>
                <w:rFonts w:ascii="Arial" w:cs="Arial" w:eastAsia="Arial" w:hAnsi="Arial"/>
                <w:sz w:val="14"/>
                <w:szCs w:val="14"/>
                <w:color w:val="auto"/>
              </w:rPr>
              <w:t>Level 3</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03"/>
        </w:trPr>
        <w:tc>
          <w:tcPr>
            <w:tcW w:w="5400" w:type="dxa"/>
            <w:vAlign w:val="bottom"/>
            <w:shd w:val="clear" w:color="auto" w:fill="CCEEFF"/>
          </w:tcPr>
          <w:p>
            <w:pPr>
              <w:ind w:left="180"/>
              <w:spacing w:after="0" w:line="203" w:lineRule="exact"/>
              <w:rPr>
                <w:sz w:val="20"/>
                <w:szCs w:val="20"/>
                <w:color w:val="auto"/>
              </w:rPr>
            </w:pPr>
            <w:r>
              <w:rPr>
                <w:rFonts w:ascii="Arial" w:cs="Arial" w:eastAsia="Arial" w:hAnsi="Arial"/>
                <w:sz w:val="14"/>
                <w:szCs w:val="14"/>
                <w:color w:val="auto"/>
              </w:rPr>
              <w:t xml:space="preserve">Loans receivable, net </w:t>
            </w:r>
            <w:r>
              <w:rPr>
                <w:rFonts w:ascii="Arial" w:cs="Arial" w:eastAsia="Arial" w:hAnsi="Arial"/>
                <w:sz w:val="18"/>
                <w:szCs w:val="18"/>
                <w:color w:val="auto"/>
                <w:vertAlign w:val="superscript"/>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1,552,089</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1,531,252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1,607,086</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1,598,228</w:t>
            </w:r>
          </w:p>
        </w:tc>
      </w:tr>
      <w:tr>
        <w:trPr>
          <w:trHeight w:val="198"/>
        </w:trPr>
        <w:tc>
          <w:tcPr>
            <w:tcW w:w="5400" w:type="dxa"/>
            <w:vAlign w:val="bottom"/>
          </w:tcPr>
          <w:p>
            <w:pPr>
              <w:ind w:left="180"/>
              <w:spacing w:after="0"/>
              <w:rPr>
                <w:sz w:val="20"/>
                <w:szCs w:val="20"/>
                <w:color w:val="auto"/>
              </w:rPr>
            </w:pPr>
            <w:r>
              <w:rPr>
                <w:rFonts w:ascii="Arial" w:cs="Arial" w:eastAsia="Arial" w:hAnsi="Arial"/>
                <w:sz w:val="14"/>
                <w:szCs w:val="14"/>
                <w:color w:val="auto"/>
              </w:rPr>
              <w:t>Marketable equity securities</w:t>
            </w: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245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245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245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color w:val="auto"/>
              </w:rPr>
              <w:t>245</w:t>
            </w:r>
          </w:p>
        </w:tc>
      </w:tr>
      <w:tr>
        <w:trPr>
          <w:trHeight w:val="199"/>
        </w:trPr>
        <w:tc>
          <w:tcPr>
            <w:tcW w:w="5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Restricted investments</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3,602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3,602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3,498</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3,498</w:t>
            </w:r>
          </w:p>
        </w:tc>
      </w:tr>
      <w:tr>
        <w:trPr>
          <w:trHeight w:val="212"/>
        </w:trPr>
        <w:tc>
          <w:tcPr>
            <w:tcW w:w="5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2"/>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Financial liabilities</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194"/>
        </w:trPr>
        <w:tc>
          <w:tcPr>
            <w:tcW w:w="5400" w:type="dxa"/>
            <w:vAlign w:val="bottom"/>
          </w:tcPr>
          <w:p>
            <w:pPr>
              <w:ind w:left="20"/>
              <w:spacing w:after="0"/>
              <w:rPr>
                <w:sz w:val="20"/>
                <w:szCs w:val="20"/>
                <w:color w:val="auto"/>
              </w:rPr>
            </w:pPr>
            <w:r>
              <w:rPr>
                <w:rFonts w:ascii="Arial" w:cs="Arial" w:eastAsia="Arial" w:hAnsi="Arial"/>
                <w:sz w:val="14"/>
                <w:szCs w:val="14"/>
                <w:color w:val="auto"/>
              </w:rPr>
              <w:t>Level 1</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03"/>
        </w:trPr>
        <w:tc>
          <w:tcPr>
            <w:tcW w:w="5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Noninterest bearing deposits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825,174</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825,174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787,650</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787,650</w:t>
            </w:r>
          </w:p>
        </w:tc>
      </w:tr>
      <w:tr>
        <w:trPr>
          <w:trHeight w:val="194"/>
        </w:trPr>
        <w:tc>
          <w:tcPr>
            <w:tcW w:w="5400" w:type="dxa"/>
            <w:vAlign w:val="bottom"/>
          </w:tcPr>
          <w:p>
            <w:pPr>
              <w:ind w:left="20"/>
              <w:spacing w:after="0"/>
              <w:rPr>
                <w:sz w:val="20"/>
                <w:szCs w:val="20"/>
                <w:color w:val="auto"/>
              </w:rPr>
            </w:pPr>
            <w:r>
              <w:rPr>
                <w:rFonts w:ascii="Arial" w:cs="Arial" w:eastAsia="Arial" w:hAnsi="Arial"/>
                <w:sz w:val="14"/>
                <w:szCs w:val="14"/>
                <w:color w:val="auto"/>
              </w:rPr>
              <w:t>Level 3</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03"/>
        </w:trPr>
        <w:tc>
          <w:tcPr>
            <w:tcW w:w="5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bearing deposits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1,037,548</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1,038,694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1,009,487</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1,011,121</w:t>
            </w:r>
          </w:p>
        </w:tc>
      </w:tr>
      <w:tr>
        <w:trPr>
          <w:trHeight w:val="198"/>
        </w:trPr>
        <w:tc>
          <w:tcPr>
            <w:tcW w:w="5400" w:type="dxa"/>
            <w:vAlign w:val="bottom"/>
          </w:tcPr>
          <w:p>
            <w:pPr>
              <w:ind w:left="180"/>
              <w:spacing w:after="0"/>
              <w:rPr>
                <w:sz w:val="20"/>
                <w:szCs w:val="20"/>
                <w:color w:val="auto"/>
              </w:rPr>
            </w:pPr>
            <w:r>
              <w:rPr>
                <w:rFonts w:ascii="Arial" w:cs="Arial" w:eastAsia="Arial" w:hAnsi="Arial"/>
                <w:sz w:val="14"/>
                <w:szCs w:val="14"/>
                <w:color w:val="auto"/>
              </w:rPr>
              <w:t>FHLB advances and other borrowed funds</w:t>
            </w: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34,062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33,262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34,062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color w:val="auto"/>
              </w:rPr>
              <w:t>34,263</w:t>
            </w:r>
          </w:p>
        </w:tc>
      </w:tr>
    </w:tbl>
    <w:p>
      <w:pPr>
        <w:spacing w:after="0" w:line="8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w:t>
      </w:r>
    </w:p>
    <w:p>
      <w:pPr>
        <w:ind w:left="220" w:hanging="214"/>
        <w:spacing w:after="0" w:line="200" w:lineRule="auto"/>
        <w:tabs>
          <w:tab w:leader="none" w:pos="220" w:val="left"/>
        </w:tabs>
        <w:numPr>
          <w:ilvl w:val="0"/>
          <w:numId w:val="6"/>
        </w:numPr>
        <w:rPr>
          <w:rFonts w:ascii="Arial" w:cs="Arial" w:eastAsia="Arial" w:hAnsi="Arial"/>
          <w:sz w:val="16"/>
          <w:szCs w:val="16"/>
          <w:color w:val="auto"/>
          <w:vertAlign w:val="superscript"/>
        </w:rPr>
      </w:pPr>
      <w:r>
        <w:rPr>
          <w:rFonts w:ascii="Arial" w:cs="Arial" w:eastAsia="Arial" w:hAnsi="Arial"/>
          <w:sz w:val="12"/>
          <w:szCs w:val="12"/>
          <w:color w:val="auto"/>
        </w:rPr>
        <w:t>Includes SBA-PPP loans and portfolio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262255</wp:posOffset>
            </wp:positionV>
            <wp:extent cx="716026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617" w:right="359" w:bottom="1440" w:gutter="0" w:footer="0" w:header="0"/>
        </w:sectPr>
      </w:pPr>
    </w:p>
    <w:bookmarkStart w:id="36" w:name="page37"/>
    <w:bookmarkEnd w:id="36"/>
    <w:p>
      <w:pPr>
        <w:ind w:left="3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408940</wp:posOffset>
            </wp:positionH>
            <wp:positionV relativeFrom="page">
              <wp:posOffset>391795</wp:posOffset>
            </wp:positionV>
            <wp:extent cx="699516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t>Capital Bancorp, Inc. and Subsidiaries</w:t>
      </w:r>
    </w:p>
    <w:p>
      <w:pPr>
        <w:ind w:left="340"/>
        <w:spacing w:after="0"/>
        <w:rPr>
          <w:sz w:val="20"/>
          <w:szCs w:val="20"/>
          <w:color w:val="auto"/>
        </w:rPr>
      </w:pPr>
      <w:r>
        <w:rPr>
          <w:rFonts w:ascii="Arial" w:cs="Arial" w:eastAsia="Arial" w:hAnsi="Arial"/>
          <w:sz w:val="19"/>
          <w:szCs w:val="19"/>
          <w:b w:val="1"/>
          <w:bCs w:val="1"/>
          <w:i w:val="1"/>
          <w:i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6350</wp:posOffset>
            </wp:positionV>
            <wp:extent cx="699516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6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9 - Segments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ind w:right="100" w:firstLine="318"/>
        <w:spacing w:after="0" w:line="238" w:lineRule="auto"/>
        <w:rPr>
          <w:sz w:val="20"/>
          <w:szCs w:val="20"/>
          <w:color w:val="auto"/>
        </w:rPr>
      </w:pPr>
      <w:r>
        <w:rPr>
          <w:rFonts w:ascii="Arial" w:cs="Arial" w:eastAsia="Arial" w:hAnsi="Arial"/>
          <w:sz w:val="18"/>
          <w:szCs w:val="18"/>
          <w:color w:val="auto"/>
        </w:rPr>
        <w:t>The Company’s reportable segments represent business units with discrete financial information whose results are regularly reviewed by management. The four segments include Commercial Banking, Capital Bank Home Loans (the Company’s mortgage loan division), OpenSky</w:t>
      </w:r>
      <w:r>
        <w:rPr>
          <w:rFonts w:ascii="Arial" w:cs="Arial" w:eastAsia="Arial" w:hAnsi="Arial"/>
          <w:sz w:val="22"/>
          <w:szCs w:val="22"/>
          <w:color w:val="auto"/>
          <w:vertAlign w:val="superscript"/>
        </w:rPr>
        <w:t>®</w:t>
      </w:r>
      <w:r>
        <w:rPr>
          <w:rFonts w:ascii="Arial" w:cs="Arial" w:eastAsia="Arial" w:hAnsi="Arial"/>
          <w:sz w:val="18"/>
          <w:szCs w:val="18"/>
          <w:color w:val="auto"/>
        </w:rPr>
        <w:t xml:space="preserve"> (the Company’s credit card division) and the Corporate Office. The following schedule presents financial information for each reportable segment at March 31, 2022 and March 31, 2021.</w:t>
      </w:r>
    </w:p>
    <w:p>
      <w:pPr>
        <w:spacing w:after="0" w:line="236"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Segments</w:t>
      </w:r>
    </w:p>
    <w:p>
      <w:pPr>
        <w:spacing w:after="0" w:line="186"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For the Three Months Ended March 31, 2022</w:t>
            </w: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18"/>
        </w:trPr>
        <w:tc>
          <w:tcPr>
            <w:tcW w:w="20" w:type="dxa"/>
            <w:vAlign w:val="bottom"/>
          </w:tcPr>
          <w:p>
            <w:pPr>
              <w:spacing w:after="0"/>
              <w:rPr>
                <w:sz w:val="19"/>
                <w:szCs w:val="19"/>
                <w:color w:val="auto"/>
              </w:rPr>
            </w:pPr>
          </w:p>
        </w:tc>
        <w:tc>
          <w:tcPr>
            <w:tcW w:w="3500" w:type="dxa"/>
            <w:vAlign w:val="bottom"/>
            <w:gridSpan w:val="2"/>
          </w:tcPr>
          <w:p>
            <w:pPr>
              <w:spacing w:after="0"/>
              <w:rPr>
                <w:sz w:val="20"/>
                <w:szCs w:val="20"/>
                <w:color w:val="auto"/>
              </w:rPr>
            </w:pPr>
            <w:r>
              <w:rPr>
                <w:rFonts w:ascii="Arial" w:cs="Arial" w:eastAsia="Arial" w:hAnsi="Arial"/>
                <w:sz w:val="11"/>
                <w:szCs w:val="11"/>
                <w:color w:val="auto"/>
              </w:rPr>
              <w:t>(in thousands)</w:t>
            </w:r>
          </w:p>
        </w:tc>
        <w:tc>
          <w:tcPr>
            <w:tcW w:w="1360" w:type="dxa"/>
            <w:vAlign w:val="bottom"/>
            <w:gridSpan w:val="3"/>
          </w:tcPr>
          <w:p>
            <w:pPr>
              <w:ind w:left="40"/>
              <w:spacing w:after="0"/>
              <w:rPr>
                <w:sz w:val="20"/>
                <w:szCs w:val="20"/>
                <w:color w:val="auto"/>
              </w:rPr>
            </w:pPr>
            <w:r>
              <w:rPr>
                <w:rFonts w:ascii="Arial" w:cs="Arial" w:eastAsia="Arial" w:hAnsi="Arial"/>
                <w:sz w:val="14"/>
                <w:szCs w:val="14"/>
                <w:b w:val="1"/>
                <w:bCs w:val="1"/>
                <w:color w:val="auto"/>
              </w:rPr>
              <w:t>Commercial Bank</w:t>
            </w:r>
          </w:p>
        </w:tc>
        <w:tc>
          <w:tcPr>
            <w:tcW w:w="200" w:type="dxa"/>
            <w:vAlign w:val="bottom"/>
          </w:tcPr>
          <w:p>
            <w:pPr>
              <w:spacing w:after="0"/>
              <w:rPr>
                <w:sz w:val="19"/>
                <w:szCs w:val="19"/>
                <w:color w:val="auto"/>
              </w:rPr>
            </w:pPr>
          </w:p>
        </w:tc>
        <w:tc>
          <w:tcPr>
            <w:tcW w:w="880" w:type="dxa"/>
            <w:vAlign w:val="bottom"/>
            <w:gridSpan w:val="2"/>
          </w:tcPr>
          <w:p>
            <w:pPr>
              <w:ind w:left="100"/>
              <w:spacing w:after="0"/>
              <w:rPr>
                <w:sz w:val="20"/>
                <w:szCs w:val="20"/>
                <w:color w:val="auto"/>
              </w:rPr>
            </w:pPr>
            <w:r>
              <w:rPr>
                <w:rFonts w:ascii="Arial" w:cs="Arial" w:eastAsia="Arial" w:hAnsi="Arial"/>
                <w:sz w:val="14"/>
                <w:szCs w:val="14"/>
                <w:b w:val="1"/>
                <w:bCs w:val="1"/>
                <w:color w:val="auto"/>
              </w:rPr>
              <w:t>CBHL</w:t>
            </w:r>
          </w:p>
        </w:tc>
        <w:tc>
          <w:tcPr>
            <w:tcW w:w="140" w:type="dxa"/>
            <w:vAlign w:val="bottom"/>
          </w:tcPr>
          <w:p>
            <w:pPr>
              <w:spacing w:after="0"/>
              <w:rPr>
                <w:sz w:val="19"/>
                <w:szCs w:val="19"/>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OpenSky</w:t>
            </w:r>
            <w:r>
              <w:rPr>
                <w:rFonts w:ascii="Arial" w:cs="Arial" w:eastAsia="Arial" w:hAnsi="Arial"/>
                <w:sz w:val="18"/>
                <w:szCs w:val="18"/>
                <w:b w:val="1"/>
                <w:bCs w:val="1"/>
                <w:color w:val="auto"/>
                <w:vertAlign w:val="superscript"/>
              </w:rPr>
              <w:t>®</w:t>
            </w:r>
          </w:p>
        </w:tc>
        <w:tc>
          <w:tcPr>
            <w:tcW w:w="160" w:type="dxa"/>
            <w:vAlign w:val="bottom"/>
          </w:tcPr>
          <w:p>
            <w:pPr>
              <w:spacing w:after="0"/>
              <w:rPr>
                <w:sz w:val="19"/>
                <w:szCs w:val="19"/>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b w:val="1"/>
                <w:bCs w:val="1"/>
                <w:color w:val="auto"/>
              </w:rPr>
              <w:t>Corporate</w:t>
            </w:r>
            <w:r>
              <w:rPr>
                <w:rFonts w:ascii="Arial" w:cs="Arial" w:eastAsia="Arial" w:hAnsi="Arial"/>
                <w:sz w:val="18"/>
                <w:szCs w:val="18"/>
                <w:b w:val="1"/>
                <w:bCs w:val="1"/>
                <w:color w:val="auto"/>
                <w:vertAlign w:val="superscript"/>
              </w:rPr>
              <w:t>(2)</w:t>
            </w:r>
          </w:p>
        </w:tc>
        <w:tc>
          <w:tcPr>
            <w:tcW w:w="160" w:type="dxa"/>
            <w:vAlign w:val="bottom"/>
          </w:tcPr>
          <w:p>
            <w:pPr>
              <w:spacing w:after="0"/>
              <w:rPr>
                <w:sz w:val="19"/>
                <w:szCs w:val="19"/>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Consolidated</w:t>
            </w:r>
          </w:p>
        </w:tc>
      </w:tr>
      <w:tr>
        <w:trPr>
          <w:trHeight w:val="192"/>
        </w:trPr>
        <w:tc>
          <w:tcPr>
            <w:tcW w:w="20" w:type="dxa"/>
            <w:vAlign w:val="bottom"/>
            <w:tcBorders>
              <w:top w:val="single" w:sz="8" w:color="CCEEFF"/>
            </w:tcBorders>
            <w:shd w:val="clear" w:color="auto" w:fill="CCEEFF"/>
          </w:tcPr>
          <w:p>
            <w:pPr>
              <w:spacing w:after="0"/>
              <w:rPr>
                <w:sz w:val="16"/>
                <w:szCs w:val="16"/>
                <w:color w:val="auto"/>
              </w:rPr>
            </w:pPr>
          </w:p>
        </w:tc>
        <w:tc>
          <w:tcPr>
            <w:tcW w:w="35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Interest income</w:t>
            </w:r>
          </w:p>
        </w:tc>
        <w:tc>
          <w:tcPr>
            <w:tcW w:w="340" w:type="dxa"/>
            <w:vAlign w:val="bottom"/>
            <w:tcBorders>
              <w:top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18,499</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111</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14,940</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889</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(37)</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34,4</w:t>
            </w:r>
          </w:p>
        </w:tc>
      </w:tr>
      <w:tr>
        <w:trPr>
          <w:trHeight w:val="198"/>
        </w:trPr>
        <w:tc>
          <w:tcPr>
            <w:tcW w:w="20" w:type="dxa"/>
            <w:vAlign w:val="bottom"/>
            <w:tcBorders>
              <w:bottom w:val="single" w:sz="8" w:color="CCEEFF"/>
            </w:tcBorders>
          </w:tcPr>
          <w:p>
            <w:pPr>
              <w:spacing w:after="0"/>
              <w:rPr>
                <w:sz w:val="17"/>
                <w:szCs w:val="17"/>
                <w:color w:val="auto"/>
              </w:rPr>
            </w:pPr>
          </w:p>
        </w:tc>
        <w:tc>
          <w:tcPr>
            <w:tcW w:w="350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Interest expense</w:t>
            </w: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853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174</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w:t>
            </w:r>
          </w:p>
        </w:tc>
      </w:tr>
      <w:tr>
        <w:trPr>
          <w:trHeight w:val="193"/>
        </w:trPr>
        <w:tc>
          <w:tcPr>
            <w:tcW w:w="20" w:type="dxa"/>
            <w:vAlign w:val="bottom"/>
            <w:shd w:val="clear" w:color="auto" w:fill="CCEEFF"/>
          </w:tcPr>
          <w:p>
            <w:pPr>
              <w:spacing w:after="0"/>
              <w:rPr>
                <w:sz w:val="16"/>
                <w:szCs w:val="16"/>
                <w:color w:val="auto"/>
              </w:rPr>
            </w:pPr>
          </w:p>
        </w:tc>
        <w:tc>
          <w:tcPr>
            <w:tcW w:w="3500" w:type="dxa"/>
            <w:vAlign w:val="bottom"/>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rPr>
              <w:t>Net interest income</w:t>
            </w: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17,646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14,940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715</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33,3</w:t>
            </w:r>
          </w:p>
        </w:tc>
      </w:tr>
      <w:tr>
        <w:trPr>
          <w:trHeight w:val="198"/>
        </w:trPr>
        <w:tc>
          <w:tcPr>
            <w:tcW w:w="20" w:type="dxa"/>
            <w:vAlign w:val="bottom"/>
            <w:tcBorders>
              <w:bottom w:val="single" w:sz="8" w:color="CCEEFF"/>
            </w:tcBorders>
          </w:tcPr>
          <w:p>
            <w:pPr>
              <w:spacing w:after="0"/>
              <w:rPr>
                <w:sz w:val="17"/>
                <w:szCs w:val="17"/>
                <w:color w:val="auto"/>
              </w:rPr>
            </w:pPr>
          </w:p>
        </w:tc>
        <w:tc>
          <w:tcPr>
            <w:tcW w:w="350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Provision for loan losses</w:t>
            </w: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952</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ind w:left="92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w:t>
            </w:r>
          </w:p>
        </w:tc>
      </w:tr>
      <w:tr>
        <w:trPr>
          <w:trHeight w:val="193"/>
        </w:trPr>
        <w:tc>
          <w:tcPr>
            <w:tcW w:w="20" w:type="dxa"/>
            <w:vAlign w:val="bottom"/>
            <w:shd w:val="clear" w:color="auto" w:fill="CCEEFF"/>
          </w:tcPr>
          <w:p>
            <w:pPr>
              <w:spacing w:after="0"/>
              <w:rPr>
                <w:sz w:val="16"/>
                <w:szCs w:val="16"/>
                <w:color w:val="auto"/>
              </w:rPr>
            </w:pPr>
          </w:p>
        </w:tc>
        <w:tc>
          <w:tcPr>
            <w:tcW w:w="3500" w:type="dxa"/>
            <w:vAlign w:val="bottom"/>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rPr>
              <w:t>Net interest income after provision</w:t>
            </w: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17,646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13,988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715</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32,3</w:t>
            </w:r>
          </w:p>
        </w:tc>
      </w:tr>
      <w:tr>
        <w:trPr>
          <w:trHeight w:val="198"/>
        </w:trPr>
        <w:tc>
          <w:tcPr>
            <w:tcW w:w="20" w:type="dxa"/>
            <w:vAlign w:val="bottom"/>
          </w:tcPr>
          <w:p>
            <w:pPr>
              <w:spacing w:after="0"/>
              <w:rPr>
                <w:sz w:val="17"/>
                <w:szCs w:val="17"/>
                <w:color w:val="auto"/>
              </w:rPr>
            </w:pPr>
          </w:p>
        </w:tc>
        <w:tc>
          <w:tcPr>
            <w:tcW w:w="3500" w:type="dxa"/>
            <w:vAlign w:val="bottom"/>
            <w:gridSpan w:val="2"/>
          </w:tcPr>
          <w:p>
            <w:pPr>
              <w:spacing w:after="0"/>
              <w:rPr>
                <w:sz w:val="20"/>
                <w:szCs w:val="20"/>
                <w:color w:val="auto"/>
              </w:rPr>
            </w:pPr>
            <w:r>
              <w:rPr>
                <w:rFonts w:ascii="Arial" w:cs="Arial" w:eastAsia="Arial" w:hAnsi="Arial"/>
                <w:sz w:val="14"/>
                <w:szCs w:val="14"/>
                <w:color w:val="auto"/>
              </w:rPr>
              <w:t>Noninterest income</w:t>
            </w: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557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1,807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b w:val="1"/>
                <w:bCs w:val="1"/>
                <w:color w:val="auto"/>
              </w:rPr>
              <w:t>5,924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220" w:type="dxa"/>
            <w:vAlign w:val="bottom"/>
            <w:gridSpan w:val="2"/>
          </w:tcPr>
          <w:p>
            <w:pPr>
              <w:ind w:left="92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8,2</w:t>
            </w:r>
          </w:p>
        </w:tc>
      </w:tr>
      <w:tr>
        <w:trPr>
          <w:trHeight w:val="199"/>
        </w:trPr>
        <w:tc>
          <w:tcPr>
            <w:tcW w:w="20" w:type="dxa"/>
            <w:vAlign w:val="bottom"/>
            <w:shd w:val="clear" w:color="auto" w:fill="CCEEFF"/>
          </w:tcPr>
          <w:p>
            <w:pPr>
              <w:spacing w:after="0"/>
              <w:rPr>
                <w:sz w:val="17"/>
                <w:szCs w:val="17"/>
                <w:color w:val="auto"/>
              </w:rPr>
            </w:pPr>
          </w:p>
        </w:tc>
        <w:tc>
          <w:tcPr>
            <w:tcW w:w="3500" w:type="dxa"/>
            <w:vAlign w:val="bottom"/>
            <w:gridSpan w:val="2"/>
            <w:shd w:val="clear" w:color="auto" w:fill="CCEEFF"/>
          </w:tcPr>
          <w:p>
            <w:pPr>
              <w:spacing w:after="0" w:line="200" w:lineRule="exact"/>
              <w:rPr>
                <w:sz w:val="20"/>
                <w:szCs w:val="20"/>
                <w:color w:val="auto"/>
              </w:rPr>
            </w:pPr>
            <w:r>
              <w:rPr>
                <w:rFonts w:ascii="Arial" w:cs="Arial" w:eastAsia="Arial" w:hAnsi="Arial"/>
                <w:sz w:val="14"/>
                <w:szCs w:val="14"/>
                <w:color w:val="auto"/>
              </w:rPr>
              <w:t>Noninterest expense</w:t>
            </w:r>
            <w:r>
              <w:rPr>
                <w:rFonts w:ascii="Arial" w:cs="Arial" w:eastAsia="Arial" w:hAnsi="Arial"/>
                <w:sz w:val="18"/>
                <w:szCs w:val="18"/>
                <w:color w:val="auto"/>
                <w:vertAlign w:val="superscript"/>
              </w:rPr>
              <w:t>(1)</w:t>
            </w:r>
          </w:p>
        </w:tc>
        <w:tc>
          <w:tcPr>
            <w:tcW w:w="3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12,063</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2,099</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12,882</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58</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27,1</w:t>
            </w:r>
          </w:p>
        </w:tc>
      </w:tr>
      <w:tr>
        <w:trPr>
          <w:trHeight w:val="192"/>
        </w:trPr>
        <w:tc>
          <w:tcPr>
            <w:tcW w:w="20" w:type="dxa"/>
            <w:vAlign w:val="bottom"/>
          </w:tcPr>
          <w:p>
            <w:pPr>
              <w:spacing w:after="0"/>
              <w:rPr>
                <w:sz w:val="16"/>
                <w:szCs w:val="16"/>
                <w:color w:val="auto"/>
              </w:rPr>
            </w:pPr>
          </w:p>
        </w:tc>
        <w:tc>
          <w:tcPr>
            <w:tcW w:w="3500" w:type="dxa"/>
            <w:vAlign w:val="bottom"/>
            <w:gridSpan w:val="2"/>
          </w:tcPr>
          <w:p>
            <w:pPr>
              <w:ind w:left="120"/>
              <w:spacing w:after="0"/>
              <w:rPr>
                <w:sz w:val="20"/>
                <w:szCs w:val="20"/>
                <w:color w:val="auto"/>
              </w:rPr>
            </w:pPr>
            <w:r>
              <w:rPr>
                <w:rFonts w:ascii="Arial" w:cs="Arial" w:eastAsia="Arial" w:hAnsi="Arial"/>
                <w:sz w:val="14"/>
                <w:szCs w:val="14"/>
                <w:b w:val="1"/>
                <w:bCs w:val="1"/>
                <w:color w:val="auto"/>
              </w:rPr>
              <w:t>Net income before taxes</w:t>
            </w:r>
          </w:p>
        </w:tc>
        <w:tc>
          <w:tcPr>
            <w:tcW w:w="340" w:type="dxa"/>
            <w:vAlign w:val="bottom"/>
          </w:tcPr>
          <w:p>
            <w:pPr>
              <w:jc w:val="right"/>
              <w:ind w:right="169"/>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6,140</w:t>
            </w:r>
          </w:p>
        </w:tc>
        <w:tc>
          <w:tcPr>
            <w:tcW w:w="100" w:type="dxa"/>
            <w:vAlign w:val="bottom"/>
          </w:tcPr>
          <w:p>
            <w:pPr>
              <w:spacing w:after="0"/>
              <w:rPr>
                <w:sz w:val="16"/>
                <w:szCs w:val="16"/>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(262)</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960" w:type="dxa"/>
            <w:vAlign w:val="bottom"/>
          </w:tcPr>
          <w:p>
            <w:pPr>
              <w:jc w:val="right"/>
              <w:ind w:right="9"/>
              <w:spacing w:after="0"/>
              <w:rPr>
                <w:sz w:val="20"/>
                <w:szCs w:val="20"/>
                <w:color w:val="auto"/>
              </w:rPr>
            </w:pPr>
            <w:r>
              <w:rPr>
                <w:rFonts w:ascii="Arial" w:cs="Arial" w:eastAsia="Arial" w:hAnsi="Arial"/>
                <w:sz w:val="14"/>
                <w:szCs w:val="14"/>
                <w:b w:val="1"/>
                <w:bCs w:val="1"/>
                <w:color w:val="auto"/>
              </w:rPr>
              <w:t>7,030</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9"/>
              <w:spacing w:after="0"/>
              <w:rPr>
                <w:sz w:val="20"/>
                <w:szCs w:val="20"/>
                <w:color w:val="auto"/>
              </w:rPr>
            </w:pPr>
            <w:r>
              <w:rPr>
                <w:rFonts w:ascii="Arial" w:cs="Arial" w:eastAsia="Arial" w:hAnsi="Arial"/>
                <w:sz w:val="14"/>
                <w:szCs w:val="14"/>
                <w:b w:val="1"/>
                <w:bCs w:val="1"/>
                <w:color w:val="auto"/>
              </w:rPr>
              <w:t>657</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gridSpan w:val="2"/>
          </w:tcPr>
          <w:p>
            <w:pPr>
              <w:ind w:left="92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13,5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9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179"/>
        </w:trPr>
        <w:tc>
          <w:tcPr>
            <w:tcW w:w="20" w:type="dxa"/>
            <w:vAlign w:val="bottom"/>
            <w:shd w:val="clear" w:color="auto" w:fill="CCEEFF"/>
          </w:tcPr>
          <w:p>
            <w:pPr>
              <w:spacing w:after="0"/>
              <w:rPr>
                <w:sz w:val="15"/>
                <w:szCs w:val="15"/>
                <w:color w:val="auto"/>
              </w:rPr>
            </w:pPr>
          </w:p>
        </w:tc>
        <w:tc>
          <w:tcPr>
            <w:tcW w:w="29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99"/>
        </w:trPr>
        <w:tc>
          <w:tcPr>
            <w:tcW w:w="20" w:type="dxa"/>
            <w:vAlign w:val="bottom"/>
          </w:tcPr>
          <w:p>
            <w:pPr>
              <w:spacing w:after="0"/>
              <w:rPr>
                <w:sz w:val="17"/>
                <w:szCs w:val="17"/>
                <w:color w:val="auto"/>
              </w:rPr>
            </w:pPr>
          </w:p>
        </w:tc>
        <w:tc>
          <w:tcPr>
            <w:tcW w:w="3500" w:type="dxa"/>
            <w:vAlign w:val="bottom"/>
            <w:gridSpan w:val="2"/>
          </w:tcPr>
          <w:p>
            <w:pPr>
              <w:spacing w:after="0"/>
              <w:rPr>
                <w:sz w:val="20"/>
                <w:szCs w:val="20"/>
                <w:color w:val="auto"/>
              </w:rPr>
            </w:pPr>
            <w:r>
              <w:rPr>
                <w:rFonts w:ascii="Arial" w:cs="Arial" w:eastAsia="Arial" w:hAnsi="Arial"/>
                <w:sz w:val="14"/>
                <w:szCs w:val="14"/>
                <w:b w:val="1"/>
                <w:bCs w:val="1"/>
                <w:color w:val="auto"/>
              </w:rPr>
              <w:t>Total assets</w:t>
            </w:r>
          </w:p>
        </w:tc>
        <w:tc>
          <w:tcPr>
            <w:tcW w:w="34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1,938,326</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17,630</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122,756</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222,167</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(178,426)</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2,122,4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9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78"/>
        </w:trPr>
        <w:tc>
          <w:tcPr>
            <w:tcW w:w="20" w:type="dxa"/>
            <w:vAlign w:val="bottom"/>
            <w:shd w:val="clear" w:color="auto" w:fill="CCEEFF"/>
          </w:tcPr>
          <w:p>
            <w:pPr>
              <w:spacing w:after="0"/>
              <w:rPr>
                <w:sz w:val="15"/>
                <w:szCs w:val="15"/>
                <w:color w:val="auto"/>
              </w:rPr>
            </w:pPr>
          </w:p>
        </w:tc>
        <w:tc>
          <w:tcPr>
            <w:tcW w:w="29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69"/>
        </w:trPr>
        <w:tc>
          <w:tcPr>
            <w:tcW w:w="20" w:type="dxa"/>
            <w:vAlign w:val="bottom"/>
          </w:tcPr>
          <w:p>
            <w:pPr>
              <w:spacing w:after="0"/>
              <w:rPr>
                <w:sz w:val="14"/>
                <w:szCs w:val="14"/>
                <w:color w:val="auto"/>
              </w:rPr>
            </w:pPr>
          </w:p>
        </w:tc>
        <w:tc>
          <w:tcPr>
            <w:tcW w:w="296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b w:val="1"/>
                <w:bCs w:val="1"/>
                <w:color w:val="auto"/>
              </w:rPr>
              <w:t>For the Three Months Ended March 31, 2021</w:t>
            </w: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09"/>
        </w:trPr>
        <w:tc>
          <w:tcPr>
            <w:tcW w:w="20" w:type="dxa"/>
            <w:vAlign w:val="bottom"/>
            <w:shd w:val="clear" w:color="auto" w:fill="CCEEFF"/>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Interest income</w:t>
            </w:r>
          </w:p>
        </w:tc>
        <w:tc>
          <w:tcPr>
            <w:tcW w:w="34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17,563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8,195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430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w:t>
            </w:r>
          </w:p>
        </w:tc>
      </w:tr>
      <w:tr>
        <w:trPr>
          <w:trHeight w:val="194"/>
        </w:trPr>
        <w:tc>
          <w:tcPr>
            <w:tcW w:w="20" w:type="dxa"/>
            <w:vAlign w:val="bottom"/>
            <w:tcBorders>
              <w:bottom w:val="single" w:sz="8" w:color="CCEEFF"/>
            </w:tcBorders>
          </w:tcPr>
          <w:p>
            <w:pPr>
              <w:spacing w:after="0"/>
              <w:rPr>
                <w:sz w:val="16"/>
                <w:szCs w:val="16"/>
                <w:color w:val="auto"/>
              </w:rPr>
            </w:pPr>
          </w:p>
        </w:tc>
        <w:tc>
          <w:tcPr>
            <w:tcW w:w="350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Interest expense</w:t>
            </w: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162</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r>
      <w:tr>
        <w:trPr>
          <w:trHeight w:val="197"/>
        </w:trPr>
        <w:tc>
          <w:tcPr>
            <w:tcW w:w="20" w:type="dxa"/>
            <w:vAlign w:val="bottom"/>
            <w:shd w:val="clear" w:color="auto" w:fill="CCEEFF"/>
          </w:tcPr>
          <w:p>
            <w:pPr>
              <w:spacing w:after="0"/>
              <w:rPr>
                <w:sz w:val="17"/>
                <w:szCs w:val="17"/>
                <w:color w:val="auto"/>
              </w:rPr>
            </w:pPr>
          </w:p>
        </w:tc>
        <w:tc>
          <w:tcPr>
            <w:tcW w:w="3500" w:type="dxa"/>
            <w:vAlign w:val="bottom"/>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rPr>
              <w:t>Net interest income</w:t>
            </w: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15,852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8,195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268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w:t>
            </w:r>
          </w:p>
        </w:tc>
      </w:tr>
      <w:tr>
        <w:trPr>
          <w:trHeight w:val="225"/>
        </w:trPr>
        <w:tc>
          <w:tcPr>
            <w:tcW w:w="20" w:type="dxa"/>
            <w:vAlign w:val="bottom"/>
            <w:tcBorders>
              <w:bottom w:val="single" w:sz="8" w:color="CCEEFF"/>
            </w:tcBorders>
          </w:tcPr>
          <w:p>
            <w:pPr>
              <w:spacing w:after="0"/>
              <w:rPr>
                <w:sz w:val="19"/>
                <w:szCs w:val="19"/>
                <w:color w:val="auto"/>
              </w:rPr>
            </w:pPr>
          </w:p>
        </w:tc>
        <w:tc>
          <w:tcPr>
            <w:tcW w:w="350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Provision for loan losses</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70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9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r>
      <w:tr>
        <w:trPr>
          <w:trHeight w:val="192"/>
        </w:trPr>
        <w:tc>
          <w:tcPr>
            <w:tcW w:w="20" w:type="dxa"/>
            <w:vAlign w:val="bottom"/>
            <w:shd w:val="clear" w:color="auto" w:fill="CCEEFF"/>
          </w:tcPr>
          <w:p>
            <w:pPr>
              <w:spacing w:after="0"/>
              <w:rPr>
                <w:sz w:val="16"/>
                <w:szCs w:val="16"/>
                <w:color w:val="auto"/>
              </w:rPr>
            </w:pPr>
          </w:p>
        </w:tc>
        <w:tc>
          <w:tcPr>
            <w:tcW w:w="3500" w:type="dxa"/>
            <w:vAlign w:val="bottom"/>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rPr>
              <w:t>Net interest income after provision</w:t>
            </w: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15,419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8,195</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198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w:t>
            </w:r>
          </w:p>
        </w:tc>
      </w:tr>
      <w:tr>
        <w:trPr>
          <w:trHeight w:val="194"/>
        </w:trPr>
        <w:tc>
          <w:tcPr>
            <w:tcW w:w="20" w:type="dxa"/>
            <w:vAlign w:val="bottom"/>
          </w:tcPr>
          <w:p>
            <w:pPr>
              <w:spacing w:after="0"/>
              <w:rPr>
                <w:sz w:val="16"/>
                <w:szCs w:val="16"/>
                <w:color w:val="auto"/>
              </w:rPr>
            </w:pPr>
          </w:p>
        </w:tc>
        <w:tc>
          <w:tcPr>
            <w:tcW w:w="3500" w:type="dxa"/>
            <w:vAlign w:val="bottom"/>
            <w:gridSpan w:val="2"/>
          </w:tcPr>
          <w:p>
            <w:pPr>
              <w:spacing w:after="0"/>
              <w:rPr>
                <w:sz w:val="20"/>
                <w:szCs w:val="20"/>
                <w:color w:val="auto"/>
              </w:rPr>
            </w:pPr>
            <w:r>
              <w:rPr>
                <w:rFonts w:ascii="Arial" w:cs="Arial" w:eastAsia="Arial" w:hAnsi="Arial"/>
                <w:sz w:val="14"/>
                <w:szCs w:val="14"/>
                <w:color w:val="auto"/>
              </w:rPr>
              <w:t>Noninterest income</w:t>
            </w:r>
          </w:p>
        </w:tc>
        <w:tc>
          <w:tcPr>
            <w:tcW w:w="3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229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7,782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5,940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20" w:type="dxa"/>
            <w:vAlign w:val="bottom"/>
            <w:gridSpan w:val="2"/>
          </w:tcPr>
          <w:p>
            <w:pPr>
              <w:ind w:left="9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13,9</w:t>
            </w:r>
          </w:p>
        </w:tc>
      </w:tr>
      <w:tr>
        <w:trPr>
          <w:trHeight w:val="203"/>
        </w:trPr>
        <w:tc>
          <w:tcPr>
            <w:tcW w:w="20" w:type="dxa"/>
            <w:vAlign w:val="bottom"/>
            <w:shd w:val="clear" w:color="auto" w:fill="CCEEFF"/>
          </w:tcPr>
          <w:p>
            <w:pPr>
              <w:spacing w:after="0"/>
              <w:rPr>
                <w:sz w:val="17"/>
                <w:szCs w:val="17"/>
                <w:color w:val="auto"/>
              </w:rPr>
            </w:pPr>
          </w:p>
        </w:tc>
        <w:tc>
          <w:tcPr>
            <w:tcW w:w="3500" w:type="dxa"/>
            <w:vAlign w:val="bottom"/>
            <w:gridSpan w:val="2"/>
            <w:shd w:val="clear" w:color="auto" w:fill="CCEEFF"/>
          </w:tcPr>
          <w:p>
            <w:pPr>
              <w:spacing w:after="0" w:line="203" w:lineRule="exact"/>
              <w:rPr>
                <w:sz w:val="20"/>
                <w:szCs w:val="20"/>
                <w:color w:val="auto"/>
              </w:rPr>
            </w:pPr>
            <w:r>
              <w:rPr>
                <w:rFonts w:ascii="Arial" w:cs="Arial" w:eastAsia="Arial" w:hAnsi="Arial"/>
                <w:sz w:val="14"/>
                <w:szCs w:val="14"/>
                <w:color w:val="auto"/>
              </w:rPr>
              <w:t>Noninterest expense</w:t>
            </w:r>
            <w:r>
              <w:rPr>
                <w:rFonts w:ascii="Arial" w:cs="Arial" w:eastAsia="Arial" w:hAnsi="Arial"/>
                <w:sz w:val="18"/>
                <w:szCs w:val="18"/>
                <w:color w:val="auto"/>
                <w:vertAlign w:val="superscript"/>
              </w:rPr>
              <w:t>(1)</w:t>
            </w:r>
          </w:p>
        </w:tc>
        <w:tc>
          <w:tcPr>
            <w:tcW w:w="3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9,390</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3,928</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12,373</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76</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25,7</w:t>
            </w:r>
          </w:p>
        </w:tc>
      </w:tr>
      <w:tr>
        <w:trPr>
          <w:trHeight w:val="192"/>
        </w:trPr>
        <w:tc>
          <w:tcPr>
            <w:tcW w:w="20" w:type="dxa"/>
            <w:vAlign w:val="bottom"/>
          </w:tcPr>
          <w:p>
            <w:pPr>
              <w:spacing w:after="0"/>
              <w:rPr>
                <w:sz w:val="16"/>
                <w:szCs w:val="16"/>
                <w:color w:val="auto"/>
              </w:rPr>
            </w:pPr>
          </w:p>
        </w:tc>
        <w:tc>
          <w:tcPr>
            <w:tcW w:w="3500" w:type="dxa"/>
            <w:vAlign w:val="bottom"/>
            <w:gridSpan w:val="2"/>
          </w:tcPr>
          <w:p>
            <w:pPr>
              <w:ind w:left="120"/>
              <w:spacing w:after="0"/>
              <w:rPr>
                <w:sz w:val="20"/>
                <w:szCs w:val="20"/>
                <w:color w:val="auto"/>
              </w:rPr>
            </w:pPr>
            <w:r>
              <w:rPr>
                <w:rFonts w:ascii="Arial" w:cs="Arial" w:eastAsia="Arial" w:hAnsi="Arial"/>
                <w:sz w:val="14"/>
                <w:szCs w:val="14"/>
                <w:b w:val="1"/>
                <w:bCs w:val="1"/>
                <w:color w:val="auto"/>
              </w:rPr>
              <w:t>Net income before taxes</w:t>
            </w:r>
          </w:p>
        </w:tc>
        <w:tc>
          <w:tcPr>
            <w:tcW w:w="3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6,258</w:t>
            </w:r>
          </w:p>
        </w:tc>
        <w:tc>
          <w:tcPr>
            <w:tcW w:w="100" w:type="dxa"/>
            <w:vAlign w:val="bottom"/>
          </w:tcPr>
          <w:p>
            <w:pPr>
              <w:spacing w:after="0"/>
              <w:rPr>
                <w:sz w:val="16"/>
                <w:szCs w:val="16"/>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3,983</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1,762</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9"/>
              <w:spacing w:after="0"/>
              <w:rPr>
                <w:sz w:val="20"/>
                <w:szCs w:val="20"/>
                <w:color w:val="auto"/>
              </w:rPr>
            </w:pPr>
            <w:r>
              <w:rPr>
                <w:rFonts w:ascii="Arial" w:cs="Arial" w:eastAsia="Arial" w:hAnsi="Arial"/>
                <w:sz w:val="14"/>
                <w:szCs w:val="14"/>
                <w:color w:val="auto"/>
              </w:rPr>
              <w:t>122</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tcPr>
          <w:p>
            <w:pPr>
              <w:ind w:left="9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9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179"/>
        </w:trPr>
        <w:tc>
          <w:tcPr>
            <w:tcW w:w="20" w:type="dxa"/>
            <w:vAlign w:val="bottom"/>
            <w:shd w:val="clear" w:color="auto" w:fill="CCEEFF"/>
          </w:tcPr>
          <w:p>
            <w:pPr>
              <w:spacing w:after="0"/>
              <w:rPr>
                <w:sz w:val="15"/>
                <w:szCs w:val="15"/>
                <w:color w:val="auto"/>
              </w:rPr>
            </w:pPr>
          </w:p>
        </w:tc>
        <w:tc>
          <w:tcPr>
            <w:tcW w:w="29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99"/>
        </w:trPr>
        <w:tc>
          <w:tcPr>
            <w:tcW w:w="20" w:type="dxa"/>
            <w:vAlign w:val="bottom"/>
          </w:tcPr>
          <w:p>
            <w:pPr>
              <w:spacing w:after="0"/>
              <w:rPr>
                <w:sz w:val="17"/>
                <w:szCs w:val="17"/>
                <w:color w:val="auto"/>
              </w:rPr>
            </w:pPr>
          </w:p>
        </w:tc>
        <w:tc>
          <w:tcPr>
            <w:tcW w:w="3500" w:type="dxa"/>
            <w:vAlign w:val="bottom"/>
            <w:gridSpan w:val="2"/>
          </w:tcPr>
          <w:p>
            <w:pPr>
              <w:spacing w:after="0"/>
              <w:rPr>
                <w:sz w:val="20"/>
                <w:szCs w:val="20"/>
                <w:color w:val="auto"/>
              </w:rPr>
            </w:pPr>
            <w:r>
              <w:rPr>
                <w:rFonts w:ascii="Arial" w:cs="Arial" w:eastAsia="Arial" w:hAnsi="Arial"/>
                <w:sz w:val="14"/>
                <w:szCs w:val="14"/>
                <w:b w:val="1"/>
                <w:bCs w:val="1"/>
                <w:color w:val="auto"/>
              </w:rPr>
              <w:t>Total assets</w:t>
            </w:r>
          </w:p>
        </w:tc>
        <w:tc>
          <w:tcPr>
            <w:tcW w:w="34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1,901,758</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60,715</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94,641</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186,189</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(151,452)</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2,091,8</w:t>
            </w: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w:t>
      </w:r>
    </w:p>
    <w:p>
      <w:pPr>
        <w:spacing w:after="0" w:line="29" w:lineRule="exact"/>
        <w:rPr>
          <w:sz w:val="20"/>
          <w:szCs w:val="20"/>
          <w:color w:val="auto"/>
        </w:rPr>
      </w:pPr>
    </w:p>
    <w:p>
      <w:pPr>
        <w:ind w:left="220" w:hanging="214"/>
        <w:spacing w:after="0"/>
        <w:tabs>
          <w:tab w:leader="none" w:pos="220" w:val="left"/>
        </w:tabs>
        <w:numPr>
          <w:ilvl w:val="0"/>
          <w:numId w:val="7"/>
        </w:numPr>
        <w:rPr>
          <w:rFonts w:ascii="Arial" w:cs="Arial" w:eastAsia="Arial" w:hAnsi="Arial"/>
          <w:sz w:val="16"/>
          <w:szCs w:val="16"/>
          <w:color w:val="auto"/>
          <w:vertAlign w:val="superscript"/>
        </w:rPr>
      </w:pPr>
      <w:r>
        <w:rPr>
          <w:rFonts w:ascii="Arial" w:cs="Arial" w:eastAsia="Arial" w:hAnsi="Arial"/>
          <w:sz w:val="12"/>
          <w:szCs w:val="12"/>
          <w:color w:val="auto"/>
        </w:rPr>
        <w:t>Noninterest expense includes $7.6 million and $8.6 million in data processing expense in OpenSky’s</w:t>
      </w:r>
      <w:r>
        <w:rPr>
          <w:rFonts w:ascii="Arial" w:cs="Arial" w:eastAsia="Arial" w:hAnsi="Arial"/>
          <w:sz w:val="16"/>
          <w:szCs w:val="16"/>
          <w:color w:val="auto"/>
          <w:vertAlign w:val="superscript"/>
        </w:rPr>
        <w:t>®</w:t>
      </w:r>
      <w:r>
        <w:rPr>
          <w:rFonts w:ascii="Arial" w:cs="Arial" w:eastAsia="Arial" w:hAnsi="Arial"/>
          <w:sz w:val="12"/>
          <w:szCs w:val="12"/>
          <w:color w:val="auto"/>
        </w:rPr>
        <w:t xml:space="preserve"> segment for the three months ended March 31, 2022 and 2021, respectively.</w:t>
      </w:r>
    </w:p>
    <w:p>
      <w:pPr>
        <w:ind w:left="200" w:hanging="194"/>
        <w:spacing w:after="0" w:line="198" w:lineRule="auto"/>
        <w:tabs>
          <w:tab w:leader="none" w:pos="200" w:val="left"/>
        </w:tabs>
        <w:numPr>
          <w:ilvl w:val="0"/>
          <w:numId w:val="7"/>
        </w:numPr>
        <w:rPr>
          <w:rFonts w:ascii="Arial" w:cs="Arial" w:eastAsia="Arial" w:hAnsi="Arial"/>
          <w:sz w:val="16"/>
          <w:szCs w:val="16"/>
          <w:color w:val="auto"/>
          <w:vertAlign w:val="superscript"/>
        </w:rPr>
      </w:pPr>
      <w:r>
        <w:rPr>
          <w:rFonts w:ascii="Arial" w:cs="Arial" w:eastAsia="Arial" w:hAnsi="Arial"/>
          <w:sz w:val="12"/>
          <w:szCs w:val="12"/>
          <w:color w:val="auto"/>
        </w:rPr>
        <w:t>The Corporate segment invests idle cash in revenue producing assets including interest-bearing cash accounts, loan participations and other appropriate investments for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262255</wp:posOffset>
            </wp:positionV>
            <wp:extent cx="716026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617" w:right="239" w:bottom="1440" w:gutter="0" w:footer="0" w:header="0"/>
        </w:sectPr>
      </w:pPr>
    </w:p>
    <w:bookmarkStart w:id="37" w:name="page38"/>
    <w:bookmarkEnd w:id="37"/>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following discussion and analysis is intended as a review of significant factors affecting the Company’s financial condition and results of operations for the periods indicated. This discussion and analysis should be read in conjunction with the accompanying consolidated financial statements and the related notes and the Company’s Annual Report on Form 10-K for the year ended December 31, 2021.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SECURITIES LITIGATION REFORM ACT SAFE HARBOR STATEMENT</w:t>
      </w:r>
    </w:p>
    <w:p>
      <w:pPr>
        <w:spacing w:after="0" w:line="219"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This Quarterly Report on Form 10-Q and oral statements made from time-to-time by our representatives contain “forward-looking statements” within the meaning of the Private Securities Litigation Reform Act of 1995 that are subject to risks and uncertainties. You should not place undue reliance on such statements because they are subject to numerous risks and uncertainties relating to our operations and the business environment in which we operate, all of which are difficult to predict and many of which are beyond our control. Forward-looking statements include information concerning our possible or assumed future results of operations, including descriptions of our business strategy, expectations, beliefs, projections, anticipated events or trends, growth prospects, financial performance, and similar expressions concerning matters that are not historical facts. These statements often include words such as “may,” “believe,” “expect,” “anticipate,” “potential,” “opportunity,” “intend,” “endeavor,” “plan,” “estimate,” “could,” “project,” “seek,” “should,” “will,” or “would,” or the negative of these words and phrases or similar words and phrases.</w:t>
      </w:r>
    </w:p>
    <w:p>
      <w:pPr>
        <w:spacing w:after="0" w:line="187"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The following factors, among others, could cause our financial performance to differ materially from that expressed in such forward-looking statements:</w:t>
      </w:r>
    </w:p>
    <w:p>
      <w:pPr>
        <w:spacing w:after="0" w:line="16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General Economic Conditions</w:t>
      </w:r>
    </w:p>
    <w:p>
      <w:pPr>
        <w:spacing w:after="0" w:line="219" w:lineRule="exact"/>
        <w:rPr>
          <w:sz w:val="20"/>
          <w:szCs w:val="20"/>
          <w:color w:val="auto"/>
        </w:rPr>
      </w:pPr>
    </w:p>
    <w:p>
      <w:pPr>
        <w:jc w:val="both"/>
        <w:ind w:left="640" w:hanging="316"/>
        <w:spacing w:after="0" w:line="260"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geopolitical concerns, including the ongoing war in Ukraine; the magnitude and duration of the COVID-19 pandemic and related variants and mutations and their impact on the global economy and financial market conditions and our business, results of operations, and financial condition;</w:t>
      </w:r>
    </w:p>
    <w:p>
      <w:pPr>
        <w:spacing w:after="0" w:line="122"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economic conditions (including the interest rate environment, government economic and monetary policies, the strength of global financial markets and inflation and deflation) that impact the financial services industry as a whole and/or our business;</w:t>
      </w:r>
    </w:p>
    <w:p>
      <w:pPr>
        <w:spacing w:after="0" w:line="110" w:lineRule="exact"/>
        <w:rPr>
          <w:rFonts w:ascii="Arial" w:cs="Arial" w:eastAsia="Arial" w:hAnsi="Arial"/>
          <w:sz w:val="18"/>
          <w:szCs w:val="18"/>
          <w:color w:val="auto"/>
        </w:rPr>
      </w:pPr>
    </w:p>
    <w:p>
      <w:pPr>
        <w:ind w:left="640" w:right="20" w:hanging="316"/>
        <w:spacing w:after="0" w:line="274"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interest rate risk associated with our business, including sensitivity of our interest earning assets and interest bearing liabilities to changes in interest rates, and the impact to our earnings from changes in interest rates;</w:t>
      </w:r>
    </w:p>
    <w:p>
      <w:pPr>
        <w:spacing w:after="0" w:line="110"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concentration of our business in the Washington, D.C. and Baltimore, Maryland metropolitan areas and the effect of changes in the economic, political and environmental conditions on these markets;</w:t>
      </w:r>
    </w:p>
    <w:p>
      <w:pPr>
        <w:spacing w:after="0" w:line="10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General Business Operations</w:t>
      </w:r>
    </w:p>
    <w:p>
      <w:pPr>
        <w:spacing w:after="0" w:line="219" w:lineRule="exact"/>
        <w:rPr>
          <w:sz w:val="20"/>
          <w:szCs w:val="20"/>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prudently manage our growth and execute our strategy;</w:t>
      </w:r>
    </w:p>
    <w:p>
      <w:pPr>
        <w:spacing w:after="0" w:line="164"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plans to grow our commercial real estate and commercial business loan portfolios which may carry material risks of non-payment or other unfavorable consequences;</w:t>
      </w:r>
    </w:p>
    <w:p>
      <w:pPr>
        <w:spacing w:after="0" w:line="110"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strategic acquisitions we may undertake to achieve our goals;</w:t>
      </w:r>
    </w:p>
    <w:p>
      <w:pPr>
        <w:spacing w:after="0" w:line="164"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dependence on our information technology and telecommunications systems and the potential for any systems failures or interruptions;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262255</wp:posOffset>
            </wp:positionV>
            <wp:extent cx="716026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167" w:lineRule="exact"/>
        <w:rPr>
          <w:sz w:val="20"/>
          <w:szCs w:val="20"/>
          <w:color w:val="auto"/>
        </w:rPr>
      </w:pPr>
    </w:p>
    <w:p>
      <w:pPr>
        <w:ind w:left="320" w:hanging="316"/>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dependence upon outside third parties for the processing and handling of our records and data;</w:t>
      </w:r>
    </w:p>
    <w:p>
      <w:pPr>
        <w:spacing w:after="0" w:line="164" w:lineRule="exact"/>
        <w:rPr>
          <w:rFonts w:ascii="Arial" w:cs="Arial" w:eastAsia="Arial" w:hAnsi="Arial"/>
          <w:sz w:val="18"/>
          <w:szCs w:val="18"/>
          <w:color w:val="auto"/>
        </w:rPr>
      </w:pPr>
    </w:p>
    <w:p>
      <w:pPr>
        <w:ind w:left="320" w:hanging="316"/>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adapt to technological change;</w:t>
      </w:r>
    </w:p>
    <w:p>
      <w:pPr>
        <w:spacing w:after="0" w:line="164" w:lineRule="exact"/>
        <w:rPr>
          <w:rFonts w:ascii="Arial" w:cs="Arial" w:eastAsia="Arial" w:hAnsi="Arial"/>
          <w:sz w:val="18"/>
          <w:szCs w:val="18"/>
          <w:color w:val="auto"/>
        </w:rPr>
      </w:pPr>
    </w:p>
    <w:p>
      <w:pPr>
        <w:ind w:left="320" w:hanging="316"/>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engagement in derivative transactions;</w:t>
      </w:r>
    </w:p>
    <w:p>
      <w:pPr>
        <w:spacing w:after="0" w:line="164" w:lineRule="exact"/>
        <w:rPr>
          <w:rFonts w:ascii="Arial" w:cs="Arial" w:eastAsia="Arial" w:hAnsi="Arial"/>
          <w:sz w:val="18"/>
          <w:szCs w:val="18"/>
          <w:color w:val="auto"/>
        </w:rPr>
      </w:pPr>
    </w:p>
    <w:p>
      <w:pPr>
        <w:ind w:left="320" w:hanging="316"/>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volatility and direction of market interest rates;</w:t>
      </w:r>
    </w:p>
    <w:p>
      <w:pPr>
        <w:spacing w:after="0" w:line="164" w:lineRule="exact"/>
        <w:rPr>
          <w:rFonts w:ascii="Arial" w:cs="Arial" w:eastAsia="Arial" w:hAnsi="Arial"/>
          <w:sz w:val="18"/>
          <w:szCs w:val="18"/>
          <w:color w:val="auto"/>
        </w:rPr>
      </w:pPr>
    </w:p>
    <w:p>
      <w:pPr>
        <w:ind w:left="320" w:hanging="316"/>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fluctuations in the fair value of our investment securities that are beyond our control;</w:t>
      </w:r>
    </w:p>
    <w:p>
      <w:pPr>
        <w:spacing w:after="0" w:line="164" w:lineRule="exact"/>
        <w:rPr>
          <w:rFonts w:ascii="Arial" w:cs="Arial" w:eastAsia="Arial" w:hAnsi="Arial"/>
          <w:sz w:val="18"/>
          <w:szCs w:val="18"/>
          <w:color w:val="auto"/>
        </w:rPr>
      </w:pPr>
    </w:p>
    <w:p>
      <w:pPr>
        <w:ind w:left="320" w:hanging="316"/>
        <w:spacing w:after="0" w:line="274" w:lineRule="auto"/>
        <w:tabs>
          <w:tab w:leader="none" w:pos="31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transition away from USD London Interbank Offering Rate (“LIBOR”) and related uncertainty and costs regarding potential alternative reference rates, including the Secured Overnight Financing Rate (“SOFR”);</w:t>
      </w:r>
    </w:p>
    <w:p>
      <w:pPr>
        <w:spacing w:after="0" w:line="110" w:lineRule="exact"/>
        <w:rPr>
          <w:rFonts w:ascii="Arial" w:cs="Arial" w:eastAsia="Arial" w:hAnsi="Arial"/>
          <w:sz w:val="18"/>
          <w:szCs w:val="18"/>
          <w:color w:val="auto"/>
        </w:rPr>
      </w:pPr>
    </w:p>
    <w:p>
      <w:pPr>
        <w:ind w:left="320" w:hanging="316"/>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adequacy of reserves, including our allowance for loan losses;</w:t>
      </w:r>
    </w:p>
    <w:p>
      <w:pPr>
        <w:spacing w:after="0" w:line="164" w:lineRule="exact"/>
        <w:rPr>
          <w:rFonts w:ascii="Arial" w:cs="Arial" w:eastAsia="Arial" w:hAnsi="Arial"/>
          <w:sz w:val="18"/>
          <w:szCs w:val="18"/>
          <w:color w:val="auto"/>
        </w:rPr>
      </w:pPr>
    </w:p>
    <w:p>
      <w:pPr>
        <w:ind w:left="320" w:hanging="316"/>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deterioration of our asset quality;</w:t>
      </w:r>
    </w:p>
    <w:p>
      <w:pPr>
        <w:spacing w:after="0" w:line="164" w:lineRule="exact"/>
        <w:rPr>
          <w:rFonts w:ascii="Arial" w:cs="Arial" w:eastAsia="Arial" w:hAnsi="Arial"/>
          <w:sz w:val="18"/>
          <w:szCs w:val="18"/>
          <w:color w:val="auto"/>
        </w:rPr>
      </w:pPr>
    </w:p>
    <w:p>
      <w:pPr>
        <w:ind w:left="320" w:hanging="316"/>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the value of collateral securing our loans;</w:t>
      </w:r>
    </w:p>
    <w:p>
      <w:pPr>
        <w:spacing w:after="0" w:line="164" w:lineRule="exact"/>
        <w:rPr>
          <w:rFonts w:ascii="Arial" w:cs="Arial" w:eastAsia="Arial" w:hAnsi="Arial"/>
          <w:sz w:val="18"/>
          <w:szCs w:val="18"/>
          <w:color w:val="auto"/>
        </w:rPr>
      </w:pPr>
    </w:p>
    <w:p>
      <w:pPr>
        <w:ind w:left="320" w:hanging="316"/>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liquidity and operations risks associated with our business;</w:t>
      </w:r>
    </w:p>
    <w:p>
      <w:pPr>
        <w:spacing w:after="0" w:line="164" w:lineRule="exact"/>
        <w:rPr>
          <w:rFonts w:ascii="Arial" w:cs="Arial" w:eastAsia="Arial" w:hAnsi="Arial"/>
          <w:sz w:val="18"/>
          <w:szCs w:val="18"/>
          <w:color w:val="auto"/>
        </w:rPr>
      </w:pPr>
    </w:p>
    <w:p>
      <w:pPr>
        <w:ind w:left="320" w:hanging="316"/>
        <w:spacing w:after="0" w:line="274" w:lineRule="auto"/>
        <w:tabs>
          <w:tab w:leader="none" w:pos="31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effectiveness of our internal controls over financial reporting and our ability to remediate any future material weakness in our internal controls over financial reporting;</w:t>
      </w:r>
    </w:p>
    <w:p>
      <w:pPr>
        <w:spacing w:after="0" w:line="110" w:lineRule="exact"/>
        <w:rPr>
          <w:rFonts w:ascii="Arial" w:cs="Arial" w:eastAsia="Arial" w:hAnsi="Arial"/>
          <w:sz w:val="18"/>
          <w:szCs w:val="18"/>
          <w:color w:val="auto"/>
        </w:rPr>
      </w:pPr>
    </w:p>
    <w:p>
      <w:pPr>
        <w:ind w:left="320" w:hanging="316"/>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adequacy of our risk management framework;</w:t>
      </w:r>
    </w:p>
    <w:p>
      <w:pPr>
        <w:spacing w:after="0" w:line="164" w:lineRule="exact"/>
        <w:rPr>
          <w:rFonts w:ascii="Arial" w:cs="Arial" w:eastAsia="Arial" w:hAnsi="Arial"/>
          <w:sz w:val="18"/>
          <w:szCs w:val="18"/>
          <w:color w:val="auto"/>
        </w:rPr>
      </w:pPr>
    </w:p>
    <w:p>
      <w:pPr>
        <w:ind w:left="320" w:hanging="316"/>
        <w:spacing w:after="0" w:line="274" w:lineRule="auto"/>
        <w:tabs>
          <w:tab w:leader="none" w:pos="31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sufficiency of our capital, including sources of capital and the extent to which we may be required to raise additional capital to meet our goals;</w:t>
      </w:r>
    </w:p>
    <w:p>
      <w:pPr>
        <w:spacing w:after="0" w:line="110" w:lineRule="exact"/>
        <w:rPr>
          <w:rFonts w:ascii="Arial" w:cs="Arial" w:eastAsia="Arial" w:hAnsi="Arial"/>
          <w:sz w:val="18"/>
          <w:szCs w:val="18"/>
          <w:color w:val="auto"/>
        </w:rPr>
      </w:pPr>
    </w:p>
    <w:p>
      <w:pPr>
        <w:ind w:left="320" w:hanging="316"/>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dependence on our management team and board of directors and changes in management and board composition;</w:t>
      </w:r>
    </w:p>
    <w:p>
      <w:pPr>
        <w:spacing w:after="0" w:line="164" w:lineRule="exact"/>
        <w:rPr>
          <w:rFonts w:ascii="Arial" w:cs="Arial" w:eastAsia="Arial" w:hAnsi="Arial"/>
          <w:sz w:val="18"/>
          <w:szCs w:val="18"/>
          <w:color w:val="auto"/>
        </w:rPr>
      </w:pPr>
    </w:p>
    <w:p>
      <w:pPr>
        <w:ind w:left="320" w:hanging="316"/>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involvement from time to time in legal proceedings, examinations and remedial actions by regulators;</w:t>
      </w:r>
    </w:p>
    <w:p>
      <w:pPr>
        <w:spacing w:after="0" w:line="159" w:lineRule="exact"/>
        <w:rPr>
          <w:rFonts w:ascii="Arial" w:cs="Arial" w:eastAsia="Arial" w:hAnsi="Arial"/>
          <w:sz w:val="18"/>
          <w:szCs w:val="18"/>
          <w:color w:val="auto"/>
        </w:rPr>
      </w:pPr>
    </w:p>
    <w:p>
      <w:pPr>
        <w:ind w:left="320" w:hanging="316"/>
        <w:spacing w:after="0" w:line="233" w:lineRule="auto"/>
        <w:tabs>
          <w:tab w:leader="none" w:pos="315"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risks associated with our OpenSky</w:t>
      </w:r>
      <w:r>
        <w:rPr>
          <w:rFonts w:ascii="Arial" w:cs="Arial" w:eastAsia="Arial" w:hAnsi="Arial"/>
          <w:sz w:val="22"/>
          <w:szCs w:val="22"/>
          <w:color w:val="auto"/>
          <w:vertAlign w:val="superscript"/>
        </w:rPr>
        <w:t>®</w:t>
      </w:r>
      <w:r>
        <w:rPr>
          <w:rFonts w:ascii="Arial" w:cs="Arial" w:eastAsia="Arial" w:hAnsi="Arial"/>
          <w:sz w:val="18"/>
          <w:szCs w:val="18"/>
          <w:color w:val="auto"/>
        </w:rPr>
        <w:t xml:space="preserve"> credit card division, including compliance with applicable consumer finance and fraud prevention regulations;</w:t>
      </w:r>
    </w:p>
    <w:p>
      <w:pPr>
        <w:spacing w:after="0" w:line="140" w:lineRule="exact"/>
        <w:rPr>
          <w:rFonts w:ascii="Arial" w:cs="Arial" w:eastAsia="Arial" w:hAnsi="Arial"/>
          <w:sz w:val="18"/>
          <w:szCs w:val="18"/>
          <w:color w:val="auto"/>
        </w:rPr>
      </w:pPr>
    </w:p>
    <w:p>
      <w:pPr>
        <w:ind w:left="320" w:hanging="316"/>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risks associated with our residential mortgage banking business;</w:t>
      </w:r>
    </w:p>
    <w:p>
      <w:pPr>
        <w:spacing w:after="0" w:line="164" w:lineRule="exact"/>
        <w:rPr>
          <w:rFonts w:ascii="Arial" w:cs="Arial" w:eastAsia="Arial" w:hAnsi="Arial"/>
          <w:sz w:val="18"/>
          <w:szCs w:val="18"/>
          <w:color w:val="auto"/>
        </w:rPr>
      </w:pPr>
    </w:p>
    <w:p>
      <w:pPr>
        <w:ind w:left="320" w:hanging="316"/>
        <w:spacing w:after="0" w:line="274" w:lineRule="auto"/>
        <w:tabs>
          <w:tab w:leader="none" w:pos="315"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results of examinations of us by our regulators, including the possibility that our regulators may, among other things, require us to increase our allowance for loan losses or to write-down assets;</w:t>
      </w:r>
    </w:p>
    <w:p>
      <w:pPr>
        <w:spacing w:after="0" w:line="110" w:lineRule="exact"/>
        <w:rPr>
          <w:rFonts w:ascii="Arial" w:cs="Arial" w:eastAsia="Arial" w:hAnsi="Arial"/>
          <w:sz w:val="18"/>
          <w:szCs w:val="18"/>
          <w:color w:val="auto"/>
        </w:rPr>
      </w:pPr>
    </w:p>
    <w:p>
      <w:pPr>
        <w:ind w:left="320" w:hanging="316"/>
        <w:spacing w:after="0" w:line="274" w:lineRule="auto"/>
        <w:tabs>
          <w:tab w:leader="none" w:pos="31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the laws, rules, regulations, interpretations or policies relating to financial institution, accounting, tax, trade, monetary and fiscal matters;</w:t>
      </w:r>
    </w:p>
    <w:p>
      <w:pPr>
        <w:spacing w:after="0" w:line="110" w:lineRule="exact"/>
        <w:rPr>
          <w:rFonts w:ascii="Arial" w:cs="Arial" w:eastAsia="Arial" w:hAnsi="Arial"/>
          <w:sz w:val="18"/>
          <w:szCs w:val="18"/>
          <w:color w:val="auto"/>
        </w:rPr>
      </w:pPr>
    </w:p>
    <w:p>
      <w:pPr>
        <w:ind w:left="320" w:hanging="316"/>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competition in the financial services industry, particularly from regional and national institutions;</w:t>
      </w:r>
    </w:p>
    <w:p>
      <w:pPr>
        <w:spacing w:after="0" w:line="164" w:lineRule="exact"/>
        <w:rPr>
          <w:rFonts w:ascii="Arial" w:cs="Arial" w:eastAsia="Arial" w:hAnsi="Arial"/>
          <w:sz w:val="18"/>
          <w:szCs w:val="18"/>
          <w:color w:val="auto"/>
        </w:rPr>
      </w:pPr>
    </w:p>
    <w:p>
      <w:pPr>
        <w:ind w:left="320" w:hanging="316"/>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financial soundness of other financial institutions;</w:t>
      </w:r>
    </w:p>
    <w:p>
      <w:pPr>
        <w:spacing w:after="0" w:line="164" w:lineRule="exact"/>
        <w:rPr>
          <w:rFonts w:ascii="Arial" w:cs="Arial" w:eastAsia="Arial" w:hAnsi="Arial"/>
          <w:sz w:val="18"/>
          <w:szCs w:val="18"/>
          <w:color w:val="auto"/>
        </w:rPr>
      </w:pPr>
    </w:p>
    <w:p>
      <w:pPr>
        <w:ind w:left="320" w:hanging="316"/>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further government intervention in the U.S. financial system;</w:t>
      </w:r>
    </w:p>
    <w:p>
      <w:pPr>
        <w:spacing w:after="0" w:line="164" w:lineRule="exact"/>
        <w:rPr>
          <w:rFonts w:ascii="Arial" w:cs="Arial" w:eastAsia="Arial" w:hAnsi="Arial"/>
          <w:sz w:val="18"/>
          <w:szCs w:val="18"/>
          <w:color w:val="auto"/>
        </w:rPr>
      </w:pPr>
    </w:p>
    <w:p>
      <w:pPr>
        <w:ind w:left="320" w:hanging="316"/>
        <w:spacing w:after="0" w:line="274" w:lineRule="auto"/>
        <w:tabs>
          <w:tab w:leader="none" w:pos="31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Cybersecurity threats and the cost of defending against them, including the costs of compliance with potential legislation to combat cyber risks at a state, national, or global level;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262255</wp:posOffset>
            </wp:positionV>
            <wp:extent cx="716026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920"/>
          </w:cols>
          <w:pgMar w:left="640" w:top="1440" w:right="339" w:bottom="1440" w:gutter="0" w:footer="0" w:header="0"/>
        </w:sectPr>
      </w:pPr>
    </w:p>
    <w:bookmarkStart w:id="39" w:name="page40"/>
    <w:bookmarkEnd w:id="39"/>
    <w:p>
      <w:pPr>
        <w:spacing w:after="0" w:line="167" w:lineRule="exact"/>
        <w:rPr>
          <w:sz w:val="20"/>
          <w:szCs w:val="20"/>
          <w:color w:val="auto"/>
        </w:rPr>
      </w:pPr>
    </w:p>
    <w:p>
      <w:pPr>
        <w:ind w:left="640" w:hanging="316"/>
        <w:spacing w:after="0" w:line="274"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natural disasters and adverse weather, acts of terrorism, an outbreak of hostilities or other international or domestic calamities, and other matters beyond our control; and</w:t>
      </w:r>
    </w:p>
    <w:p>
      <w:pPr>
        <w:spacing w:after="0" w:line="110" w:lineRule="exact"/>
        <w:rPr>
          <w:rFonts w:ascii="Arial" w:cs="Arial" w:eastAsia="Arial" w:hAnsi="Arial"/>
          <w:sz w:val="18"/>
          <w:szCs w:val="18"/>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 exposure to fraud, negligence, computer theft and cyber-crime.</w:t>
      </w:r>
    </w:p>
    <w:p>
      <w:pPr>
        <w:spacing w:after="0" w:line="16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As you read and consider forward-looking statements, you should understand that these statements are not guarantees of performance or results. They involve risks, uncertainties and assumptions and can change as a result of many possible events or factors, not all of which are known to us or in our control. Although we believe that these forward-looking statements are based on reasonable assumptions, beliefs, and expectations, if a change occurs or our beliefs, assumptions, or expectations were incorrect, our business, financial condition, liquidity and/or results of operations may vary materially from those expressed in our forward-looking statements. You should be aware that many factors could affect our actual financial results or results of operations and could cause actual results to differ materially from those in the forward-looking statements. These factors include those described under the heading “Risk Factors” under Item 1A in our Annual Report on Form 10-K for the year ended December 31, 2021 and those referenced in other reports on file with the SEC.</w:t>
      </w:r>
    </w:p>
    <w:p>
      <w:pPr>
        <w:spacing w:after="0" w:line="19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You should keep in mind that any forward-looking statement made by us speaks only as of the date on which we make it. New risks and uncertainties arise from time to time, and it is impossible for us to predict these events or how they may affect us. We have no duty to, and do not intend to, and disclaim any obligation to, update or revise any industry information or forward-looking statements after the date on which they are made.</w:t>
      </w:r>
    </w:p>
    <w:p>
      <w:pPr>
        <w:spacing w:after="0" w:line="17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Critical Accounting Policies</w:t>
      </w:r>
    </w:p>
    <w:p>
      <w:pPr>
        <w:spacing w:after="0" w:line="219"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accounting and reporting policies of the Company are in accordance with U.S. GAAP and conform to general practices within the banking industry. The Company’s financial position and results of operations are affected by management’s application of accounting policies, including estimates, assumptions, and judgments made to arrive at the carrying value of assets and liabilities and amounts reported for revenues, expenses, and related disclosures. Different assumptions in the application of these policies could result in material changes in the Company’s consolidated financial position and/or results of operations. The Company evaluates its critical accounting estimates and assumptions on an ongoing basis and updates them, as needed. Management has discussed the Company’s critical accounting policies and estimates with the Audit Committee of the Board of Directors of the Company.</w:t>
      </w:r>
    </w:p>
    <w:p>
      <w:pPr>
        <w:spacing w:after="0" w:line="18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Company’s accounting policies are fundamental to understanding the Company’s consolidated financial position and consolidated results of operations. Accordingly, the Company’s significant accounting policies are discussed in detail in Note 1 “Nature of Business and Basis of Presentation” in the “Notes to the Consolidated Financial Statements” contained in Item 8 "Financial Statements and Supplementary Data" of the Company’s 2021 Form 10-K.</w:t>
      </w:r>
    </w:p>
    <w:p>
      <w:pPr>
        <w:spacing w:after="0" w:line="180" w:lineRule="exact"/>
        <w:rPr>
          <w:sz w:val="20"/>
          <w:szCs w:val="20"/>
          <w:color w:val="auto"/>
        </w:rPr>
      </w:pPr>
    </w:p>
    <w:p>
      <w:pPr>
        <w:jc w:val="both"/>
        <w:ind w:firstLine="318"/>
        <w:spacing w:after="0" w:line="304" w:lineRule="auto"/>
        <w:rPr>
          <w:sz w:val="20"/>
          <w:szCs w:val="20"/>
          <w:color w:val="auto"/>
        </w:rPr>
      </w:pPr>
      <w:r>
        <w:rPr>
          <w:rFonts w:ascii="Arial" w:cs="Arial" w:eastAsia="Arial" w:hAnsi="Arial"/>
          <w:sz w:val="17"/>
          <w:szCs w:val="17"/>
          <w:color w:val="auto"/>
        </w:rPr>
        <w:t>The critical accounting and reporting policies include the Company’s accounting for the allowance for loan losses. The Company provides additional information on its allowance for loan losses in Note 1 “Significant Accounting Policies” within Part I, Item 1 of this Quarterly Report.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19"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8"/>
          <w:szCs w:val="18"/>
          <w:color w:val="auto"/>
        </w:rPr>
        <w:t>Capital Bancorp, Inc. (the “Company”) was incorporated in 1998 in Maryland to act as the bank holding company for Capital Bank, N.A. (the “Bank”) which received its charter in 1999 and began operations in 1999. The Bank is headquartered in Rockville, Maryland and serves the Washington, D.C. and Baltimore, Maryland metropolitan areas through four commercial bank branches, four mortgage offices, two loan production offices, and three corporate and operations facilities located in key markets throughout our operating area. We serve businesses, not-for-profit associations and entrepreneurs throughout the region by partnering with them to design tailored financial solutions supported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262255</wp:posOffset>
            </wp:positionV>
            <wp:extent cx="716026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customized technology and “client first” advice.</w:t>
      </w:r>
    </w:p>
    <w:p>
      <w:pPr>
        <w:spacing w:after="0" w:line="217"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8"/>
          <w:szCs w:val="18"/>
          <w:color w:val="auto"/>
        </w:rPr>
        <w:t>The Company reports its activities in four business segments: commercial banking; mortgage lending; credit cards; and corporate activities. In determining the appropriateness of segment definition, the Company considers components of the business about which financial information is available and regularly evaluated relative to resource allocation and performance assessment. The accompanying consolidated financial statements have been prepared in accordance with accounting principles generally accepted in the United States of America (“GAAP”), and conform to general practices within the banking industry.</w:t>
      </w:r>
    </w:p>
    <w:p>
      <w:pPr>
        <w:spacing w:after="0" w:line="181"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Our Commercial Banking division accounts for the majority of the Bank’s total assets. Our commercial bankers endeavor to provide quality service, customized solutions and tailored advice to commercial clients in our operating markets.</w:t>
      </w:r>
    </w:p>
    <w:p>
      <w:pPr>
        <w:spacing w:after="0" w:line="163"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Our Capital Bank Home Loan (“CBHL”) division originates conventional and government-guaranteed residential mortgage loans on a nationwide basis primarily for sale into the secondary market and in certain, limited circumstances for the Bank’s loan portfolio.</w:t>
      </w:r>
    </w:p>
    <w:p>
      <w:pPr>
        <w:spacing w:after="0" w:line="159" w:lineRule="exact"/>
        <w:rPr>
          <w:sz w:val="20"/>
          <w:szCs w:val="20"/>
          <w:color w:val="auto"/>
        </w:rPr>
      </w:pPr>
    </w:p>
    <w:p>
      <w:pPr>
        <w:jc w:val="both"/>
        <w:ind w:firstLine="318"/>
        <w:spacing w:after="0" w:line="228" w:lineRule="auto"/>
        <w:rPr>
          <w:sz w:val="20"/>
          <w:szCs w:val="20"/>
          <w:color w:val="auto"/>
        </w:rPr>
      </w:pPr>
      <w:r>
        <w:rPr>
          <w:rFonts w:ascii="Arial" w:cs="Arial" w:eastAsia="Arial" w:hAnsi="Arial"/>
          <w:sz w:val="18"/>
          <w:szCs w:val="18"/>
          <w:color w:val="auto"/>
        </w:rPr>
        <w:t>Our OpenSky</w:t>
      </w:r>
      <w:r>
        <w:rPr>
          <w:rFonts w:ascii="Arial" w:cs="Arial" w:eastAsia="Arial" w:hAnsi="Arial"/>
          <w:sz w:val="22"/>
          <w:szCs w:val="22"/>
          <w:color w:val="auto"/>
          <w:vertAlign w:val="superscript"/>
        </w:rPr>
        <w:t>®</w:t>
      </w:r>
      <w:r>
        <w:rPr>
          <w:rFonts w:ascii="Arial" w:cs="Arial" w:eastAsia="Arial" w:hAnsi="Arial"/>
          <w:sz w:val="18"/>
          <w:szCs w:val="18"/>
          <w:color w:val="auto"/>
        </w:rPr>
        <w:t xml:space="preserve"> division provides secured, partially secured and unsecured credit cards on a nationwide basis to under-banked populations and those looking to rebuild their credit scores. OpenSky</w:t>
      </w:r>
      <w:r>
        <w:rPr>
          <w:rFonts w:ascii="Arial" w:cs="Arial" w:eastAsia="Arial" w:hAnsi="Arial"/>
          <w:sz w:val="22"/>
          <w:szCs w:val="22"/>
          <w:color w:val="auto"/>
          <w:vertAlign w:val="superscript"/>
        </w:rPr>
        <w:t>®</w:t>
      </w:r>
      <w:r>
        <w:rPr>
          <w:rFonts w:ascii="Arial" w:cs="Arial" w:eastAsia="Arial" w:hAnsi="Arial"/>
          <w:sz w:val="18"/>
          <w:szCs w:val="18"/>
          <w:color w:val="auto"/>
        </w:rPr>
        <w:t xml:space="preserve"> cards operate on a digital and mobile enabled platform with almost all marketing and application procedures conducted through website and mobile applications. For the secured credit card, a deposit equal to the full credit limit of the card is made into a noninterest bearing demand account with the Bank when the account is opened and the deposit is required to be maintained throughout the life of the card. Using our proprietary scoring model, which considers credit score and repayment history (typically a minimum of six months of on-time repayments, but ultimately determined on a case-by-case basis), OpenSky</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also offers certain existing customers an unsecured line in excess of their secured line of credit.</w:t>
      </w:r>
    </w:p>
    <w:p>
      <w:pPr>
        <w:spacing w:after="0" w:line="193"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Capital</w:t>
      </w:r>
    </w:p>
    <w:p>
      <w:pPr>
        <w:spacing w:after="0" w:line="2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As of March 31, 2022, the Bank exceeded all the capital requirements to which it was subject and based on the most recent notification from its primary federal regulator is considered to be well-capitalized. There are no conditions or events since that notification that management believes would change the Bank’s classification. We closely monitor our capital position and intend to take appropriate steps to ensure our level of capital remains strong.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262255</wp:posOffset>
            </wp:positionV>
            <wp:extent cx="716026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the principal components of net income for the periods indicated.</w:t>
      </w:r>
    </w:p>
    <w:p>
      <w:pPr>
        <w:spacing w:after="0" w:line="264" w:lineRule="exact"/>
        <w:rPr>
          <w:sz w:val="20"/>
          <w:szCs w:val="20"/>
          <w:color w:val="auto"/>
        </w:rPr>
      </w:pPr>
    </w:p>
    <w:tbl>
      <w:tblPr>
        <w:tblLayout w:type="fixed"/>
        <w:tblInd w:w="320" w:type="dxa"/>
        <w:tblCellMar>
          <w:top w:w="0" w:type="dxa"/>
          <w:left w:w="0" w:type="dxa"/>
          <w:bottom w:w="0" w:type="dxa"/>
          <w:right w:w="0" w:type="dxa"/>
        </w:tblCellMar>
      </w:tblPr>
      <w:tr>
        <w:trPr>
          <w:trHeight w:val="194"/>
        </w:trPr>
        <w:tc>
          <w:tcPr>
            <w:tcW w:w="658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6"/>
          </w:tcPr>
          <w:p>
            <w:pPr>
              <w:ind w:left="320"/>
              <w:spacing w:after="0"/>
              <w:rPr>
                <w:sz w:val="20"/>
                <w:szCs w:val="20"/>
                <w:color w:val="auto"/>
              </w:rPr>
            </w:pPr>
            <w:r>
              <w:rPr>
                <w:rFonts w:ascii="Arial" w:cs="Arial" w:eastAsia="Arial" w:hAnsi="Arial"/>
                <w:sz w:val="14"/>
                <w:szCs w:val="14"/>
                <w:b w:val="1"/>
                <w:bCs w:val="1"/>
                <w:color w:val="auto"/>
              </w:rPr>
              <w:t>Three Months Ended March 31,</w:t>
            </w:r>
          </w:p>
        </w:tc>
        <w:tc>
          <w:tcPr>
            <w:tcW w:w="920" w:type="dxa"/>
            <w:vAlign w:val="bottom"/>
            <w:tcBorders>
              <w:bottom w:val="single" w:sz="8" w:color="auto"/>
            </w:tcBorders>
          </w:tcPr>
          <w:p>
            <w:pPr>
              <w:spacing w:after="0"/>
              <w:rPr>
                <w:sz w:val="16"/>
                <w:szCs w:val="16"/>
                <w:color w:val="auto"/>
              </w:rPr>
            </w:pPr>
          </w:p>
        </w:tc>
      </w:tr>
      <w:tr>
        <w:trPr>
          <w:trHeight w:val="192"/>
        </w:trPr>
        <w:tc>
          <w:tcPr>
            <w:tcW w:w="658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 Change</w:t>
            </w:r>
          </w:p>
        </w:tc>
      </w:tr>
      <w:tr>
        <w:trPr>
          <w:trHeight w:val="131"/>
        </w:trPr>
        <w:tc>
          <w:tcPr>
            <w:tcW w:w="6580" w:type="dxa"/>
            <w:vAlign w:val="bottom"/>
          </w:tcPr>
          <w:p>
            <w:pPr>
              <w:ind w:left="20"/>
              <w:spacing w:after="0" w:line="121" w:lineRule="exact"/>
              <w:rPr>
                <w:sz w:val="20"/>
                <w:szCs w:val="20"/>
                <w:color w:val="auto"/>
              </w:rPr>
            </w:pPr>
            <w:r>
              <w:rPr>
                <w:rFonts w:ascii="Arial" w:cs="Arial" w:eastAsia="Arial" w:hAnsi="Arial"/>
                <w:sz w:val="11"/>
                <w:szCs w:val="11"/>
                <w:color w:val="auto"/>
              </w:rPr>
              <w:t>(in thousands)</w:t>
            </w:r>
          </w:p>
        </w:tc>
        <w:tc>
          <w:tcPr>
            <w:tcW w:w="9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222"/>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980" w:type="dxa"/>
            <w:vAlign w:val="bottom"/>
            <w:shd w:val="clear" w:color="auto" w:fill="CCEEFF"/>
          </w:tcPr>
          <w:p>
            <w:pPr>
              <w:jc w:val="right"/>
              <w:ind w:right="783"/>
              <w:spacing w:after="0"/>
              <w:rPr>
                <w:sz w:val="20"/>
                <w:szCs w:val="20"/>
                <w:color w:val="auto"/>
              </w:rPr>
            </w:pPr>
            <w:r>
              <w:rPr>
                <w:rFonts w:ascii="Arial" w:cs="Arial" w:eastAsia="Arial" w:hAnsi="Arial"/>
                <w:sz w:val="16"/>
                <w:szCs w:val="16"/>
                <w:b w:val="1"/>
                <w:bCs w:val="1"/>
                <w:color w:val="auto"/>
              </w:rPr>
              <w:t>$</w:t>
            </w:r>
          </w:p>
        </w:tc>
        <w:tc>
          <w:tcPr>
            <w:tcW w:w="58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98"/>
              </w:rPr>
              <w:t>34,402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26,638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w:t>
            </w:r>
          </w:p>
        </w:tc>
      </w:tr>
      <w:tr>
        <w:trPr>
          <w:trHeight w:val="212"/>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expense</w:t>
            </w: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1,071</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2,194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(51.2</w:t>
            </w:r>
          </w:p>
        </w:tc>
      </w:tr>
      <w:tr>
        <w:trPr>
          <w:trHeight w:val="205"/>
        </w:trPr>
        <w:tc>
          <w:tcPr>
            <w:tcW w:w="6580" w:type="dxa"/>
            <w:vAlign w:val="bottom"/>
            <w:shd w:val="clear" w:color="auto" w:fill="CCEEFF"/>
          </w:tcPr>
          <w:p>
            <w:pPr>
              <w:ind w:left="220"/>
              <w:spacing w:after="0"/>
              <w:rPr>
                <w:sz w:val="20"/>
                <w:szCs w:val="20"/>
                <w:color w:val="auto"/>
              </w:rPr>
            </w:pPr>
            <w:r>
              <w:rPr>
                <w:rFonts w:ascii="Arial" w:cs="Arial" w:eastAsia="Arial" w:hAnsi="Arial"/>
                <w:sz w:val="16"/>
                <w:szCs w:val="16"/>
                <w:b w:val="1"/>
                <w:bCs w:val="1"/>
                <w:color w:val="auto"/>
              </w:rPr>
              <w:t>Net interest income</w:t>
            </w:r>
          </w:p>
        </w:tc>
        <w:tc>
          <w:tcPr>
            <w:tcW w:w="98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98"/>
              </w:rPr>
              <w:t>33,331</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24,444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w:t>
            </w:r>
          </w:p>
        </w:tc>
      </w:tr>
      <w:tr>
        <w:trPr>
          <w:trHeight w:val="212"/>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loan losses</w:t>
            </w: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952</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503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89.3</w:t>
            </w:r>
          </w:p>
        </w:tc>
      </w:tr>
      <w:tr>
        <w:trPr>
          <w:trHeight w:val="205"/>
        </w:trPr>
        <w:tc>
          <w:tcPr>
            <w:tcW w:w="6580" w:type="dxa"/>
            <w:vAlign w:val="bottom"/>
            <w:shd w:val="clear" w:color="auto" w:fill="CCEEFF"/>
          </w:tcPr>
          <w:p>
            <w:pPr>
              <w:ind w:left="220"/>
              <w:spacing w:after="0"/>
              <w:rPr>
                <w:sz w:val="20"/>
                <w:szCs w:val="20"/>
                <w:color w:val="auto"/>
              </w:rPr>
            </w:pPr>
            <w:r>
              <w:rPr>
                <w:rFonts w:ascii="Arial" w:cs="Arial" w:eastAsia="Arial" w:hAnsi="Arial"/>
                <w:sz w:val="16"/>
                <w:szCs w:val="16"/>
                <w:b w:val="1"/>
                <w:bCs w:val="1"/>
                <w:color w:val="auto"/>
              </w:rPr>
              <w:t>Net interest income after provision</w:t>
            </w:r>
          </w:p>
        </w:tc>
        <w:tc>
          <w:tcPr>
            <w:tcW w:w="98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98"/>
              </w:rPr>
              <w:t>32,379</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23,941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w:t>
            </w:r>
          </w:p>
        </w:tc>
      </w:tr>
      <w:tr>
        <w:trPr>
          <w:trHeight w:val="212"/>
        </w:trPr>
        <w:tc>
          <w:tcPr>
            <w:tcW w:w="6580" w:type="dxa"/>
            <w:vAlign w:val="bottom"/>
          </w:tcPr>
          <w:p>
            <w:pPr>
              <w:ind w:left="20"/>
              <w:spacing w:after="0"/>
              <w:rPr>
                <w:sz w:val="20"/>
                <w:szCs w:val="20"/>
                <w:color w:val="auto"/>
              </w:rPr>
            </w:pPr>
            <w:r>
              <w:rPr>
                <w:rFonts w:ascii="Arial" w:cs="Arial" w:eastAsia="Arial" w:hAnsi="Arial"/>
                <w:sz w:val="16"/>
                <w:szCs w:val="16"/>
                <w:color w:val="auto"/>
              </w:rPr>
              <w:t>Noninterest income</w:t>
            </w:r>
          </w:p>
        </w:tc>
        <w:tc>
          <w:tcPr>
            <w:tcW w:w="980" w:type="dxa"/>
            <w:vAlign w:val="bottom"/>
          </w:tcPr>
          <w:p>
            <w:pPr>
              <w:spacing w:after="0"/>
              <w:rPr>
                <w:sz w:val="18"/>
                <w:szCs w:val="18"/>
                <w:color w:val="auto"/>
              </w:rPr>
            </w:pPr>
          </w:p>
        </w:tc>
        <w:tc>
          <w:tcPr>
            <w:tcW w:w="580" w:type="dxa"/>
            <w:vAlign w:val="bottom"/>
          </w:tcPr>
          <w:p>
            <w:pPr>
              <w:jc w:val="right"/>
              <w:ind w:right="1"/>
              <w:spacing w:after="0"/>
              <w:rPr>
                <w:sz w:val="20"/>
                <w:szCs w:val="20"/>
                <w:color w:val="auto"/>
              </w:rPr>
            </w:pPr>
            <w:r>
              <w:rPr>
                <w:rFonts w:ascii="Arial" w:cs="Arial" w:eastAsia="Arial" w:hAnsi="Arial"/>
                <w:sz w:val="16"/>
                <w:szCs w:val="16"/>
                <w:b w:val="1"/>
                <w:bCs w:val="1"/>
                <w:color w:val="auto"/>
              </w:rPr>
              <w:t>8,288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13,951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(40.6</w:t>
            </w:r>
          </w:p>
        </w:tc>
      </w:tr>
      <w:tr>
        <w:trPr>
          <w:trHeight w:val="212"/>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Noninterest expenses</w:t>
            </w:r>
          </w:p>
        </w:tc>
        <w:tc>
          <w:tcPr>
            <w:tcW w:w="9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w w:val="98"/>
              </w:rPr>
              <w:t>27,102</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25,767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r>
      <w:tr>
        <w:trPr>
          <w:trHeight w:val="205"/>
        </w:trPr>
        <w:tc>
          <w:tcPr>
            <w:tcW w:w="6580" w:type="dxa"/>
            <w:vAlign w:val="bottom"/>
          </w:tcPr>
          <w:p>
            <w:pPr>
              <w:ind w:left="220"/>
              <w:spacing w:after="0"/>
              <w:rPr>
                <w:sz w:val="20"/>
                <w:szCs w:val="20"/>
                <w:color w:val="auto"/>
              </w:rPr>
            </w:pPr>
            <w:r>
              <w:rPr>
                <w:rFonts w:ascii="Arial" w:cs="Arial" w:eastAsia="Arial" w:hAnsi="Arial"/>
                <w:sz w:val="16"/>
                <w:szCs w:val="16"/>
                <w:b w:val="1"/>
                <w:bCs w:val="1"/>
                <w:color w:val="auto"/>
              </w:rPr>
              <w:t>Net income before income taxes</w:t>
            </w:r>
          </w:p>
        </w:tc>
        <w:tc>
          <w:tcPr>
            <w:tcW w:w="980" w:type="dxa"/>
            <w:vAlign w:val="bottom"/>
          </w:tcPr>
          <w:p>
            <w:pPr>
              <w:spacing w:after="0"/>
              <w:rPr>
                <w:sz w:val="17"/>
                <w:szCs w:val="17"/>
                <w:color w:val="auto"/>
              </w:rPr>
            </w:pPr>
          </w:p>
        </w:tc>
        <w:tc>
          <w:tcPr>
            <w:tcW w:w="580" w:type="dxa"/>
            <w:vAlign w:val="bottom"/>
          </w:tcPr>
          <w:p>
            <w:pPr>
              <w:jc w:val="right"/>
              <w:ind w:right="1"/>
              <w:spacing w:after="0"/>
              <w:rPr>
                <w:sz w:val="20"/>
                <w:szCs w:val="20"/>
                <w:color w:val="auto"/>
              </w:rPr>
            </w:pPr>
            <w:r>
              <w:rPr>
                <w:rFonts w:ascii="Arial" w:cs="Arial" w:eastAsia="Arial" w:hAnsi="Arial"/>
                <w:sz w:val="16"/>
                <w:szCs w:val="16"/>
                <w:b w:val="1"/>
                <w:bCs w:val="1"/>
                <w:color w:val="auto"/>
                <w:w w:val="98"/>
              </w:rPr>
              <w:t>13,565</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12,125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11.9</w:t>
            </w:r>
          </w:p>
        </w:tc>
      </w:tr>
      <w:tr>
        <w:trPr>
          <w:trHeight w:val="212"/>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9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3,354</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3,143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r>
      <w:tr>
        <w:trPr>
          <w:trHeight w:val="205"/>
        </w:trPr>
        <w:tc>
          <w:tcPr>
            <w:tcW w:w="6580" w:type="dxa"/>
            <w:vAlign w:val="bottom"/>
          </w:tcPr>
          <w:p>
            <w:pPr>
              <w:ind w:left="220"/>
              <w:spacing w:after="0"/>
              <w:rPr>
                <w:sz w:val="20"/>
                <w:szCs w:val="20"/>
                <w:color w:val="auto"/>
              </w:rPr>
            </w:pPr>
            <w:r>
              <w:rPr>
                <w:rFonts w:ascii="Arial" w:cs="Arial" w:eastAsia="Arial" w:hAnsi="Arial"/>
                <w:sz w:val="16"/>
                <w:szCs w:val="16"/>
                <w:b w:val="1"/>
                <w:bCs w:val="1"/>
                <w:color w:val="auto"/>
              </w:rPr>
              <w:t>Net income</w:t>
            </w:r>
          </w:p>
        </w:tc>
        <w:tc>
          <w:tcPr>
            <w:tcW w:w="980" w:type="dxa"/>
            <w:vAlign w:val="bottom"/>
            <w:tcBorders>
              <w:bottom w:val="single" w:sz="8" w:color="auto"/>
            </w:tcBorders>
          </w:tcPr>
          <w:p>
            <w:pPr>
              <w:jc w:val="right"/>
              <w:ind w:right="783"/>
              <w:spacing w:after="0"/>
              <w:rPr>
                <w:sz w:val="20"/>
                <w:szCs w:val="20"/>
                <w:color w:val="auto"/>
              </w:rPr>
            </w:pPr>
            <w:r>
              <w:rPr>
                <w:rFonts w:ascii="Arial" w:cs="Arial" w:eastAsia="Arial" w:hAnsi="Arial"/>
                <w:sz w:val="16"/>
                <w:szCs w:val="16"/>
                <w:b w:val="1"/>
                <w:bCs w:val="1"/>
                <w:color w:val="auto"/>
              </w:rPr>
              <w:t>$</w:t>
            </w:r>
          </w:p>
        </w:tc>
        <w:tc>
          <w:tcPr>
            <w:tcW w:w="5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w w:val="98"/>
              </w:rPr>
              <w:t>10,211</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8,982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13.7</w:t>
            </w:r>
          </w:p>
        </w:tc>
      </w:tr>
      <w:tr>
        <w:trPr>
          <w:trHeight w:val="20"/>
        </w:trPr>
        <w:tc>
          <w:tcPr>
            <w:tcW w:w="65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288" w:lineRule="exact"/>
        <w:rPr>
          <w:sz w:val="20"/>
          <w:szCs w:val="20"/>
          <w:color w:val="auto"/>
        </w:rPr>
      </w:pPr>
    </w:p>
    <w:p>
      <w:pPr>
        <w:jc w:val="both"/>
        <w:ind w:right="100" w:firstLine="318"/>
        <w:spacing w:after="0" w:line="249" w:lineRule="auto"/>
        <w:rPr>
          <w:sz w:val="20"/>
          <w:szCs w:val="20"/>
          <w:color w:val="auto"/>
        </w:rPr>
      </w:pPr>
      <w:r>
        <w:rPr>
          <w:rFonts w:ascii="Arial" w:cs="Arial" w:eastAsia="Arial" w:hAnsi="Arial"/>
          <w:sz w:val="18"/>
          <w:szCs w:val="18"/>
          <w:color w:val="auto"/>
        </w:rPr>
        <w:t>Net income for the three months ended March 31, 2022 was $10.2 million, up from net income of $9.0 million from the same period in 2021. Net interest income increased $8.9 million, or 36.4 percent, to $33.3 million when comparing the three months ended March 31, 2022 to the three months ended March 31, 2021, primarily due to an increase in interest earned on the credit card loan portfolio. For the quarter ended March 31, 2022, noninterest income was $8.3 million, a decrease of $5.7 million, or 40.6 percent, from $14.0 million in the prior year quarter. The decrease was primarily the result of reduced mortgage banking revenue. Noninterest expense was $27.1 million for the three months ended March 31, 2022, as compared to $25.8 million for the three months ended March 31, 2021, an increase of $1.3 million, or 5.2 percent. The increase was primarily driven by increases in salaries and employee benefits of $1.7 million, advertising expenses of $806 thousand, and professional fees of $697 thousand and were offset by decreases in data processing expenses of $1.0 million, loan processing expenses of $660 thousand, and occupancy and equipment expense of $103 thousand.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Interest Income and Net Margin Analysis</w:t>
      </w:r>
    </w:p>
    <w:p>
      <w:pPr>
        <w:spacing w:after="0" w:line="217" w:lineRule="exact"/>
        <w:rPr>
          <w:sz w:val="20"/>
          <w:szCs w:val="20"/>
          <w:color w:val="auto"/>
        </w:rPr>
      </w:pPr>
    </w:p>
    <w:p>
      <w:pPr>
        <w:jc w:val="both"/>
        <w:ind w:right="140" w:firstLine="318"/>
        <w:spacing w:after="0" w:line="274" w:lineRule="auto"/>
        <w:rPr>
          <w:sz w:val="20"/>
          <w:szCs w:val="20"/>
          <w:color w:val="auto"/>
        </w:rPr>
      </w:pPr>
      <w:r>
        <w:rPr>
          <w:rFonts w:ascii="Arial" w:cs="Arial" w:eastAsia="Arial" w:hAnsi="Arial"/>
          <w:sz w:val="18"/>
          <w:szCs w:val="18"/>
          <w:color w:val="auto"/>
        </w:rPr>
        <w:t>We analyze our ability to maximize income generated from interest earning assets and control the interest expenses of our liabilities, measured as net interest income, through our net interest margin and net interest spread.</w:t>
      </w:r>
    </w:p>
    <w:p>
      <w:pPr>
        <w:spacing w:after="0" w:line="163" w:lineRule="exact"/>
        <w:rPr>
          <w:sz w:val="20"/>
          <w:szCs w:val="20"/>
          <w:color w:val="auto"/>
        </w:rPr>
      </w:pPr>
    </w:p>
    <w:p>
      <w:pPr>
        <w:jc w:val="both"/>
        <w:ind w:right="140" w:firstLine="318"/>
        <w:spacing w:after="0" w:line="251" w:lineRule="auto"/>
        <w:rPr>
          <w:sz w:val="20"/>
          <w:szCs w:val="20"/>
          <w:color w:val="auto"/>
        </w:rPr>
      </w:pPr>
      <w:r>
        <w:rPr>
          <w:rFonts w:ascii="Arial" w:cs="Arial" w:eastAsia="Arial" w:hAnsi="Arial"/>
          <w:sz w:val="18"/>
          <w:szCs w:val="18"/>
          <w:color w:val="auto"/>
        </w:rPr>
        <w:t>Net interest income is the difference between interest income on earning assets and the cost of funds supporting those assets. Earning assets are composed primarily of loans, loans held for sale, investment securities, and interest bearing deposits with banks. The cost of funds represents interest expense on deposits and borrowings, which consist of federal funds purchased, advances from the FHLB, and subordinated notes. Noninterest bearing deposits and capital also provide sources of funding. Net interest margin is a ratio calculated as net interest income annualized divided by average interest earning assets for the same period. Net interest spread is the difference between average interest rates earned on interest earning assets and average interest rates paid on interest bearing liabilities.</w:t>
      </w:r>
    </w:p>
    <w:p>
      <w:pPr>
        <w:spacing w:after="0" w:line="185" w:lineRule="exact"/>
        <w:rPr>
          <w:sz w:val="20"/>
          <w:szCs w:val="20"/>
          <w:color w:val="auto"/>
        </w:rPr>
      </w:pPr>
    </w:p>
    <w:p>
      <w:pPr>
        <w:jc w:val="both"/>
        <w:ind w:right="100" w:firstLine="318"/>
        <w:spacing w:after="0" w:line="255" w:lineRule="auto"/>
        <w:rPr>
          <w:sz w:val="20"/>
          <w:szCs w:val="20"/>
          <w:color w:val="auto"/>
        </w:rPr>
      </w:pPr>
      <w:r>
        <w:rPr>
          <w:rFonts w:ascii="Arial" w:cs="Arial" w:eastAsia="Arial" w:hAnsi="Arial"/>
          <w:sz w:val="18"/>
          <w:szCs w:val="18"/>
          <w:color w:val="auto"/>
        </w:rPr>
        <w:t>Changes in market interest rates and the interest rates we earn on interest earning assets or pay on interest bearing liabilities, as well as in the volume and mix of interest earning assets, interest bearing and noninterest bearing liabilities and stockholders’ equity, are usually the largest drivers of periodic changes in net interest income, net interest margin and net interest spread. Fluctuations in market interest rates are driven by many factors, including governmental monetary policies, inflation, deflation, macroeconomic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262255</wp:posOffset>
            </wp:positionV>
            <wp:extent cx="716026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42" w:name="page43"/>
    <w:bookmarkEnd w:id="42"/>
    <w:p>
      <w:pPr>
        <w:spacing w:after="0" w:line="16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developments, changes in unemployment, the money supply, political and international conditions and conditions in domestic and foreign financial markets. Periodic changes in the volume and types of loans in our loan portfolio are affected by, among other factors, economic and competitive conditions in the Washington, D.C. and Baltimore metropolitan areas, as well as developments affecting the real estate, technology, government services, hospitality and tourism and financial services sectors within our target markets and throughout the Washington, D.C. and Baltimore metropolitan areas. Our ability to respond to changes in these factors by using effective asset-liability management techniques is critical to maintaining the stability of our net interest income and net interest margin as our primary sources of earnings.</w:t>
      </w:r>
    </w:p>
    <w:p>
      <w:pPr>
        <w:spacing w:after="0" w:line="169" w:lineRule="exact"/>
        <w:rPr>
          <w:sz w:val="20"/>
          <w:szCs w:val="20"/>
          <w:color w:val="auto"/>
        </w:rPr>
      </w:pPr>
    </w:p>
    <w:p>
      <w:pPr>
        <w:jc w:val="both"/>
        <w:ind w:firstLine="318"/>
        <w:spacing w:after="0" w:line="269" w:lineRule="auto"/>
        <w:rPr>
          <w:sz w:val="20"/>
          <w:szCs w:val="20"/>
          <w:color w:val="auto"/>
        </w:rPr>
      </w:pPr>
      <w:r>
        <w:rPr>
          <w:rFonts w:ascii="Arial" w:cs="Arial" w:eastAsia="Arial" w:hAnsi="Arial"/>
          <w:sz w:val="17"/>
          <w:szCs w:val="17"/>
          <w:color w:val="auto"/>
        </w:rPr>
        <w:t>The table below presents the average balances and weighted average rates of the major categories of the Company’s assets, liabilities, and stockholders’ equity for the three months ended March 31, 2022 and 2021. Weighted average yields are derived by dividing annualized income by the average balance of the related assets, and weighted average rates are derived by dividing annualized expense by the average balance of the related liabilities, for the periods shown. Average outstanding balances are derived by utilizing average daily balances for the time period shown. The weighted average yields and rates include amortization of fees, costs, premiums and discounts, which are considered adjustments to yield/rates. Weighted average yields on tax-exempt securities are not calculated on a fully taxable equivalent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262255</wp:posOffset>
            </wp:positionV>
            <wp:extent cx="716026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AVERAGE BALANCE SHEET AND NET INTEREST ANALYSIS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6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Three Months Ended March 31,</w:t>
            </w: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6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3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320"/>
              <w:spacing w:after="0" w:line="143" w:lineRule="exact"/>
              <w:rPr>
                <w:sz w:val="20"/>
                <w:szCs w:val="20"/>
                <w:color w:val="auto"/>
              </w:rPr>
            </w:pPr>
            <w:r>
              <w:rPr>
                <w:rFonts w:ascii="Arial" w:cs="Arial" w:eastAsia="Arial" w:hAnsi="Arial"/>
                <w:sz w:val="14"/>
                <w:szCs w:val="14"/>
                <w:b w:val="1"/>
                <w:bCs w:val="1"/>
                <w:color w:val="auto"/>
                <w:w w:val="97"/>
              </w:rPr>
              <w:t>Average</w:t>
            </w:r>
          </w:p>
        </w:tc>
        <w:tc>
          <w:tcPr>
            <w:tcW w:w="180" w:type="dxa"/>
            <w:vAlign w:val="bottom"/>
          </w:tcPr>
          <w:p>
            <w:pPr>
              <w:spacing w:after="0"/>
              <w:rPr>
                <w:sz w:val="12"/>
                <w:szCs w:val="12"/>
                <w:color w:val="auto"/>
              </w:rPr>
            </w:pPr>
          </w:p>
        </w:tc>
        <w:tc>
          <w:tcPr>
            <w:tcW w:w="104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w w:val="98"/>
              </w:rPr>
              <w:t>Interest</w:t>
            </w:r>
          </w:p>
        </w:tc>
        <w:tc>
          <w:tcPr>
            <w:tcW w:w="11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7"/>
              </w:rPr>
              <w:t>Average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rPr>
              <w:t>Average</w:t>
            </w:r>
          </w:p>
        </w:tc>
        <w:tc>
          <w:tcPr>
            <w:tcW w:w="12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Interest Income/</w:t>
            </w:r>
          </w:p>
        </w:tc>
        <w:tc>
          <w:tcPr>
            <w:tcW w:w="11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7"/>
              </w:rPr>
              <w:t>Average</w:t>
            </w:r>
          </w:p>
        </w:tc>
        <w:tc>
          <w:tcPr>
            <w:tcW w:w="0" w:type="dxa"/>
            <w:vAlign w:val="bottom"/>
          </w:tcPr>
          <w:p>
            <w:pPr>
              <w:spacing w:after="0"/>
              <w:rPr>
                <w:sz w:val="1"/>
                <w:szCs w:val="1"/>
                <w:color w:val="auto"/>
              </w:rPr>
            </w:pPr>
          </w:p>
        </w:tc>
      </w:tr>
      <w:tr>
        <w:trPr>
          <w:trHeight w:val="142"/>
        </w:trPr>
        <w:tc>
          <w:tcPr>
            <w:tcW w:w="3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w w:val="99"/>
              </w:rPr>
              <w:t>Outstanding</w:t>
            </w:r>
          </w:p>
        </w:tc>
        <w:tc>
          <w:tcPr>
            <w:tcW w:w="180" w:type="dxa"/>
            <w:vAlign w:val="bottom"/>
          </w:tcPr>
          <w:p>
            <w:pPr>
              <w:spacing w:after="0"/>
              <w:rPr>
                <w:sz w:val="12"/>
                <w:szCs w:val="12"/>
                <w:color w:val="auto"/>
              </w:rPr>
            </w:pPr>
          </w:p>
        </w:tc>
        <w:tc>
          <w:tcPr>
            <w:tcW w:w="1040" w:type="dxa"/>
            <w:vAlign w:val="bottom"/>
            <w:gridSpan w:val="2"/>
          </w:tcPr>
          <w:p>
            <w:pPr>
              <w:jc w:val="center"/>
              <w:ind w:right="340"/>
              <w:spacing w:after="0" w:line="142" w:lineRule="exact"/>
              <w:rPr>
                <w:sz w:val="20"/>
                <w:szCs w:val="20"/>
                <w:color w:val="auto"/>
              </w:rPr>
            </w:pPr>
            <w:r>
              <w:rPr>
                <w:rFonts w:ascii="Arial" w:cs="Arial" w:eastAsia="Arial" w:hAnsi="Arial"/>
                <w:sz w:val="14"/>
                <w:szCs w:val="14"/>
                <w:b w:val="1"/>
                <w:bCs w:val="1"/>
                <w:color w:val="auto"/>
              </w:rPr>
              <w:t>Income/</w:t>
            </w:r>
          </w:p>
        </w:tc>
        <w:tc>
          <w:tcPr>
            <w:tcW w:w="11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Yield/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rPr>
              <w:t>Outstanding</w:t>
            </w:r>
          </w:p>
        </w:tc>
        <w:tc>
          <w:tcPr>
            <w:tcW w:w="1240" w:type="dxa"/>
            <w:vAlign w:val="bottom"/>
            <w:gridSpan w:val="3"/>
            <w:vMerge w:val="continue"/>
          </w:tcPr>
          <w:p>
            <w:pPr>
              <w:spacing w:after="0"/>
              <w:rPr>
                <w:sz w:val="12"/>
                <w:szCs w:val="12"/>
                <w:color w:val="auto"/>
              </w:rPr>
            </w:pPr>
          </w:p>
        </w:tc>
        <w:tc>
          <w:tcPr>
            <w:tcW w:w="11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Yield/</w:t>
            </w:r>
          </w:p>
        </w:tc>
        <w:tc>
          <w:tcPr>
            <w:tcW w:w="0" w:type="dxa"/>
            <w:vAlign w:val="bottom"/>
          </w:tcPr>
          <w:p>
            <w:pPr>
              <w:spacing w:after="0"/>
              <w:rPr>
                <w:sz w:val="1"/>
                <w:szCs w:val="1"/>
                <w:color w:val="auto"/>
              </w:rPr>
            </w:pPr>
          </w:p>
        </w:tc>
      </w:tr>
      <w:tr>
        <w:trPr>
          <w:trHeight w:val="186"/>
        </w:trPr>
        <w:tc>
          <w:tcPr>
            <w:tcW w:w="3640" w:type="dxa"/>
            <w:vAlign w:val="bottom"/>
            <w:vMerge w:val="restart"/>
          </w:tcPr>
          <w:p>
            <w:pPr>
              <w:ind w:left="20"/>
              <w:spacing w:after="0"/>
              <w:rPr>
                <w:sz w:val="20"/>
                <w:szCs w:val="20"/>
                <w:color w:val="auto"/>
              </w:rPr>
            </w:pPr>
            <w:r>
              <w:rPr>
                <w:rFonts w:ascii="Arial" w:cs="Arial" w:eastAsia="Arial" w:hAnsi="Arial"/>
                <w:sz w:val="11"/>
                <w:szCs w:val="11"/>
                <w:i w:val="1"/>
                <w:iCs w:val="1"/>
                <w:color w:val="auto"/>
              </w:rPr>
              <w:t>($ in thousands)</w:t>
            </w: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Balance</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Expense</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Rate</w:t>
            </w:r>
            <w:r>
              <w:rPr>
                <w:rFonts w:ascii="Arial" w:cs="Arial" w:eastAsia="Arial" w:hAnsi="Arial"/>
                <w:sz w:val="9"/>
                <w:szCs w:val="9"/>
                <w:b w:val="1"/>
                <w:bCs w:val="1"/>
                <w:color w:val="auto"/>
              </w:rPr>
              <w:t>(1)</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Balance</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Expense</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Rate</w:t>
            </w:r>
            <w:r>
              <w:rPr>
                <w:rFonts w:ascii="Arial" w:cs="Arial" w:eastAsia="Arial" w:hAnsi="Arial"/>
                <w:sz w:val="9"/>
                <w:szCs w:val="9"/>
                <w:b w:val="1"/>
                <w:bCs w:val="1"/>
                <w:color w:val="auto"/>
              </w:rPr>
              <w:t>(1)</w:t>
            </w:r>
          </w:p>
        </w:tc>
        <w:tc>
          <w:tcPr>
            <w:tcW w:w="0" w:type="dxa"/>
            <w:vAlign w:val="bottom"/>
          </w:tcPr>
          <w:p>
            <w:pPr>
              <w:spacing w:after="0"/>
              <w:rPr>
                <w:sz w:val="1"/>
                <w:szCs w:val="1"/>
                <w:color w:val="auto"/>
              </w:rPr>
            </w:pPr>
          </w:p>
        </w:tc>
      </w:tr>
      <w:tr>
        <w:trPr>
          <w:trHeight w:val="129"/>
        </w:trPr>
        <w:tc>
          <w:tcPr>
            <w:tcW w:w="36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36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640" w:type="dxa"/>
            <w:vAlign w:val="bottom"/>
          </w:tcPr>
          <w:p>
            <w:pPr>
              <w:ind w:left="20"/>
              <w:spacing w:after="0"/>
              <w:rPr>
                <w:sz w:val="20"/>
                <w:szCs w:val="20"/>
                <w:color w:val="auto"/>
              </w:rPr>
            </w:pPr>
            <w:r>
              <w:rPr>
                <w:rFonts w:ascii="Arial" w:cs="Arial" w:eastAsia="Arial" w:hAnsi="Arial"/>
                <w:sz w:val="14"/>
                <w:szCs w:val="14"/>
                <w:color w:val="auto"/>
              </w:rPr>
              <w:t>Interest earning assets:</w:t>
            </w: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bearing deposits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197,720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101</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0.21 %</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205,799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0.10 %</w:t>
            </w:r>
          </w:p>
        </w:tc>
        <w:tc>
          <w:tcPr>
            <w:tcW w:w="0" w:type="dxa"/>
            <w:vAlign w:val="bottom"/>
          </w:tcPr>
          <w:p>
            <w:pPr>
              <w:spacing w:after="0"/>
              <w:rPr>
                <w:sz w:val="1"/>
                <w:szCs w:val="1"/>
                <w:color w:val="auto"/>
              </w:rPr>
            </w:pPr>
          </w:p>
        </w:tc>
      </w:tr>
      <w:tr>
        <w:trPr>
          <w:trHeight w:val="198"/>
        </w:trPr>
        <w:tc>
          <w:tcPr>
            <w:tcW w:w="3640" w:type="dxa"/>
            <w:vAlign w:val="bottom"/>
          </w:tcPr>
          <w:p>
            <w:pPr>
              <w:ind w:left="180"/>
              <w:spacing w:after="0"/>
              <w:rPr>
                <w:sz w:val="20"/>
                <w:szCs w:val="20"/>
                <w:color w:val="auto"/>
              </w:rPr>
            </w:pPr>
            <w:r>
              <w:rPr>
                <w:rFonts w:ascii="Arial" w:cs="Arial" w:eastAsia="Arial" w:hAnsi="Arial"/>
                <w:sz w:val="14"/>
                <w:szCs w:val="14"/>
                <w:color w:val="auto"/>
              </w:rPr>
              <w:t>Federal funds sold</w:t>
            </w:r>
          </w:p>
        </w:tc>
        <w:tc>
          <w:tcPr>
            <w:tcW w:w="160" w:type="dxa"/>
            <w:vAlign w:val="bottom"/>
          </w:tcPr>
          <w:p>
            <w:pPr>
              <w:spacing w:after="0"/>
              <w:rPr>
                <w:sz w:val="17"/>
                <w:szCs w:val="17"/>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4,658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17"/>
                <w:szCs w:val="17"/>
                <w:color w:val="auto"/>
              </w:rPr>
            </w:pPr>
          </w:p>
        </w:tc>
        <w:tc>
          <w:tcPr>
            <w:tcW w:w="1100" w:type="dxa"/>
            <w:vAlign w:val="bottom"/>
          </w:tcPr>
          <w:p>
            <w:pPr>
              <w:jc w:val="right"/>
              <w:ind w:right="129"/>
              <w:spacing w:after="0"/>
              <w:rPr>
                <w:sz w:val="20"/>
                <w:szCs w:val="20"/>
                <w:color w:val="auto"/>
              </w:rPr>
            </w:pPr>
            <w:r>
              <w:rPr>
                <w:rFonts w:ascii="Arial" w:cs="Arial" w:eastAsia="Arial" w:hAnsi="Arial"/>
                <w:sz w:val="14"/>
                <w:szCs w:val="14"/>
                <w:b w:val="1"/>
                <w:bCs w:val="1"/>
                <w:color w:val="auto"/>
              </w:rPr>
              <w:t>0.09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3,871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9"/>
        </w:trPr>
        <w:tc>
          <w:tcPr>
            <w:tcW w:w="3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Investment securities</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180,567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370</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0.83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106,704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478</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1.82</w:t>
            </w:r>
          </w:p>
        </w:tc>
        <w:tc>
          <w:tcPr>
            <w:tcW w:w="0" w:type="dxa"/>
            <w:vAlign w:val="bottom"/>
          </w:tcPr>
          <w:p>
            <w:pPr>
              <w:spacing w:after="0"/>
              <w:rPr>
                <w:sz w:val="1"/>
                <w:szCs w:val="1"/>
                <w:color w:val="auto"/>
              </w:rPr>
            </w:pPr>
          </w:p>
        </w:tc>
      </w:tr>
      <w:tr>
        <w:trPr>
          <w:trHeight w:val="198"/>
        </w:trPr>
        <w:tc>
          <w:tcPr>
            <w:tcW w:w="3640" w:type="dxa"/>
            <w:vAlign w:val="bottom"/>
          </w:tcPr>
          <w:p>
            <w:pPr>
              <w:ind w:left="180"/>
              <w:spacing w:after="0"/>
              <w:rPr>
                <w:sz w:val="20"/>
                <w:szCs w:val="20"/>
                <w:color w:val="auto"/>
              </w:rPr>
            </w:pPr>
            <w:r>
              <w:rPr>
                <w:rFonts w:ascii="Arial" w:cs="Arial" w:eastAsia="Arial" w:hAnsi="Arial"/>
                <w:sz w:val="14"/>
                <w:szCs w:val="14"/>
                <w:color w:val="auto"/>
              </w:rPr>
              <w:t>Restricted investments</w:t>
            </w:r>
          </w:p>
        </w:tc>
        <w:tc>
          <w:tcPr>
            <w:tcW w:w="160" w:type="dxa"/>
            <w:vAlign w:val="bottom"/>
          </w:tcPr>
          <w:p>
            <w:pPr>
              <w:spacing w:after="0"/>
              <w:rPr>
                <w:sz w:val="17"/>
                <w:szCs w:val="17"/>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3,766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41</w:t>
            </w:r>
          </w:p>
        </w:tc>
        <w:tc>
          <w:tcPr>
            <w:tcW w:w="120" w:type="dxa"/>
            <w:vAlign w:val="bottom"/>
          </w:tcPr>
          <w:p>
            <w:pPr>
              <w:spacing w:after="0"/>
              <w:rPr>
                <w:sz w:val="17"/>
                <w:szCs w:val="17"/>
                <w:color w:val="auto"/>
              </w:rPr>
            </w:pPr>
          </w:p>
        </w:tc>
        <w:tc>
          <w:tcPr>
            <w:tcW w:w="1100" w:type="dxa"/>
            <w:vAlign w:val="bottom"/>
          </w:tcPr>
          <w:p>
            <w:pPr>
              <w:jc w:val="right"/>
              <w:ind w:right="129"/>
              <w:spacing w:after="0"/>
              <w:rPr>
                <w:sz w:val="20"/>
                <w:szCs w:val="20"/>
                <w:color w:val="auto"/>
              </w:rPr>
            </w:pPr>
            <w:r>
              <w:rPr>
                <w:rFonts w:ascii="Arial" w:cs="Arial" w:eastAsia="Arial" w:hAnsi="Arial"/>
                <w:sz w:val="14"/>
                <w:szCs w:val="14"/>
                <w:b w:val="1"/>
                <w:bCs w:val="1"/>
                <w:color w:val="auto"/>
              </w:rPr>
              <w:t>4.42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3,906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17"/>
                <w:szCs w:val="17"/>
                <w:color w:val="auto"/>
              </w:rPr>
            </w:pPr>
          </w:p>
        </w:tc>
        <w:tc>
          <w:tcPr>
            <w:tcW w:w="1100" w:type="dxa"/>
            <w:vAlign w:val="bottom"/>
          </w:tcPr>
          <w:p>
            <w:pPr>
              <w:jc w:val="right"/>
              <w:ind w:right="109"/>
              <w:spacing w:after="0"/>
              <w:rPr>
                <w:sz w:val="20"/>
                <w:szCs w:val="20"/>
                <w:color w:val="auto"/>
              </w:rPr>
            </w:pPr>
            <w:r>
              <w:rPr>
                <w:rFonts w:ascii="Arial" w:cs="Arial" w:eastAsia="Arial" w:hAnsi="Arial"/>
                <w:sz w:val="14"/>
                <w:szCs w:val="14"/>
                <w:color w:val="auto"/>
              </w:rPr>
              <w:t>4.43</w:t>
            </w:r>
          </w:p>
        </w:tc>
        <w:tc>
          <w:tcPr>
            <w:tcW w:w="0" w:type="dxa"/>
            <w:vAlign w:val="bottom"/>
          </w:tcPr>
          <w:p>
            <w:pPr>
              <w:spacing w:after="0"/>
              <w:rPr>
                <w:sz w:val="1"/>
                <w:szCs w:val="1"/>
                <w:color w:val="auto"/>
              </w:rPr>
            </w:pPr>
          </w:p>
        </w:tc>
      </w:tr>
      <w:tr>
        <w:trPr>
          <w:trHeight w:val="199"/>
        </w:trPr>
        <w:tc>
          <w:tcPr>
            <w:tcW w:w="3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Loans held for sale</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13,500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111</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3.33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72,460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2.69</w:t>
            </w:r>
          </w:p>
        </w:tc>
        <w:tc>
          <w:tcPr>
            <w:tcW w:w="0" w:type="dxa"/>
            <w:vAlign w:val="bottom"/>
          </w:tcPr>
          <w:p>
            <w:pPr>
              <w:spacing w:after="0"/>
              <w:rPr>
                <w:sz w:val="1"/>
                <w:szCs w:val="1"/>
                <w:color w:val="auto"/>
              </w:rPr>
            </w:pPr>
          </w:p>
        </w:tc>
      </w:tr>
      <w:tr>
        <w:trPr>
          <w:trHeight w:val="198"/>
        </w:trPr>
        <w:tc>
          <w:tcPr>
            <w:tcW w:w="3640" w:type="dxa"/>
            <w:vAlign w:val="bottom"/>
          </w:tcPr>
          <w:p>
            <w:pPr>
              <w:ind w:left="180"/>
              <w:spacing w:after="0"/>
              <w:rPr>
                <w:sz w:val="20"/>
                <w:szCs w:val="20"/>
                <w:color w:val="auto"/>
              </w:rPr>
            </w:pPr>
            <w:r>
              <w:rPr>
                <w:rFonts w:ascii="Arial" w:cs="Arial" w:eastAsia="Arial" w:hAnsi="Arial"/>
                <w:sz w:val="14"/>
                <w:szCs w:val="14"/>
                <w:color w:val="auto"/>
              </w:rPr>
              <w:t>SBA-PPP loans receivable</w:t>
            </w:r>
          </w:p>
        </w:tc>
        <w:tc>
          <w:tcPr>
            <w:tcW w:w="160" w:type="dxa"/>
            <w:vAlign w:val="bottom"/>
          </w:tcPr>
          <w:p>
            <w:pPr>
              <w:spacing w:after="0"/>
              <w:rPr>
                <w:sz w:val="17"/>
                <w:szCs w:val="17"/>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83,264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2,066</w:t>
            </w:r>
          </w:p>
        </w:tc>
        <w:tc>
          <w:tcPr>
            <w:tcW w:w="120" w:type="dxa"/>
            <w:vAlign w:val="bottom"/>
          </w:tcPr>
          <w:p>
            <w:pPr>
              <w:spacing w:after="0"/>
              <w:rPr>
                <w:sz w:val="17"/>
                <w:szCs w:val="17"/>
                <w:color w:val="auto"/>
              </w:rPr>
            </w:pPr>
          </w:p>
        </w:tc>
        <w:tc>
          <w:tcPr>
            <w:tcW w:w="1100" w:type="dxa"/>
            <w:vAlign w:val="bottom"/>
          </w:tcPr>
          <w:p>
            <w:pPr>
              <w:jc w:val="right"/>
              <w:ind w:right="129"/>
              <w:spacing w:after="0"/>
              <w:rPr>
                <w:sz w:val="20"/>
                <w:szCs w:val="20"/>
                <w:color w:val="auto"/>
              </w:rPr>
            </w:pPr>
            <w:r>
              <w:rPr>
                <w:rFonts w:ascii="Arial" w:cs="Arial" w:eastAsia="Arial" w:hAnsi="Arial"/>
                <w:sz w:val="14"/>
                <w:szCs w:val="14"/>
                <w:b w:val="1"/>
                <w:bCs w:val="1"/>
                <w:color w:val="auto"/>
              </w:rPr>
              <w:t>10.06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232,371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2,469</w:t>
            </w:r>
          </w:p>
        </w:tc>
        <w:tc>
          <w:tcPr>
            <w:tcW w:w="120" w:type="dxa"/>
            <w:vAlign w:val="bottom"/>
          </w:tcPr>
          <w:p>
            <w:pPr>
              <w:spacing w:after="0"/>
              <w:rPr>
                <w:sz w:val="17"/>
                <w:szCs w:val="17"/>
                <w:color w:val="auto"/>
              </w:rPr>
            </w:pPr>
          </w:p>
        </w:tc>
        <w:tc>
          <w:tcPr>
            <w:tcW w:w="1100" w:type="dxa"/>
            <w:vAlign w:val="bottom"/>
          </w:tcPr>
          <w:p>
            <w:pPr>
              <w:jc w:val="right"/>
              <w:ind w:right="109"/>
              <w:spacing w:after="0"/>
              <w:rPr>
                <w:sz w:val="20"/>
                <w:szCs w:val="20"/>
                <w:color w:val="auto"/>
              </w:rPr>
            </w:pPr>
            <w:r>
              <w:rPr>
                <w:rFonts w:ascii="Arial" w:cs="Arial" w:eastAsia="Arial" w:hAnsi="Arial"/>
                <w:sz w:val="14"/>
                <w:szCs w:val="14"/>
                <w:color w:val="auto"/>
              </w:rPr>
              <w:t>4.31</w:t>
            </w:r>
          </w:p>
        </w:tc>
        <w:tc>
          <w:tcPr>
            <w:tcW w:w="0" w:type="dxa"/>
            <w:vAlign w:val="bottom"/>
          </w:tcPr>
          <w:p>
            <w:pPr>
              <w:spacing w:after="0"/>
              <w:rPr>
                <w:sz w:val="1"/>
                <w:szCs w:val="1"/>
                <w:color w:val="auto"/>
              </w:rPr>
            </w:pPr>
          </w:p>
        </w:tc>
      </w:tr>
      <w:tr>
        <w:trPr>
          <w:trHeight w:val="199"/>
        </w:trPr>
        <w:tc>
          <w:tcPr>
            <w:tcW w:w="3640" w:type="dxa"/>
            <w:vAlign w:val="bottom"/>
            <w:shd w:val="clear" w:color="auto" w:fill="CCEEFF"/>
          </w:tcPr>
          <w:p>
            <w:pPr>
              <w:ind w:left="180"/>
              <w:spacing w:after="0" w:line="200" w:lineRule="exact"/>
              <w:rPr>
                <w:sz w:val="20"/>
                <w:szCs w:val="20"/>
                <w:color w:val="auto"/>
              </w:rPr>
            </w:pPr>
            <w:r>
              <w:rPr>
                <w:rFonts w:ascii="Arial" w:cs="Arial" w:eastAsia="Arial" w:hAnsi="Arial"/>
                <w:sz w:val="14"/>
                <w:szCs w:val="14"/>
                <w:color w:val="auto"/>
              </w:rPr>
              <w:t>Portfolio loans receivable</w:t>
            </w:r>
            <w:r>
              <w:rPr>
                <w:rFonts w:ascii="Arial" w:cs="Arial" w:eastAsia="Arial" w:hAnsi="Arial"/>
                <w:sz w:val="18"/>
                <w:szCs w:val="18"/>
                <w:color w:val="auto"/>
                <w:vertAlign w:val="superscript"/>
              </w:rPr>
              <w:t>(2)</w:t>
            </w:r>
          </w:p>
        </w:tc>
        <w:tc>
          <w:tcPr>
            <w:tcW w:w="1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1,506,902</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31,712</w:t>
            </w:r>
          </w:p>
        </w:tc>
        <w:tc>
          <w:tcPr>
            <w:tcW w:w="12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8.53</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1,298,352</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23,118</w:t>
            </w:r>
          </w:p>
        </w:tc>
        <w:tc>
          <w:tcPr>
            <w:tcW w:w="12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7.22</w:t>
            </w:r>
          </w:p>
        </w:tc>
        <w:tc>
          <w:tcPr>
            <w:tcW w:w="0" w:type="dxa"/>
            <w:vAlign w:val="bottom"/>
          </w:tcPr>
          <w:p>
            <w:pPr>
              <w:spacing w:after="0"/>
              <w:rPr>
                <w:sz w:val="1"/>
                <w:szCs w:val="1"/>
                <w:color w:val="auto"/>
              </w:rPr>
            </w:pPr>
          </w:p>
        </w:tc>
      </w:tr>
      <w:tr>
        <w:trPr>
          <w:trHeight w:val="191"/>
        </w:trPr>
        <w:tc>
          <w:tcPr>
            <w:tcW w:w="364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Total interest earning assets</w:t>
            </w:r>
          </w:p>
        </w:tc>
        <w:tc>
          <w:tcPr>
            <w:tcW w:w="16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tcPr>
          <w:p>
            <w:pPr>
              <w:jc w:val="right"/>
              <w:ind w:right="9"/>
              <w:spacing w:after="0"/>
              <w:rPr>
                <w:sz w:val="20"/>
                <w:szCs w:val="20"/>
                <w:color w:val="auto"/>
              </w:rPr>
            </w:pPr>
            <w:r>
              <w:rPr>
                <w:rFonts w:ascii="Arial" w:cs="Arial" w:eastAsia="Arial" w:hAnsi="Arial"/>
                <w:sz w:val="14"/>
                <w:szCs w:val="14"/>
                <w:b w:val="1"/>
                <w:bCs w:val="1"/>
                <w:color w:val="auto"/>
              </w:rPr>
              <w:t>1,990,377</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34,402</w:t>
            </w: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jc w:val="right"/>
              <w:ind w:right="129"/>
              <w:spacing w:after="0"/>
              <w:rPr>
                <w:sz w:val="20"/>
                <w:szCs w:val="20"/>
                <w:color w:val="auto"/>
              </w:rPr>
            </w:pPr>
            <w:r>
              <w:rPr>
                <w:rFonts w:ascii="Arial" w:cs="Arial" w:eastAsia="Arial" w:hAnsi="Arial"/>
                <w:sz w:val="14"/>
                <w:szCs w:val="14"/>
                <w:b w:val="1"/>
                <w:bCs w:val="1"/>
                <w:color w:val="auto"/>
              </w:rPr>
              <w:t>7.01</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1,923,463</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26,638</w:t>
            </w: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jc w:val="right"/>
              <w:ind w:right="109"/>
              <w:spacing w:after="0"/>
              <w:rPr>
                <w:sz w:val="20"/>
                <w:szCs w:val="20"/>
                <w:color w:val="auto"/>
              </w:rPr>
            </w:pPr>
            <w:r>
              <w:rPr>
                <w:rFonts w:ascii="Arial" w:cs="Arial" w:eastAsia="Arial" w:hAnsi="Arial"/>
                <w:sz w:val="14"/>
                <w:szCs w:val="14"/>
                <w:color w:val="auto"/>
              </w:rPr>
              <w:t>5.62</w:t>
            </w:r>
          </w:p>
        </w:tc>
        <w:tc>
          <w:tcPr>
            <w:tcW w:w="0" w:type="dxa"/>
            <w:vAlign w:val="bottom"/>
          </w:tcPr>
          <w:p>
            <w:pPr>
              <w:spacing w:after="0"/>
              <w:rPr>
                <w:sz w:val="1"/>
                <w:szCs w:val="1"/>
                <w:color w:val="auto"/>
              </w:rPr>
            </w:pPr>
          </w:p>
        </w:tc>
      </w:tr>
      <w:tr>
        <w:trPr>
          <w:trHeight w:val="179"/>
        </w:trPr>
        <w:tc>
          <w:tcPr>
            <w:tcW w:w="3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Noninterest earning assets</w:t>
            </w:r>
          </w:p>
        </w:tc>
        <w:tc>
          <w:tcPr>
            <w:tcW w:w="1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66,824</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25,803</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640" w:type="dxa"/>
            <w:vAlign w:val="bottom"/>
          </w:tcPr>
          <w:p>
            <w:pPr>
              <w:ind w:left="300"/>
              <w:spacing w:after="0"/>
              <w:rPr>
                <w:sz w:val="20"/>
                <w:szCs w:val="20"/>
                <w:color w:val="auto"/>
              </w:rPr>
            </w:pPr>
            <w:r>
              <w:rPr>
                <w:rFonts w:ascii="Arial" w:cs="Arial" w:eastAsia="Arial" w:hAnsi="Arial"/>
                <w:sz w:val="14"/>
                <w:szCs w:val="14"/>
                <w:color w:val="auto"/>
              </w:rPr>
              <w:t>Total assets</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2,057,201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1,949,266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6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3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640" w:type="dxa"/>
            <w:vAlign w:val="bottom"/>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bearing liabilities:</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640" w:type="dxa"/>
            <w:vAlign w:val="bottom"/>
          </w:tcPr>
          <w:p>
            <w:pPr>
              <w:ind w:left="180"/>
              <w:spacing w:after="0"/>
              <w:rPr>
                <w:sz w:val="20"/>
                <w:szCs w:val="20"/>
                <w:color w:val="auto"/>
              </w:rPr>
            </w:pPr>
            <w:r>
              <w:rPr>
                <w:rFonts w:ascii="Arial" w:cs="Arial" w:eastAsia="Arial" w:hAnsi="Arial"/>
                <w:sz w:val="14"/>
                <w:szCs w:val="14"/>
                <w:color w:val="auto"/>
              </w:rPr>
              <w:t>Interest bearing demand accounts</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293,979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37</w:t>
            </w:r>
          </w:p>
        </w:tc>
        <w:tc>
          <w:tcPr>
            <w:tcW w:w="120" w:type="dxa"/>
            <w:vAlign w:val="bottom"/>
          </w:tcPr>
          <w:p>
            <w:pPr>
              <w:spacing w:after="0"/>
              <w:rPr>
                <w:sz w:val="17"/>
                <w:szCs w:val="17"/>
                <w:color w:val="auto"/>
              </w:rPr>
            </w:pPr>
          </w:p>
        </w:tc>
        <w:tc>
          <w:tcPr>
            <w:tcW w:w="1100" w:type="dxa"/>
            <w:vAlign w:val="bottom"/>
          </w:tcPr>
          <w:p>
            <w:pPr>
              <w:jc w:val="right"/>
              <w:ind w:right="129"/>
              <w:spacing w:after="0"/>
              <w:rPr>
                <w:sz w:val="20"/>
                <w:szCs w:val="20"/>
                <w:color w:val="auto"/>
              </w:rPr>
            </w:pPr>
            <w:r>
              <w:rPr>
                <w:rFonts w:ascii="Arial" w:cs="Arial" w:eastAsia="Arial" w:hAnsi="Arial"/>
                <w:sz w:val="14"/>
                <w:szCs w:val="14"/>
                <w:b w:val="1"/>
                <w:bCs w:val="1"/>
                <w:color w:val="auto"/>
              </w:rPr>
              <w:t>0.05</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256,958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17"/>
                <w:szCs w:val="17"/>
                <w:color w:val="auto"/>
              </w:rPr>
            </w:pPr>
          </w:p>
        </w:tc>
        <w:tc>
          <w:tcPr>
            <w:tcW w:w="1100" w:type="dxa"/>
            <w:vAlign w:val="bottom"/>
          </w:tcPr>
          <w:p>
            <w:pPr>
              <w:jc w:val="right"/>
              <w:ind w:right="109"/>
              <w:spacing w:after="0"/>
              <w:rPr>
                <w:sz w:val="20"/>
                <w:szCs w:val="20"/>
                <w:color w:val="auto"/>
              </w:rPr>
            </w:pPr>
            <w:r>
              <w:rPr>
                <w:rFonts w:ascii="Arial" w:cs="Arial" w:eastAsia="Arial" w:hAnsi="Arial"/>
                <w:sz w:val="14"/>
                <w:szCs w:val="14"/>
                <w:color w:val="auto"/>
              </w:rPr>
              <w:t>0.11</w:t>
            </w:r>
          </w:p>
        </w:tc>
        <w:tc>
          <w:tcPr>
            <w:tcW w:w="0" w:type="dxa"/>
            <w:vAlign w:val="bottom"/>
          </w:tcPr>
          <w:p>
            <w:pPr>
              <w:spacing w:after="0"/>
              <w:rPr>
                <w:sz w:val="1"/>
                <w:szCs w:val="1"/>
                <w:color w:val="auto"/>
              </w:rPr>
            </w:pPr>
          </w:p>
        </w:tc>
      </w:tr>
      <w:tr>
        <w:trPr>
          <w:trHeight w:val="199"/>
        </w:trPr>
        <w:tc>
          <w:tcPr>
            <w:tcW w:w="3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Savings</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8,274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0.05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5,631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198"/>
        </w:trPr>
        <w:tc>
          <w:tcPr>
            <w:tcW w:w="3640" w:type="dxa"/>
            <w:vAlign w:val="bottom"/>
          </w:tcPr>
          <w:p>
            <w:pPr>
              <w:ind w:left="180"/>
              <w:spacing w:after="0"/>
              <w:rPr>
                <w:sz w:val="20"/>
                <w:szCs w:val="20"/>
                <w:color w:val="auto"/>
              </w:rPr>
            </w:pPr>
            <w:r>
              <w:rPr>
                <w:rFonts w:ascii="Arial" w:cs="Arial" w:eastAsia="Arial" w:hAnsi="Arial"/>
                <w:sz w:val="14"/>
                <w:szCs w:val="14"/>
                <w:color w:val="auto"/>
              </w:rPr>
              <w:t>Money market accounts</w:t>
            </w:r>
          </w:p>
        </w:tc>
        <w:tc>
          <w:tcPr>
            <w:tcW w:w="160" w:type="dxa"/>
            <w:vAlign w:val="bottom"/>
          </w:tcPr>
          <w:p>
            <w:pPr>
              <w:spacing w:after="0"/>
              <w:rPr>
                <w:sz w:val="17"/>
                <w:szCs w:val="17"/>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539,264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301</w:t>
            </w:r>
          </w:p>
        </w:tc>
        <w:tc>
          <w:tcPr>
            <w:tcW w:w="120" w:type="dxa"/>
            <w:vAlign w:val="bottom"/>
          </w:tcPr>
          <w:p>
            <w:pPr>
              <w:spacing w:after="0"/>
              <w:rPr>
                <w:sz w:val="17"/>
                <w:szCs w:val="17"/>
                <w:color w:val="auto"/>
              </w:rPr>
            </w:pPr>
          </w:p>
        </w:tc>
        <w:tc>
          <w:tcPr>
            <w:tcW w:w="1100" w:type="dxa"/>
            <w:vAlign w:val="bottom"/>
          </w:tcPr>
          <w:p>
            <w:pPr>
              <w:jc w:val="right"/>
              <w:ind w:right="129"/>
              <w:spacing w:after="0"/>
              <w:rPr>
                <w:sz w:val="20"/>
                <w:szCs w:val="20"/>
                <w:color w:val="auto"/>
              </w:rPr>
            </w:pPr>
            <w:r>
              <w:rPr>
                <w:rFonts w:ascii="Arial" w:cs="Arial" w:eastAsia="Arial" w:hAnsi="Arial"/>
                <w:sz w:val="14"/>
                <w:szCs w:val="14"/>
                <w:b w:val="1"/>
                <w:bCs w:val="1"/>
                <w:color w:val="auto"/>
              </w:rPr>
              <w:t>0.23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471,154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530</w:t>
            </w:r>
          </w:p>
        </w:tc>
        <w:tc>
          <w:tcPr>
            <w:tcW w:w="120" w:type="dxa"/>
            <w:vAlign w:val="bottom"/>
          </w:tcPr>
          <w:p>
            <w:pPr>
              <w:spacing w:after="0"/>
              <w:rPr>
                <w:sz w:val="17"/>
                <w:szCs w:val="17"/>
                <w:color w:val="auto"/>
              </w:rPr>
            </w:pPr>
          </w:p>
        </w:tc>
        <w:tc>
          <w:tcPr>
            <w:tcW w:w="1100" w:type="dxa"/>
            <w:vAlign w:val="bottom"/>
          </w:tcPr>
          <w:p>
            <w:pPr>
              <w:jc w:val="right"/>
              <w:ind w:right="109"/>
              <w:spacing w:after="0"/>
              <w:rPr>
                <w:sz w:val="20"/>
                <w:szCs w:val="20"/>
                <w:color w:val="auto"/>
              </w:rPr>
            </w:pPr>
            <w:r>
              <w:rPr>
                <w:rFonts w:ascii="Arial" w:cs="Arial" w:eastAsia="Arial" w:hAnsi="Arial"/>
                <w:sz w:val="14"/>
                <w:szCs w:val="14"/>
                <w:color w:val="auto"/>
              </w:rPr>
              <w:t>0.46</w:t>
            </w:r>
          </w:p>
        </w:tc>
        <w:tc>
          <w:tcPr>
            <w:tcW w:w="0" w:type="dxa"/>
            <w:vAlign w:val="bottom"/>
          </w:tcPr>
          <w:p>
            <w:pPr>
              <w:spacing w:after="0"/>
              <w:rPr>
                <w:sz w:val="1"/>
                <w:szCs w:val="1"/>
                <w:color w:val="auto"/>
              </w:rPr>
            </w:pPr>
          </w:p>
        </w:tc>
      </w:tr>
      <w:tr>
        <w:trPr>
          <w:trHeight w:val="199"/>
        </w:trPr>
        <w:tc>
          <w:tcPr>
            <w:tcW w:w="3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Time deposits</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170,748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545</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1.29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332,660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1,407</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1.72</w:t>
            </w:r>
          </w:p>
        </w:tc>
        <w:tc>
          <w:tcPr>
            <w:tcW w:w="0" w:type="dxa"/>
            <w:vAlign w:val="bottom"/>
          </w:tcPr>
          <w:p>
            <w:pPr>
              <w:spacing w:after="0"/>
              <w:rPr>
                <w:sz w:val="1"/>
                <w:szCs w:val="1"/>
                <w:color w:val="auto"/>
              </w:rPr>
            </w:pPr>
          </w:p>
        </w:tc>
      </w:tr>
      <w:tr>
        <w:trPr>
          <w:trHeight w:val="198"/>
        </w:trPr>
        <w:tc>
          <w:tcPr>
            <w:tcW w:w="36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Borrowed funds</w:t>
            </w: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34,062</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187</w:t>
            </w:r>
          </w:p>
        </w:tc>
        <w:tc>
          <w:tcPr>
            <w:tcW w:w="12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2.23</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35,343</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w:t>
            </w:r>
          </w:p>
        </w:tc>
        <w:tc>
          <w:tcPr>
            <w:tcW w:w="12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193"/>
        </w:trPr>
        <w:tc>
          <w:tcPr>
            <w:tcW w:w="36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Total interest bearing liabilities</w:t>
            </w: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1,046,327</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1,071</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0.42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1,101,746</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2,194</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0.81</w:t>
            </w:r>
          </w:p>
        </w:tc>
        <w:tc>
          <w:tcPr>
            <w:tcW w:w="0" w:type="dxa"/>
            <w:vAlign w:val="bottom"/>
          </w:tcPr>
          <w:p>
            <w:pPr>
              <w:spacing w:after="0"/>
              <w:rPr>
                <w:sz w:val="1"/>
                <w:szCs w:val="1"/>
                <w:color w:val="auto"/>
              </w:rPr>
            </w:pPr>
          </w:p>
        </w:tc>
      </w:tr>
      <w:tr>
        <w:trPr>
          <w:trHeight w:val="174"/>
        </w:trPr>
        <w:tc>
          <w:tcPr>
            <w:tcW w:w="3640" w:type="dxa"/>
            <w:vAlign w:val="bottom"/>
          </w:tcPr>
          <w:p>
            <w:pPr>
              <w:ind w:left="20"/>
              <w:spacing w:after="0"/>
              <w:rPr>
                <w:sz w:val="20"/>
                <w:szCs w:val="20"/>
                <w:color w:val="auto"/>
              </w:rPr>
            </w:pPr>
            <w:r>
              <w:rPr>
                <w:rFonts w:ascii="Arial" w:cs="Arial" w:eastAsia="Arial" w:hAnsi="Arial"/>
                <w:sz w:val="14"/>
                <w:szCs w:val="14"/>
                <w:color w:val="auto"/>
              </w:rPr>
              <w:t>Noninterest bearing liabilities:</w:t>
            </w: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Noninterest bearing liabilities</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24,156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24,059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640" w:type="dxa"/>
            <w:vAlign w:val="bottom"/>
          </w:tcPr>
          <w:p>
            <w:pPr>
              <w:ind w:left="180"/>
              <w:spacing w:after="0"/>
              <w:rPr>
                <w:sz w:val="20"/>
                <w:szCs w:val="20"/>
                <w:color w:val="auto"/>
              </w:rPr>
            </w:pPr>
            <w:r>
              <w:rPr>
                <w:rFonts w:ascii="Arial" w:cs="Arial" w:eastAsia="Arial" w:hAnsi="Arial"/>
                <w:sz w:val="14"/>
                <w:szCs w:val="14"/>
                <w:color w:val="auto"/>
              </w:rPr>
              <w:t>Noninterest bearing deposits</w:t>
            </w:r>
          </w:p>
        </w:tc>
        <w:tc>
          <w:tcPr>
            <w:tcW w:w="160" w:type="dxa"/>
            <w:vAlign w:val="bottom"/>
          </w:tcPr>
          <w:p>
            <w:pPr>
              <w:spacing w:after="0"/>
              <w:rPr>
                <w:sz w:val="17"/>
                <w:szCs w:val="17"/>
                <w:color w:val="auto"/>
              </w:rPr>
            </w:pP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782,747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660,086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Stockholders’ equity</w:t>
            </w:r>
          </w:p>
        </w:tc>
        <w:tc>
          <w:tcPr>
            <w:tcW w:w="1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203,971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163,375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40" w:type="dxa"/>
            <w:vAlign w:val="bottom"/>
          </w:tcPr>
          <w:p>
            <w:pPr>
              <w:ind w:left="300"/>
              <w:spacing w:after="0"/>
              <w:rPr>
                <w:sz w:val="20"/>
                <w:szCs w:val="20"/>
                <w:color w:val="auto"/>
              </w:rPr>
            </w:pPr>
            <w:r>
              <w:rPr>
                <w:rFonts w:ascii="Arial" w:cs="Arial" w:eastAsia="Arial" w:hAnsi="Arial"/>
                <w:sz w:val="14"/>
                <w:szCs w:val="14"/>
                <w:color w:val="auto"/>
              </w:rPr>
              <w:t>Total liabilities and stockholders’ equity</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2,057,201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1,949,266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6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3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3640" w:type="dxa"/>
            <w:vAlign w:val="bottom"/>
          </w:tcPr>
          <w:p>
            <w:pPr>
              <w:ind w:left="20"/>
              <w:spacing w:after="0"/>
              <w:rPr>
                <w:sz w:val="20"/>
                <w:szCs w:val="20"/>
                <w:color w:val="auto"/>
              </w:rPr>
            </w:pPr>
            <w:r>
              <w:rPr>
                <w:rFonts w:ascii="Arial" w:cs="Arial" w:eastAsia="Arial" w:hAnsi="Arial"/>
                <w:sz w:val="14"/>
                <w:szCs w:val="14"/>
                <w:color w:val="auto"/>
              </w:rPr>
              <w:t>Net interest spread</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6.59 %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4.81 %</w:t>
            </w:r>
          </w:p>
        </w:tc>
        <w:tc>
          <w:tcPr>
            <w:tcW w:w="0" w:type="dxa"/>
            <w:vAlign w:val="bottom"/>
          </w:tcPr>
          <w:p>
            <w:pPr>
              <w:spacing w:after="0"/>
              <w:rPr>
                <w:sz w:val="1"/>
                <w:szCs w:val="1"/>
                <w:color w:val="auto"/>
              </w:rPr>
            </w:pPr>
          </w:p>
        </w:tc>
      </w:tr>
      <w:tr>
        <w:trPr>
          <w:trHeight w:val="20"/>
        </w:trPr>
        <w:tc>
          <w:tcPr>
            <w:tcW w:w="36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interest income</w:t>
            </w:r>
          </w:p>
        </w:tc>
        <w:tc>
          <w:tcPr>
            <w:tcW w:w="1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33,331</w:t>
            </w:r>
          </w:p>
        </w:tc>
        <w:tc>
          <w:tcPr>
            <w:tcW w:w="1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24,444</w:t>
            </w:r>
          </w:p>
        </w:tc>
        <w:tc>
          <w:tcPr>
            <w:tcW w:w="1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bottom w:val="single" w:sz="8" w:color="CCEEFF"/>
            </w:tcBorders>
            <w:vMerge w:val="restart"/>
          </w:tcPr>
          <w:p>
            <w:pPr>
              <w:ind w:left="20"/>
              <w:spacing w:after="0" w:line="185" w:lineRule="exact"/>
              <w:rPr>
                <w:sz w:val="20"/>
                <w:szCs w:val="20"/>
                <w:color w:val="auto"/>
              </w:rPr>
            </w:pPr>
            <w:r>
              <w:rPr>
                <w:rFonts w:ascii="Arial" w:cs="Arial" w:eastAsia="Arial" w:hAnsi="Arial"/>
                <w:sz w:val="14"/>
                <w:szCs w:val="14"/>
                <w:color w:val="auto"/>
              </w:rPr>
              <w:t xml:space="preserve">Net interest margin </w:t>
            </w:r>
            <w:r>
              <w:rPr>
                <w:rFonts w:ascii="Arial" w:cs="Arial" w:eastAsia="Arial" w:hAnsi="Arial"/>
                <w:sz w:val="18"/>
                <w:szCs w:val="18"/>
                <w:color w:val="auto"/>
                <w:vertAlign w:val="superscript"/>
              </w:rPr>
              <w:t>(3)</w:t>
            </w: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4"/>
                <w:szCs w:val="14"/>
                <w:b w:val="1"/>
                <w:bCs w:val="1"/>
                <w:color w:val="auto"/>
              </w:rPr>
              <w:t>6.79 %</w:t>
            </w: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4"/>
                <w:szCs w:val="14"/>
                <w:color w:val="auto"/>
              </w:rPr>
              <w:t>5.15 %</w:t>
            </w:r>
          </w:p>
        </w:tc>
        <w:tc>
          <w:tcPr>
            <w:tcW w:w="0" w:type="dxa"/>
            <w:vAlign w:val="bottom"/>
          </w:tcPr>
          <w:p>
            <w:pPr>
              <w:spacing w:after="0" w:line="20" w:lineRule="exact"/>
              <w:rPr>
                <w:sz w:val="1"/>
                <w:szCs w:val="1"/>
                <w:color w:val="auto"/>
              </w:rPr>
            </w:pPr>
          </w:p>
        </w:tc>
      </w:tr>
      <w:tr>
        <w:trPr>
          <w:trHeight w:val="145"/>
        </w:trPr>
        <w:tc>
          <w:tcPr>
            <w:tcW w:w="36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ind w:left="320" w:hanging="314"/>
        <w:spacing w:after="0" w:line="205" w:lineRule="auto"/>
        <w:tabs>
          <w:tab w:leader="none" w:pos="320" w:val="left"/>
        </w:tabs>
        <w:numPr>
          <w:ilvl w:val="0"/>
          <w:numId w:val="12"/>
        </w:numPr>
        <w:rPr>
          <w:rFonts w:ascii="Times New Roman" w:cs="Times New Roman" w:eastAsia="Times New Roman" w:hAnsi="Times New Roman"/>
          <w:sz w:val="14"/>
          <w:szCs w:val="14"/>
          <w:color w:val="auto"/>
          <w:vertAlign w:val="superscript"/>
        </w:rPr>
      </w:pPr>
      <w:r>
        <w:rPr>
          <w:rFonts w:ascii="Arial" w:cs="Arial" w:eastAsia="Arial" w:hAnsi="Arial"/>
          <w:sz w:val="11"/>
          <w:szCs w:val="11"/>
          <w:color w:val="auto"/>
        </w:rPr>
        <w:t>Annualized.</w:t>
      </w:r>
    </w:p>
    <w:p>
      <w:pPr>
        <w:ind w:left="320" w:hanging="314"/>
        <w:spacing w:after="0" w:line="193" w:lineRule="auto"/>
        <w:tabs>
          <w:tab w:leader="none" w:pos="320" w:val="left"/>
        </w:tabs>
        <w:numPr>
          <w:ilvl w:val="0"/>
          <w:numId w:val="12"/>
        </w:numPr>
        <w:rPr>
          <w:rFonts w:ascii="Times New Roman" w:cs="Times New Roman" w:eastAsia="Times New Roman" w:hAnsi="Times New Roman"/>
          <w:sz w:val="14"/>
          <w:szCs w:val="14"/>
          <w:color w:val="auto"/>
          <w:vertAlign w:val="superscript"/>
        </w:rPr>
      </w:pPr>
      <w:r>
        <w:rPr>
          <w:rFonts w:ascii="Arial" w:cs="Arial" w:eastAsia="Arial" w:hAnsi="Arial"/>
          <w:sz w:val="11"/>
          <w:szCs w:val="11"/>
          <w:color w:val="auto"/>
        </w:rPr>
        <w:t>Includes nonaccrual loans.</w:t>
      </w:r>
    </w:p>
    <w:p>
      <w:pPr>
        <w:spacing w:after="0" w:line="3" w:lineRule="exact"/>
        <w:rPr>
          <w:rFonts w:ascii="Times New Roman" w:cs="Times New Roman" w:eastAsia="Times New Roman" w:hAnsi="Times New Roman"/>
          <w:sz w:val="14"/>
          <w:szCs w:val="14"/>
          <w:color w:val="auto"/>
          <w:vertAlign w:val="superscript"/>
        </w:rPr>
      </w:pPr>
    </w:p>
    <w:p>
      <w:pPr>
        <w:ind w:left="320" w:hanging="314"/>
        <w:spacing w:after="0" w:line="193" w:lineRule="auto"/>
        <w:tabs>
          <w:tab w:leader="none" w:pos="320" w:val="left"/>
        </w:tabs>
        <w:numPr>
          <w:ilvl w:val="0"/>
          <w:numId w:val="12"/>
        </w:numPr>
        <w:rPr>
          <w:rFonts w:ascii="Times New Roman" w:cs="Times New Roman" w:eastAsia="Times New Roman" w:hAnsi="Times New Roman"/>
          <w:sz w:val="14"/>
          <w:szCs w:val="14"/>
          <w:color w:val="auto"/>
          <w:vertAlign w:val="superscript"/>
        </w:rPr>
      </w:pPr>
      <w:r>
        <w:rPr>
          <w:rFonts w:ascii="Arial" w:cs="Arial" w:eastAsia="Arial" w:hAnsi="Arial"/>
          <w:sz w:val="11"/>
          <w:szCs w:val="11"/>
          <w:color w:val="auto"/>
        </w:rPr>
        <w:t>For the three months ended March 31, 2022 and 2021, SBA-PPP loans and credit card loans collectively accounted for 297 and 152 basis points of the reported net interest margin, respectively.</w:t>
      </w:r>
    </w:p>
    <w:p>
      <w:pPr>
        <w:spacing w:after="0" w:line="200" w:lineRule="exact"/>
        <w:rPr>
          <w:sz w:val="20"/>
          <w:szCs w:val="20"/>
          <w:color w:val="auto"/>
        </w:rPr>
      </w:pPr>
    </w:p>
    <w:p>
      <w:pPr>
        <w:spacing w:after="0" w:line="25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net interest margin increased 164 basis points to 6.79% for the three months ended March 31, 2022 from the same period in 2021 due in large part to the acceleration of the deferred fees associated with the SBA-PPP loan forgiveness as well as the recognition of deferred fees on credit card loans. Net interest margin, excluding credit card and SBA-PPP loans, was 3.82% for the first quarter of 2022 compared to 3.63% for the same period in 2021. For the three months ended March 31, 2022, average interest earning assets increased $66.9 million, or 3.5 percent, to $2.0 billion as compared to the same period in 2021, and the average yield on interest earning assets increased 139 basis points. Compared to the same period in the prior year, average interest-bearing liabilities decreased $55.4 million, or 5.0 percent, while the average cost of interest-bearing liabilities decreased 39 basis points to 0.42% from 0.81%.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253365</wp:posOffset>
            </wp:positionV>
            <wp:extent cx="716026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167" w:lineRule="exact"/>
        <w:rPr>
          <w:sz w:val="20"/>
          <w:szCs w:val="20"/>
          <w:color w:val="auto"/>
        </w:rPr>
      </w:pPr>
    </w:p>
    <w:p>
      <w:pPr>
        <w:jc w:val="both"/>
        <w:ind w:right="100" w:firstLine="318"/>
        <w:spacing w:after="0" w:line="260" w:lineRule="auto"/>
        <w:rPr>
          <w:sz w:val="20"/>
          <w:szCs w:val="20"/>
          <w:color w:val="auto"/>
        </w:rPr>
      </w:pPr>
      <w:r>
        <w:rPr>
          <w:rFonts w:ascii="Arial" w:cs="Arial" w:eastAsia="Arial" w:hAnsi="Arial"/>
          <w:sz w:val="18"/>
          <w:szCs w:val="18"/>
          <w:color w:val="auto"/>
        </w:rPr>
        <w:t>The rate/volume table below presents the composition of the change in net interest income for the periods indicated, as allocated between the change in net interest income due to changes in the volume of average earning assets and interest bearing liabilities, and the changes in net interest income due to changes in interest rates.</w:t>
      </w:r>
    </w:p>
    <w:p>
      <w:pPr>
        <w:spacing w:after="0" w:line="173"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ANALYSIS OF CHANGES IN NET INTEREST INCOME</w:t>
      </w:r>
    </w:p>
    <w:p>
      <w:pPr>
        <w:spacing w:after="0" w:line="266" w:lineRule="exact"/>
        <w:rPr>
          <w:sz w:val="20"/>
          <w:szCs w:val="20"/>
          <w:color w:val="auto"/>
        </w:rPr>
      </w:pPr>
    </w:p>
    <w:tbl>
      <w:tblPr>
        <w:tblLayout w:type="fixed"/>
        <w:tblInd w:w="320" w:type="dxa"/>
        <w:tblCellMar>
          <w:top w:w="0" w:type="dxa"/>
          <w:left w:w="0" w:type="dxa"/>
          <w:bottom w:w="0" w:type="dxa"/>
          <w:right w:w="0" w:type="dxa"/>
        </w:tblCellMar>
      </w:tblPr>
      <w:tr>
        <w:trPr>
          <w:trHeight w:val="194"/>
        </w:trPr>
        <w:tc>
          <w:tcPr>
            <w:tcW w:w="6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500" w:type="dxa"/>
            <w:vAlign w:val="bottom"/>
            <w:gridSpan w:val="6"/>
          </w:tcPr>
          <w:p>
            <w:pPr>
              <w:jc w:val="center"/>
              <w:ind w:left="429"/>
              <w:spacing w:after="0"/>
              <w:rPr>
                <w:sz w:val="20"/>
                <w:szCs w:val="20"/>
                <w:color w:val="auto"/>
              </w:rPr>
            </w:pPr>
            <w:r>
              <w:rPr>
                <w:rFonts w:ascii="Arial" w:cs="Arial" w:eastAsia="Arial" w:hAnsi="Arial"/>
                <w:sz w:val="14"/>
                <w:szCs w:val="14"/>
                <w:b w:val="1"/>
                <w:bCs w:val="1"/>
                <w:color w:val="auto"/>
              </w:rPr>
              <w:t>Three Months Ended March 31, 2022</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Compared to the</w:t>
            </w:r>
          </w:p>
        </w:tc>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67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3500" w:type="dxa"/>
            <w:vAlign w:val="bottom"/>
            <w:tcBorders>
              <w:bottom w:val="single" w:sz="8" w:color="auto"/>
            </w:tcBorders>
            <w:gridSpan w:val="6"/>
          </w:tcPr>
          <w:p>
            <w:pPr>
              <w:jc w:val="center"/>
              <w:ind w:left="429"/>
              <w:spacing w:after="0"/>
              <w:rPr>
                <w:sz w:val="20"/>
                <w:szCs w:val="20"/>
                <w:color w:val="auto"/>
              </w:rPr>
            </w:pPr>
            <w:r>
              <w:rPr>
                <w:rFonts w:ascii="Arial" w:cs="Arial" w:eastAsia="Arial" w:hAnsi="Arial"/>
                <w:sz w:val="14"/>
                <w:szCs w:val="14"/>
                <w:b w:val="1"/>
                <w:bCs w:val="1"/>
                <w:color w:val="auto"/>
              </w:rPr>
              <w:t>Three Months Ended March 31, 2021</w:t>
            </w:r>
          </w:p>
        </w:tc>
        <w:tc>
          <w:tcPr>
            <w:tcW w:w="5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6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20" w:type="dxa"/>
            <w:vAlign w:val="bottom"/>
            <w:gridSpan w:val="5"/>
          </w:tcPr>
          <w:p>
            <w:pPr>
              <w:ind w:left="700"/>
              <w:spacing w:after="0"/>
              <w:rPr>
                <w:sz w:val="20"/>
                <w:szCs w:val="20"/>
                <w:color w:val="auto"/>
              </w:rPr>
            </w:pPr>
            <w:r>
              <w:rPr>
                <w:rFonts w:ascii="Arial" w:cs="Arial" w:eastAsia="Arial" w:hAnsi="Arial"/>
                <w:sz w:val="14"/>
                <w:szCs w:val="14"/>
                <w:b w:val="1"/>
                <w:bCs w:val="1"/>
                <w:color w:val="auto"/>
              </w:rPr>
              <w:t>Change Due To</w:t>
            </w: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670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Interest Varianc</w:t>
            </w:r>
          </w:p>
        </w:tc>
        <w:tc>
          <w:tcPr>
            <w:tcW w:w="0" w:type="dxa"/>
            <w:vAlign w:val="bottom"/>
          </w:tcPr>
          <w:p>
            <w:pPr>
              <w:spacing w:after="0"/>
              <w:rPr>
                <w:sz w:val="1"/>
                <w:szCs w:val="1"/>
                <w:color w:val="auto"/>
              </w:rPr>
            </w:pPr>
          </w:p>
        </w:tc>
      </w:tr>
      <w:tr>
        <w:trPr>
          <w:trHeight w:val="191"/>
        </w:trPr>
        <w:tc>
          <w:tcPr>
            <w:tcW w:w="6700" w:type="dxa"/>
            <w:vAlign w:val="bottom"/>
            <w:vMerge w:val="restart"/>
          </w:tcPr>
          <w:p>
            <w:pPr>
              <w:ind w:left="20"/>
              <w:spacing w:after="0"/>
              <w:rPr>
                <w:sz w:val="20"/>
                <w:szCs w:val="20"/>
                <w:color w:val="auto"/>
              </w:rPr>
            </w:pPr>
            <w:r>
              <w:rPr>
                <w:rFonts w:ascii="Arial" w:cs="Arial" w:eastAsia="Arial" w:hAnsi="Arial"/>
                <w:sz w:val="11"/>
                <w:szCs w:val="11"/>
                <w:i w:val="1"/>
                <w:iCs w:val="1"/>
                <w:color w:val="auto"/>
              </w:rPr>
              <w:t>(in thousands)</w:t>
            </w:r>
          </w:p>
        </w:tc>
        <w:tc>
          <w:tcPr>
            <w:tcW w:w="280" w:type="dxa"/>
            <w:vAlign w:val="bottom"/>
          </w:tcPr>
          <w:p>
            <w:pPr>
              <w:spacing w:after="0"/>
              <w:rPr>
                <w:sz w:val="16"/>
                <w:szCs w:val="16"/>
                <w:color w:val="auto"/>
              </w:rPr>
            </w:pPr>
          </w:p>
        </w:tc>
        <w:tc>
          <w:tcPr>
            <w:tcW w:w="1280" w:type="dxa"/>
            <w:vAlign w:val="bottom"/>
            <w:gridSpan w:val="2"/>
          </w:tcPr>
          <w:p>
            <w:pPr>
              <w:ind w:left="200"/>
              <w:spacing w:after="0"/>
              <w:rPr>
                <w:sz w:val="20"/>
                <w:szCs w:val="20"/>
                <w:color w:val="auto"/>
              </w:rPr>
            </w:pPr>
            <w:r>
              <w:rPr>
                <w:rFonts w:ascii="Arial" w:cs="Arial" w:eastAsia="Arial" w:hAnsi="Arial"/>
                <w:sz w:val="14"/>
                <w:szCs w:val="14"/>
                <w:b w:val="1"/>
                <w:bCs w:val="1"/>
                <w:color w:val="auto"/>
              </w:rPr>
              <w:t>Volume</w:t>
            </w:r>
          </w:p>
        </w:tc>
        <w:tc>
          <w:tcPr>
            <w:tcW w:w="12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Rate</w:t>
            </w:r>
          </w:p>
        </w:tc>
        <w:tc>
          <w:tcPr>
            <w:tcW w:w="12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6700" w:type="dxa"/>
            <w:vAlign w:val="bottom"/>
            <w:vMerge w:val="continue"/>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6700" w:type="dxa"/>
            <w:vAlign w:val="bottom"/>
          </w:tcPr>
          <w:p>
            <w:pPr>
              <w:ind w:left="20"/>
              <w:spacing w:after="0"/>
              <w:rPr>
                <w:sz w:val="20"/>
                <w:szCs w:val="20"/>
                <w:color w:val="auto"/>
              </w:rPr>
            </w:pPr>
            <w:r>
              <w:rPr>
                <w:rFonts w:ascii="Arial" w:cs="Arial" w:eastAsia="Arial" w:hAnsi="Arial"/>
                <w:sz w:val="14"/>
                <w:szCs w:val="14"/>
                <w:b w:val="1"/>
                <w:bCs w:val="1"/>
                <w:color w:val="auto"/>
              </w:rPr>
              <w:t>Interest Income:</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bearing deposits</w:t>
            </w:r>
          </w:p>
        </w:tc>
        <w:tc>
          <w:tcPr>
            <w:tcW w:w="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509"/>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6700" w:type="dxa"/>
            <w:vAlign w:val="bottom"/>
          </w:tcPr>
          <w:p>
            <w:pPr>
              <w:ind w:left="180"/>
              <w:spacing w:after="0"/>
              <w:rPr>
                <w:sz w:val="20"/>
                <w:szCs w:val="20"/>
                <w:color w:val="auto"/>
              </w:rPr>
            </w:pPr>
            <w:r>
              <w:rPr>
                <w:rFonts w:ascii="Arial" w:cs="Arial" w:eastAsia="Arial" w:hAnsi="Arial"/>
                <w:sz w:val="14"/>
                <w:szCs w:val="14"/>
                <w:color w:val="auto"/>
              </w:rPr>
              <w:t>Federal funds sold</w:t>
            </w:r>
          </w:p>
        </w:tc>
        <w:tc>
          <w:tcPr>
            <w:tcW w:w="28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Investment securities</w:t>
            </w: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4"/>
        </w:trPr>
        <w:tc>
          <w:tcPr>
            <w:tcW w:w="6700" w:type="dxa"/>
            <w:vAlign w:val="bottom"/>
          </w:tcPr>
          <w:p>
            <w:pPr>
              <w:ind w:left="180"/>
              <w:spacing w:after="0"/>
              <w:rPr>
                <w:sz w:val="20"/>
                <w:szCs w:val="20"/>
                <w:color w:val="auto"/>
              </w:rPr>
            </w:pPr>
            <w:r>
              <w:rPr>
                <w:rFonts w:ascii="Arial" w:cs="Arial" w:eastAsia="Arial" w:hAnsi="Arial"/>
                <w:sz w:val="14"/>
                <w:szCs w:val="14"/>
                <w:color w:val="auto"/>
              </w:rPr>
              <w:t>Restricted stock</w:t>
            </w: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Loans held for sale</w:t>
            </w: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94"/>
        </w:trPr>
        <w:tc>
          <w:tcPr>
            <w:tcW w:w="6700" w:type="dxa"/>
            <w:vAlign w:val="bottom"/>
          </w:tcPr>
          <w:p>
            <w:pPr>
              <w:ind w:left="180"/>
              <w:spacing w:after="0"/>
              <w:rPr>
                <w:sz w:val="20"/>
                <w:szCs w:val="20"/>
                <w:color w:val="auto"/>
              </w:rPr>
            </w:pPr>
            <w:r>
              <w:rPr>
                <w:rFonts w:ascii="Arial" w:cs="Arial" w:eastAsia="Arial" w:hAnsi="Arial"/>
                <w:sz w:val="14"/>
                <w:szCs w:val="14"/>
                <w:color w:val="auto"/>
              </w:rPr>
              <w:t>SBA-PPP loans</w:t>
            </w: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(3,692)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3,289</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3"/>
        </w:trPr>
        <w:tc>
          <w:tcPr>
            <w:tcW w:w="6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Portfolio loans excluding credit card loans</w:t>
            </w: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(830)</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94"/>
        </w:trPr>
        <w:tc>
          <w:tcPr>
            <w:tcW w:w="670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Credit card loans</w:t>
            </w: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3,643</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3,185</w:t>
            </w:r>
          </w:p>
        </w:tc>
        <w:tc>
          <w:tcPr>
            <w:tcW w:w="12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92"/>
        </w:trPr>
        <w:tc>
          <w:tcPr>
            <w:tcW w:w="67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Total interest income</w:t>
            </w:r>
          </w:p>
        </w:tc>
        <w:tc>
          <w:tcPr>
            <w:tcW w:w="28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2,208</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5,556</w:t>
            </w:r>
          </w:p>
        </w:tc>
        <w:tc>
          <w:tcPr>
            <w:tcW w:w="120" w:type="dxa"/>
            <w:vAlign w:val="bottom"/>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97"/>
        </w:trPr>
        <w:tc>
          <w:tcPr>
            <w:tcW w:w="6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Interest Expense:</w:t>
            </w: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6700" w:type="dxa"/>
            <w:vAlign w:val="bottom"/>
          </w:tcPr>
          <w:p>
            <w:pPr>
              <w:ind w:left="180"/>
              <w:spacing w:after="0"/>
              <w:rPr>
                <w:sz w:val="20"/>
                <w:szCs w:val="20"/>
                <w:color w:val="auto"/>
              </w:rPr>
            </w:pPr>
            <w:r>
              <w:rPr>
                <w:rFonts w:ascii="Arial" w:cs="Arial" w:eastAsia="Arial" w:hAnsi="Arial"/>
                <w:sz w:val="14"/>
                <w:szCs w:val="14"/>
                <w:color w:val="auto"/>
              </w:rPr>
              <w:t>Interest bearing demand accounts</w:t>
            </w: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6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Savings</w:t>
            </w:r>
          </w:p>
        </w:tc>
        <w:tc>
          <w:tcPr>
            <w:tcW w:w="2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6700" w:type="dxa"/>
            <w:vAlign w:val="bottom"/>
          </w:tcPr>
          <w:p>
            <w:pPr>
              <w:ind w:left="180"/>
              <w:spacing w:after="0"/>
              <w:rPr>
                <w:sz w:val="20"/>
                <w:szCs w:val="20"/>
                <w:color w:val="auto"/>
              </w:rPr>
            </w:pPr>
            <w:r>
              <w:rPr>
                <w:rFonts w:ascii="Arial" w:cs="Arial" w:eastAsia="Arial" w:hAnsi="Arial"/>
                <w:sz w:val="14"/>
                <w:szCs w:val="14"/>
                <w:color w:val="auto"/>
              </w:rPr>
              <w:t>Money market accounts</w:t>
            </w: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(267)</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3"/>
        </w:trPr>
        <w:tc>
          <w:tcPr>
            <w:tcW w:w="6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Time deposits</w:t>
            </w: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94"/>
        </w:trPr>
        <w:tc>
          <w:tcPr>
            <w:tcW w:w="67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Borrowed funds</w:t>
            </w: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2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7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Total interest expense</w:t>
            </w:r>
          </w:p>
        </w:tc>
        <w:tc>
          <w:tcPr>
            <w:tcW w:w="28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(481)</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(642)</w:t>
            </w:r>
          </w:p>
        </w:tc>
        <w:tc>
          <w:tcPr>
            <w:tcW w:w="120" w:type="dxa"/>
            <w:vAlign w:val="bottom"/>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96"/>
        </w:trPr>
        <w:tc>
          <w:tcPr>
            <w:tcW w:w="6700" w:type="dxa"/>
            <w:vAlign w:val="bottom"/>
          </w:tcPr>
          <w:p>
            <w:pPr>
              <w:ind w:left="60"/>
              <w:spacing w:after="0"/>
              <w:rPr>
                <w:sz w:val="20"/>
                <w:szCs w:val="20"/>
                <w:color w:val="auto"/>
              </w:rPr>
            </w:pPr>
            <w:r>
              <w:rPr>
                <w:rFonts w:ascii="Arial" w:cs="Arial" w:eastAsia="Arial" w:hAnsi="Arial"/>
                <w:sz w:val="14"/>
                <w:szCs w:val="14"/>
                <w:b w:val="1"/>
                <w:bCs w:val="1"/>
                <w:color w:val="auto"/>
              </w:rPr>
              <w:t>Net interest income</w:t>
            </w: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2,689</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6,198</w:t>
            </w:r>
          </w:p>
        </w:tc>
        <w:tc>
          <w:tcPr>
            <w:tcW w:w="120" w:type="dxa"/>
            <w:vAlign w:val="bottom"/>
          </w:tcPr>
          <w:p>
            <w:pPr>
              <w:spacing w:after="0"/>
              <w:rPr>
                <w:sz w:val="17"/>
                <w:szCs w:val="17"/>
                <w:color w:val="auto"/>
              </w:rPr>
            </w:pPr>
          </w:p>
        </w:tc>
        <w:tc>
          <w:tcPr>
            <w:tcW w:w="68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both"/>
        <w:ind w:right="100" w:firstLine="318"/>
        <w:spacing w:after="0" w:line="250" w:lineRule="auto"/>
        <w:rPr>
          <w:sz w:val="20"/>
          <w:szCs w:val="20"/>
          <w:color w:val="auto"/>
        </w:rPr>
      </w:pPr>
      <w:r>
        <w:rPr>
          <w:rFonts w:ascii="Arial" w:cs="Arial" w:eastAsia="Arial" w:hAnsi="Arial"/>
          <w:sz w:val="18"/>
          <w:szCs w:val="18"/>
          <w:color w:val="auto"/>
        </w:rPr>
        <w:t>Year over year growth in portfolio loan volumes contributed $6.2 million to the increase in net interest income with $3.6 million attributable to the growth in the credit card portfolio. Year over year rate reductions in interest-bearing liabilities contributed an additional $643 thousand to the net interest income growth. When comparing the three months ended March 31, 2022 to the same period in 2021, the greatest positive impact to total interest income was associated with the credit card portfolio. On a stand-alone basis, the credit card portfolio contributed an increase of $6.8 million when comparing the three months ended March 31, 2022 to the three months ended March 31, 2021 due to volume increases and an increase in late charges which impact the rate calculation. Volume increases in the portfolio loans excluding credit cards accounted for an additional $2.6 million in interest income for the three months ended March 31, 2022.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Loan Losses</w:t>
      </w:r>
    </w:p>
    <w:p>
      <w:pPr>
        <w:spacing w:after="0" w:line="217" w:lineRule="exact"/>
        <w:rPr>
          <w:sz w:val="20"/>
          <w:szCs w:val="20"/>
          <w:color w:val="auto"/>
        </w:rPr>
      </w:pPr>
    </w:p>
    <w:p>
      <w:pPr>
        <w:jc w:val="both"/>
        <w:ind w:right="100"/>
        <w:spacing w:after="0" w:line="260" w:lineRule="auto"/>
        <w:rPr>
          <w:sz w:val="20"/>
          <w:szCs w:val="20"/>
          <w:color w:val="auto"/>
        </w:rPr>
      </w:pPr>
      <w:r>
        <w:rPr>
          <w:rFonts w:ascii="Arial" w:cs="Arial" w:eastAsia="Arial" w:hAnsi="Arial"/>
          <w:sz w:val="18"/>
          <w:szCs w:val="18"/>
          <w:color w:val="auto"/>
        </w:rPr>
        <w:t>The provision for loan losses is a charge to income in order to bring our allowance for loan losses to a level deemed appropriate by management. For a description of the factors taken into account by our management in determining the allowance for loan losses, see “Financial Condition—Allowance for Loan Losses.”</w:t>
      </w:r>
    </w:p>
    <w:p>
      <w:pPr>
        <w:spacing w:after="0" w:line="175" w:lineRule="exact"/>
        <w:rPr>
          <w:sz w:val="20"/>
          <w:szCs w:val="20"/>
          <w:color w:val="auto"/>
        </w:rPr>
      </w:pPr>
    </w:p>
    <w:p>
      <w:pPr>
        <w:jc w:val="both"/>
        <w:ind w:right="100" w:firstLine="318"/>
        <w:spacing w:after="0" w:line="274" w:lineRule="auto"/>
        <w:rPr>
          <w:sz w:val="20"/>
          <w:szCs w:val="20"/>
          <w:color w:val="auto"/>
        </w:rPr>
      </w:pPr>
      <w:r>
        <w:rPr>
          <w:rFonts w:ascii="Arial" w:cs="Arial" w:eastAsia="Arial" w:hAnsi="Arial"/>
          <w:sz w:val="18"/>
          <w:szCs w:val="18"/>
          <w:color w:val="auto"/>
        </w:rPr>
        <w:t>The provision for loan losses of $952 thousand for the three months ended March 31, 2022 was primarily related to growth in the credit card portfolio and the cycling of credit card accounts. Net charge-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262255</wp:posOffset>
            </wp:positionV>
            <wp:extent cx="716026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45" w:name="page46"/>
    <w:bookmarkEnd w:id="45"/>
    <w:p>
      <w:pPr>
        <w:spacing w:after="0" w:line="167" w:lineRule="exact"/>
        <w:rPr>
          <w:sz w:val="20"/>
          <w:szCs w:val="20"/>
          <w:color w:val="auto"/>
        </w:rPr>
      </w:pPr>
    </w:p>
    <w:p>
      <w:pPr>
        <w:jc w:val="both"/>
        <w:ind w:right="100"/>
        <w:spacing w:after="0" w:line="260" w:lineRule="auto"/>
        <w:rPr>
          <w:sz w:val="20"/>
          <w:szCs w:val="20"/>
          <w:color w:val="auto"/>
        </w:rPr>
      </w:pPr>
      <w:r>
        <w:rPr>
          <w:rFonts w:ascii="Arial" w:cs="Arial" w:eastAsia="Arial" w:hAnsi="Arial"/>
          <w:sz w:val="18"/>
          <w:szCs w:val="18"/>
          <w:color w:val="auto"/>
        </w:rPr>
        <w:t>offs for the first quarter of 2022 were $881 thousand, or 0.24% on an annualized basis of average portfolio loans, compared to $388 thousand, or 0.12% on an annualized basis of average loans for the first quarter of 2021. All of the $881 thousand in net charge-offs during the quarter were related to the credit card portfolio.</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allowance for loan losses as a percent of portfolio loans was 1.65% at March 31, 2022 and December 31, 2021.</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Noninterest Income</w:t>
      </w:r>
    </w:p>
    <w:p>
      <w:pPr>
        <w:spacing w:after="0" w:line="217" w:lineRule="exact"/>
        <w:rPr>
          <w:sz w:val="20"/>
          <w:szCs w:val="20"/>
          <w:color w:val="auto"/>
        </w:rPr>
      </w:pPr>
    </w:p>
    <w:p>
      <w:pPr>
        <w:jc w:val="both"/>
        <w:ind w:right="100" w:firstLine="318"/>
        <w:spacing w:after="0" w:line="253" w:lineRule="auto"/>
        <w:rPr>
          <w:sz w:val="20"/>
          <w:szCs w:val="20"/>
          <w:color w:val="auto"/>
        </w:rPr>
      </w:pPr>
      <w:r>
        <w:rPr>
          <w:rFonts w:ascii="Arial" w:cs="Arial" w:eastAsia="Arial" w:hAnsi="Arial"/>
          <w:sz w:val="18"/>
          <w:szCs w:val="18"/>
          <w:color w:val="auto"/>
        </w:rPr>
        <w:t>Our primary sources of recurring noninterest income are credit card fees, such as interchange fees and statement fees, and mortgage banking revenue. Noninterest income does not include (i) loan origination fees to the extent they exceed the direct loan origination costs, which are generally recognized over the life of the related loan as an adjustment to yield using the interest method or (ii) annual, renewal and late fees related to our credit card portfolio, which are generally recognized over the twelve month life of the related loan as an adjustment to yield using the interest method.</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for the periods indicated, the major categories of noninterest income:</w:t>
      </w:r>
    </w:p>
    <w:p>
      <w:pPr>
        <w:spacing w:after="0" w:line="215"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NONINTEREST INCOME</w:t>
      </w:r>
    </w:p>
    <w:p>
      <w:pPr>
        <w:spacing w:after="0" w:line="266" w:lineRule="exact"/>
        <w:rPr>
          <w:sz w:val="20"/>
          <w:szCs w:val="20"/>
          <w:color w:val="auto"/>
        </w:rPr>
      </w:pPr>
    </w:p>
    <w:tbl>
      <w:tblPr>
        <w:tblLayout w:type="fixed"/>
        <w:tblInd w:w="320" w:type="dxa"/>
        <w:tblCellMar>
          <w:top w:w="0" w:type="dxa"/>
          <w:left w:w="0" w:type="dxa"/>
          <w:bottom w:w="0" w:type="dxa"/>
          <w:right w:w="0" w:type="dxa"/>
        </w:tblCellMar>
      </w:tblPr>
      <w:tr>
        <w:trPr>
          <w:trHeight w:val="194"/>
        </w:trPr>
        <w:tc>
          <w:tcPr>
            <w:tcW w:w="7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520" w:type="dxa"/>
            <w:vAlign w:val="bottom"/>
            <w:tcBorders>
              <w:bottom w:val="single" w:sz="8" w:color="auto"/>
            </w:tcBorders>
            <w:gridSpan w:val="6"/>
          </w:tcPr>
          <w:p>
            <w:pPr>
              <w:jc w:val="right"/>
              <w:ind w:right="682"/>
              <w:spacing w:after="0"/>
              <w:rPr>
                <w:sz w:val="20"/>
                <w:szCs w:val="20"/>
                <w:color w:val="auto"/>
              </w:rPr>
            </w:pPr>
            <w:r>
              <w:rPr>
                <w:rFonts w:ascii="Arial" w:cs="Arial" w:eastAsia="Arial" w:hAnsi="Arial"/>
                <w:sz w:val="14"/>
                <w:szCs w:val="14"/>
                <w:b w:val="1"/>
                <w:bCs w:val="1"/>
                <w:color w:val="auto"/>
              </w:rPr>
              <w:t>Three Months Ended March 31,</w:t>
            </w:r>
          </w:p>
        </w:tc>
      </w:tr>
      <w:tr>
        <w:trPr>
          <w:trHeight w:val="191"/>
        </w:trPr>
        <w:tc>
          <w:tcPr>
            <w:tcW w:w="7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14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 Change</w:t>
            </w:r>
          </w:p>
        </w:tc>
      </w:tr>
      <w:tr>
        <w:trPr>
          <w:trHeight w:val="131"/>
        </w:trPr>
        <w:tc>
          <w:tcPr>
            <w:tcW w:w="7220" w:type="dxa"/>
            <w:vAlign w:val="bottom"/>
          </w:tcPr>
          <w:p>
            <w:pPr>
              <w:ind w:left="20"/>
              <w:spacing w:after="0" w:line="121" w:lineRule="exact"/>
              <w:rPr>
                <w:sz w:val="20"/>
                <w:szCs w:val="20"/>
                <w:color w:val="auto"/>
              </w:rPr>
            </w:pPr>
            <w:r>
              <w:rPr>
                <w:rFonts w:ascii="Arial" w:cs="Arial" w:eastAsia="Arial" w:hAnsi="Arial"/>
                <w:sz w:val="11"/>
                <w:szCs w:val="11"/>
                <w:i w:val="1"/>
                <w:iCs w:val="1"/>
                <w:color w:val="auto"/>
              </w:rPr>
              <w:t>(in thousands)</w:t>
            </w: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222"/>
        </w:trPr>
        <w:tc>
          <w:tcPr>
            <w:tcW w:w="7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Noninterest income:</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2"/>
        </w:trPr>
        <w:tc>
          <w:tcPr>
            <w:tcW w:w="7220" w:type="dxa"/>
            <w:vAlign w:val="bottom"/>
          </w:tcPr>
          <w:p>
            <w:pPr>
              <w:ind w:left="120"/>
              <w:spacing w:after="0"/>
              <w:rPr>
                <w:sz w:val="20"/>
                <w:szCs w:val="20"/>
                <w:color w:val="auto"/>
              </w:rPr>
            </w:pPr>
            <w:r>
              <w:rPr>
                <w:rFonts w:ascii="Arial" w:cs="Arial" w:eastAsia="Arial" w:hAnsi="Arial"/>
                <w:sz w:val="16"/>
                <w:szCs w:val="16"/>
                <w:color w:val="auto"/>
              </w:rPr>
              <w:t>Service charges on deposit accounts</w:t>
            </w:r>
          </w:p>
        </w:tc>
        <w:tc>
          <w:tcPr>
            <w:tcW w:w="280" w:type="dxa"/>
            <w:vAlign w:val="bottom"/>
          </w:tcPr>
          <w:p>
            <w:pPr>
              <w:jc w:val="right"/>
              <w:ind w:right="101"/>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163</w:t>
            </w:r>
          </w:p>
        </w:tc>
        <w:tc>
          <w:tcPr>
            <w:tcW w:w="12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148</w:t>
            </w: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10.1</w:t>
            </w:r>
          </w:p>
        </w:tc>
      </w:tr>
      <w:tr>
        <w:trPr>
          <w:trHeight w:val="212"/>
        </w:trPr>
        <w:tc>
          <w:tcPr>
            <w:tcW w:w="72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Credit card fees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5,924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5,940</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12"/>
        </w:trPr>
        <w:tc>
          <w:tcPr>
            <w:tcW w:w="7220" w:type="dxa"/>
            <w:vAlign w:val="bottom"/>
          </w:tcPr>
          <w:p>
            <w:pPr>
              <w:ind w:left="120"/>
              <w:spacing w:after="0"/>
              <w:rPr>
                <w:sz w:val="20"/>
                <w:szCs w:val="20"/>
                <w:color w:val="auto"/>
              </w:rPr>
            </w:pPr>
            <w:r>
              <w:rPr>
                <w:rFonts w:ascii="Arial" w:cs="Arial" w:eastAsia="Arial" w:hAnsi="Arial"/>
                <w:sz w:val="16"/>
                <w:szCs w:val="16"/>
                <w:color w:val="auto"/>
              </w:rPr>
              <w:t>Mortgage banking revenue</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1,790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2"/>
              <w:spacing w:after="0"/>
              <w:rPr>
                <w:sz w:val="20"/>
                <w:szCs w:val="20"/>
                <w:color w:val="auto"/>
              </w:rPr>
            </w:pPr>
            <w:r>
              <w:rPr>
                <w:rFonts w:ascii="Arial" w:cs="Arial" w:eastAsia="Arial" w:hAnsi="Arial"/>
                <w:sz w:val="16"/>
                <w:szCs w:val="16"/>
                <w:color w:val="auto"/>
              </w:rPr>
              <w:t>7,743</w:t>
            </w: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(76.9</w:t>
            </w:r>
          </w:p>
        </w:tc>
      </w:tr>
      <w:tr>
        <w:trPr>
          <w:trHeight w:val="212"/>
        </w:trPr>
        <w:tc>
          <w:tcPr>
            <w:tcW w:w="72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income</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411</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120</w:t>
            </w:r>
          </w:p>
        </w:tc>
        <w:tc>
          <w:tcPr>
            <w:tcW w:w="8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242.5</w:t>
            </w:r>
          </w:p>
        </w:tc>
      </w:tr>
      <w:tr>
        <w:trPr>
          <w:trHeight w:val="205"/>
        </w:trPr>
        <w:tc>
          <w:tcPr>
            <w:tcW w:w="7220" w:type="dxa"/>
            <w:vAlign w:val="bottom"/>
          </w:tcPr>
          <w:p>
            <w:pPr>
              <w:ind w:left="240"/>
              <w:spacing w:after="0"/>
              <w:rPr>
                <w:sz w:val="20"/>
                <w:szCs w:val="20"/>
                <w:color w:val="auto"/>
              </w:rPr>
            </w:pPr>
            <w:r>
              <w:rPr>
                <w:rFonts w:ascii="Arial" w:cs="Arial" w:eastAsia="Arial" w:hAnsi="Arial"/>
                <w:sz w:val="16"/>
                <w:szCs w:val="16"/>
                <w:color w:val="auto"/>
              </w:rPr>
              <w:t>Total noninterest income</w:t>
            </w:r>
          </w:p>
        </w:tc>
        <w:tc>
          <w:tcPr>
            <w:tcW w:w="2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8,288</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13,951</w:t>
            </w:r>
          </w:p>
        </w:tc>
        <w:tc>
          <w:tcPr>
            <w:tcW w:w="80" w:type="dxa"/>
            <w:vAlign w:val="bottom"/>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(40.6</w:t>
            </w:r>
          </w:p>
        </w:tc>
      </w:tr>
      <w:tr>
        <w:trPr>
          <w:trHeight w:val="20"/>
        </w:trPr>
        <w:tc>
          <w:tcPr>
            <w:tcW w:w="7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82" w:lineRule="exact"/>
        <w:rPr>
          <w:sz w:val="20"/>
          <w:szCs w:val="20"/>
          <w:color w:val="auto"/>
        </w:rPr>
      </w:pPr>
    </w:p>
    <w:p>
      <w:pPr>
        <w:jc w:val="both"/>
        <w:ind w:right="100" w:firstLine="318"/>
        <w:spacing w:after="0"/>
        <w:rPr>
          <w:sz w:val="20"/>
          <w:szCs w:val="20"/>
          <w:color w:val="auto"/>
        </w:rPr>
      </w:pPr>
      <w:r>
        <w:rPr>
          <w:rFonts w:ascii="Arial" w:cs="Arial" w:eastAsia="Arial" w:hAnsi="Arial"/>
          <w:sz w:val="18"/>
          <w:szCs w:val="18"/>
          <w:color w:val="auto"/>
        </w:rPr>
        <w:t>For the three months ended March 31, 2022, OpenSky's</w:t>
      </w:r>
      <w:r>
        <w:rPr>
          <w:rFonts w:ascii="Arial" w:cs="Arial" w:eastAsia="Arial" w:hAnsi="Arial"/>
          <w:sz w:val="22"/>
          <w:szCs w:val="22"/>
          <w:b w:val="1"/>
          <w:bCs w:val="1"/>
          <w:color w:val="auto"/>
          <w:vertAlign w:val="superscript"/>
        </w:rPr>
        <w:t>®</w:t>
      </w:r>
      <w:r>
        <w:rPr>
          <w:rFonts w:ascii="Arial" w:cs="Arial" w:eastAsia="Arial" w:hAnsi="Arial"/>
          <w:sz w:val="18"/>
          <w:szCs w:val="18"/>
          <w:color w:val="auto"/>
        </w:rPr>
        <w:t xml:space="preserve"> secured credit card accounts decreased by 30 thousand net compared to 74 thousand net new accounts for the same period in 2021 suggesting consumer behaviors may be returning to historical trends after having been distorted by responses to COVID-19 throughout 2020 and the first half of 2021. Although active accounts decreased slightly, interchange and statement fees remained consistent totaling $5.9 million during the three months ended March 31, 2022 and 2021.</w:t>
      </w:r>
    </w:p>
    <w:p>
      <w:pPr>
        <w:spacing w:after="0" w:line="192" w:lineRule="exact"/>
        <w:rPr>
          <w:sz w:val="20"/>
          <w:szCs w:val="20"/>
          <w:color w:val="auto"/>
        </w:rPr>
      </w:pPr>
    </w:p>
    <w:p>
      <w:pPr>
        <w:jc w:val="both"/>
        <w:ind w:right="100" w:firstLine="318"/>
        <w:spacing w:after="0" w:line="271" w:lineRule="auto"/>
        <w:rPr>
          <w:sz w:val="20"/>
          <w:szCs w:val="20"/>
          <w:color w:val="auto"/>
        </w:rPr>
      </w:pPr>
      <w:r>
        <w:rPr>
          <w:rFonts w:ascii="Arial" w:cs="Arial" w:eastAsia="Arial" w:hAnsi="Arial"/>
          <w:sz w:val="17"/>
          <w:szCs w:val="17"/>
          <w:color w:val="auto"/>
        </w:rPr>
        <w:t>The continued steepening of the yield curve in the first quarter of 2022 slowed originations from the year earlier when low interest rates fueled refinance volumes. The Bank’s Capital Bank Home Loans division saw origination volumes decline 68.8 percent, to $110.4 million, in the first quarter of 2022, when compared to $353.8 million in the first quarter of 2021. Gain on sale margins, down slightly from 3.00% for the three months ended March 31, 2021, remained strong at 2.77% for the three months ended March 31, 2022. Historically-low housing inventory, shortages in new home building materials, and fluctuating interest rates are likely to continue suppressing origination volumes into 2022.</w:t>
      </w:r>
    </w:p>
    <w:p>
      <w:pPr>
        <w:spacing w:after="0" w:line="168" w:lineRule="exact"/>
        <w:rPr>
          <w:sz w:val="20"/>
          <w:szCs w:val="20"/>
          <w:color w:val="auto"/>
        </w:rPr>
      </w:pPr>
    </w:p>
    <w:p>
      <w:pPr>
        <w:jc w:val="both"/>
        <w:ind w:right="100" w:firstLine="318"/>
        <w:spacing w:after="0" w:line="253" w:lineRule="auto"/>
        <w:rPr>
          <w:sz w:val="20"/>
          <w:szCs w:val="20"/>
          <w:color w:val="auto"/>
        </w:rPr>
      </w:pPr>
      <w:r>
        <w:rPr>
          <w:rFonts w:ascii="Arial" w:cs="Arial" w:eastAsia="Arial" w:hAnsi="Arial"/>
          <w:sz w:val="18"/>
          <w:szCs w:val="18"/>
          <w:color w:val="auto"/>
        </w:rPr>
        <w:t>Mortgage loans sold are subject to repurchase in circumstances where documentation is deficient or the underlying loan becomes delinquent or pays off within a specified period following loan funding and sale. The Bank considers these potential recourse provisions to be a risk and has established a reserve under generally accepted accounting principles for possible repurchases. The reserve was $1.2 million at March 31, 2022 and December 31, 2021. The Bank did not repurchase any loans during the three months ended March 31, 2022 or the three months ended March 31, 2021. The Bank does not originate “sub-prime” loans and has no exposure to this market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262255</wp:posOffset>
            </wp:positionV>
            <wp:extent cx="716026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46" w:name="page47"/>
    <w:bookmarkEnd w:id="46"/>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Noninterest Expense</w:t>
      </w:r>
    </w:p>
    <w:p>
      <w:pPr>
        <w:spacing w:after="0" w:line="217" w:lineRule="exact"/>
        <w:rPr>
          <w:sz w:val="20"/>
          <w:szCs w:val="20"/>
          <w:color w:val="auto"/>
        </w:rPr>
      </w:pPr>
    </w:p>
    <w:p>
      <w:pPr>
        <w:jc w:val="both"/>
        <w:ind w:right="100" w:firstLine="318"/>
        <w:spacing w:after="0" w:line="253" w:lineRule="auto"/>
        <w:rPr>
          <w:sz w:val="20"/>
          <w:szCs w:val="20"/>
          <w:color w:val="auto"/>
        </w:rPr>
      </w:pPr>
      <w:r>
        <w:rPr>
          <w:rFonts w:ascii="Arial" w:cs="Arial" w:eastAsia="Arial" w:hAnsi="Arial"/>
          <w:sz w:val="18"/>
          <w:szCs w:val="18"/>
          <w:color w:val="auto"/>
        </w:rPr>
        <w:t>Generally, noninterest expense is composed of all employee expenses and costs associated with operating our facilities, obtaining and retaining customer relationships and providing bank services. The largest component of noninterest expense is salaries and employee benefits. Noninterest expense also includes operational expenses, such as occupancy and equipment expenses, professional fees, advertising expenses, loan processing expenses and other general and administrative expenses, including FDIC assessments, communications, travel, meals, training, supplies and postage.</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for the periods indicated, the major categories of noninterest expense:</w:t>
      </w:r>
    </w:p>
    <w:p>
      <w:pPr>
        <w:spacing w:after="0" w:line="21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NONINTEREST EXPENSE</w:t>
      </w:r>
    </w:p>
    <w:p>
      <w:pPr>
        <w:spacing w:after="0" w:line="266" w:lineRule="exact"/>
        <w:rPr>
          <w:sz w:val="20"/>
          <w:szCs w:val="20"/>
          <w:color w:val="auto"/>
        </w:rPr>
      </w:pPr>
    </w:p>
    <w:tbl>
      <w:tblPr>
        <w:tblLayout w:type="fixed"/>
        <w:tblInd w:w="320" w:type="dxa"/>
        <w:tblCellMar>
          <w:top w:w="0" w:type="dxa"/>
          <w:left w:w="0" w:type="dxa"/>
          <w:bottom w:w="0" w:type="dxa"/>
          <w:right w:w="0" w:type="dxa"/>
        </w:tblCellMar>
      </w:tblPr>
      <w:tr>
        <w:trPr>
          <w:trHeight w:val="194"/>
        </w:trPr>
        <w:tc>
          <w:tcPr>
            <w:tcW w:w="68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6"/>
          </w:tcPr>
          <w:p>
            <w:pPr>
              <w:ind w:left="860"/>
              <w:spacing w:after="0"/>
              <w:rPr>
                <w:sz w:val="20"/>
                <w:szCs w:val="20"/>
                <w:color w:val="auto"/>
              </w:rPr>
            </w:pPr>
            <w:r>
              <w:rPr>
                <w:rFonts w:ascii="Arial" w:cs="Arial" w:eastAsia="Arial" w:hAnsi="Arial"/>
                <w:sz w:val="14"/>
                <w:szCs w:val="14"/>
                <w:b w:val="1"/>
                <w:bCs w:val="1"/>
                <w:color w:val="auto"/>
              </w:rPr>
              <w:t>Three Months Ended March 31,</w:t>
            </w:r>
          </w:p>
        </w:tc>
        <w:tc>
          <w:tcPr>
            <w:tcW w:w="900" w:type="dxa"/>
            <w:vAlign w:val="bottom"/>
            <w:tcBorders>
              <w:bottom w:val="single" w:sz="8" w:color="auto"/>
            </w:tcBorders>
          </w:tcPr>
          <w:p>
            <w:pPr>
              <w:spacing w:after="0"/>
              <w:rPr>
                <w:sz w:val="16"/>
                <w:szCs w:val="16"/>
                <w:color w:val="auto"/>
              </w:rPr>
            </w:pPr>
          </w:p>
        </w:tc>
      </w:tr>
      <w:tr>
        <w:trPr>
          <w:trHeight w:val="191"/>
        </w:trPr>
        <w:tc>
          <w:tcPr>
            <w:tcW w:w="68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 Change</w:t>
            </w:r>
          </w:p>
        </w:tc>
      </w:tr>
      <w:tr>
        <w:trPr>
          <w:trHeight w:val="121"/>
        </w:trPr>
        <w:tc>
          <w:tcPr>
            <w:tcW w:w="6820" w:type="dxa"/>
            <w:vAlign w:val="bottom"/>
          </w:tcPr>
          <w:p>
            <w:pPr>
              <w:ind w:left="20"/>
              <w:spacing w:after="0" w:line="121" w:lineRule="exact"/>
              <w:rPr>
                <w:sz w:val="20"/>
                <w:szCs w:val="20"/>
                <w:color w:val="auto"/>
              </w:rPr>
            </w:pPr>
            <w:r>
              <w:rPr>
                <w:rFonts w:ascii="Arial" w:cs="Arial" w:eastAsia="Arial" w:hAnsi="Arial"/>
                <w:sz w:val="11"/>
                <w:szCs w:val="11"/>
                <w:color w:val="auto"/>
              </w:rPr>
              <w:t>(in thousands)</w:t>
            </w: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229"/>
        </w:trPr>
        <w:tc>
          <w:tcPr>
            <w:tcW w:w="6820" w:type="dxa"/>
            <w:vAlign w:val="bottom"/>
          </w:tcPr>
          <w:p>
            <w:pPr>
              <w:ind w:left="20"/>
              <w:spacing w:after="0"/>
              <w:rPr>
                <w:sz w:val="20"/>
                <w:szCs w:val="20"/>
                <w:color w:val="auto"/>
              </w:rPr>
            </w:pPr>
            <w:r>
              <w:rPr>
                <w:rFonts w:ascii="Arial" w:cs="Arial" w:eastAsia="Arial" w:hAnsi="Arial"/>
                <w:sz w:val="16"/>
                <w:szCs w:val="16"/>
                <w:color w:val="auto"/>
              </w:rPr>
              <w:t>Noninterest expense:</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13"/>
        </w:trPr>
        <w:tc>
          <w:tcPr>
            <w:tcW w:w="68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Salaries and employee benefits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10,310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8,568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w:t>
            </w:r>
          </w:p>
        </w:tc>
      </w:tr>
      <w:tr>
        <w:trPr>
          <w:trHeight w:val="212"/>
        </w:trPr>
        <w:tc>
          <w:tcPr>
            <w:tcW w:w="6820" w:type="dxa"/>
            <w:vAlign w:val="bottom"/>
          </w:tcPr>
          <w:p>
            <w:pPr>
              <w:ind w:left="180"/>
              <w:spacing w:after="0"/>
              <w:rPr>
                <w:sz w:val="20"/>
                <w:szCs w:val="20"/>
                <w:color w:val="auto"/>
              </w:rPr>
            </w:pPr>
            <w:r>
              <w:rPr>
                <w:rFonts w:ascii="Arial" w:cs="Arial" w:eastAsia="Arial" w:hAnsi="Arial"/>
                <w:sz w:val="16"/>
                <w:szCs w:val="16"/>
                <w:color w:val="auto"/>
              </w:rPr>
              <w:t>Occupancy and equipment</w:t>
            </w:r>
          </w:p>
        </w:tc>
        <w:tc>
          <w:tcPr>
            <w:tcW w:w="320" w:type="dxa"/>
            <w:vAlign w:val="bottom"/>
          </w:tcPr>
          <w:p>
            <w:pPr>
              <w:spacing w:after="0"/>
              <w:rPr>
                <w:sz w:val="18"/>
                <w:szCs w:val="18"/>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b w:val="1"/>
                <w:bCs w:val="1"/>
                <w:color w:val="auto"/>
              </w:rPr>
              <w:t>1,026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1,129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(9.1</w:t>
            </w:r>
          </w:p>
        </w:tc>
      </w:tr>
      <w:tr>
        <w:trPr>
          <w:trHeight w:val="212"/>
        </w:trPr>
        <w:tc>
          <w:tcPr>
            <w:tcW w:w="68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Professional services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2,321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w:t>
            </w:r>
          </w:p>
        </w:tc>
      </w:tr>
      <w:tr>
        <w:trPr>
          <w:trHeight w:val="212"/>
        </w:trPr>
        <w:tc>
          <w:tcPr>
            <w:tcW w:w="6820" w:type="dxa"/>
            <w:vAlign w:val="bottom"/>
          </w:tcPr>
          <w:p>
            <w:pPr>
              <w:ind w:left="180"/>
              <w:spacing w:after="0"/>
              <w:rPr>
                <w:sz w:val="20"/>
                <w:szCs w:val="20"/>
                <w:color w:val="auto"/>
              </w:rPr>
            </w:pPr>
            <w:r>
              <w:rPr>
                <w:rFonts w:ascii="Arial" w:cs="Arial" w:eastAsia="Arial" w:hAnsi="Arial"/>
                <w:sz w:val="16"/>
                <w:szCs w:val="16"/>
                <w:color w:val="auto"/>
              </w:rPr>
              <w:t>Data processing</w:t>
            </w:r>
          </w:p>
        </w:tc>
        <w:tc>
          <w:tcPr>
            <w:tcW w:w="320" w:type="dxa"/>
            <w:vAlign w:val="bottom"/>
          </w:tcPr>
          <w:p>
            <w:pPr>
              <w:spacing w:after="0"/>
              <w:rPr>
                <w:sz w:val="18"/>
                <w:szCs w:val="18"/>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b w:val="1"/>
                <w:bCs w:val="1"/>
                <w:color w:val="auto"/>
              </w:rPr>
              <w:t>8,276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9,311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(11.1</w:t>
            </w:r>
          </w:p>
        </w:tc>
      </w:tr>
      <w:tr>
        <w:trPr>
          <w:trHeight w:val="212"/>
        </w:trPr>
        <w:tc>
          <w:tcPr>
            <w:tcW w:w="68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Advertising</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1,639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96.8</w:t>
            </w:r>
          </w:p>
        </w:tc>
      </w:tr>
      <w:tr>
        <w:trPr>
          <w:trHeight w:val="212"/>
        </w:trPr>
        <w:tc>
          <w:tcPr>
            <w:tcW w:w="6820" w:type="dxa"/>
            <w:vAlign w:val="bottom"/>
          </w:tcPr>
          <w:p>
            <w:pPr>
              <w:ind w:left="180"/>
              <w:spacing w:after="0"/>
              <w:rPr>
                <w:sz w:val="20"/>
                <w:szCs w:val="20"/>
                <w:color w:val="auto"/>
              </w:rPr>
            </w:pPr>
            <w:r>
              <w:rPr>
                <w:rFonts w:ascii="Arial" w:cs="Arial" w:eastAsia="Arial" w:hAnsi="Arial"/>
                <w:sz w:val="16"/>
                <w:szCs w:val="16"/>
                <w:color w:val="auto"/>
              </w:rPr>
              <w:t>Loan processing</w:t>
            </w:r>
          </w:p>
        </w:tc>
        <w:tc>
          <w:tcPr>
            <w:tcW w:w="320" w:type="dxa"/>
            <w:vAlign w:val="bottom"/>
          </w:tcPr>
          <w:p>
            <w:pPr>
              <w:spacing w:after="0"/>
              <w:rPr>
                <w:sz w:val="18"/>
                <w:szCs w:val="18"/>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b w:val="1"/>
                <w:bCs w:val="1"/>
                <w:color w:val="auto"/>
              </w:rPr>
              <w:t>392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1,052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(62.7</w:t>
            </w:r>
          </w:p>
        </w:tc>
      </w:tr>
      <w:tr>
        <w:trPr>
          <w:trHeight w:val="212"/>
        </w:trPr>
        <w:tc>
          <w:tcPr>
            <w:tcW w:w="68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operating</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3,138</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205"/>
        </w:trPr>
        <w:tc>
          <w:tcPr>
            <w:tcW w:w="6820" w:type="dxa"/>
            <w:vAlign w:val="bottom"/>
          </w:tcPr>
          <w:p>
            <w:pPr>
              <w:ind w:left="340"/>
              <w:spacing w:after="0"/>
              <w:rPr>
                <w:sz w:val="20"/>
                <w:szCs w:val="20"/>
                <w:color w:val="auto"/>
              </w:rPr>
            </w:pPr>
            <w:r>
              <w:rPr>
                <w:rFonts w:ascii="Arial" w:cs="Arial" w:eastAsia="Arial" w:hAnsi="Arial"/>
                <w:sz w:val="16"/>
                <w:szCs w:val="16"/>
                <w:color w:val="auto"/>
              </w:rPr>
              <w:t>Total noninterest expense</w:t>
            </w:r>
          </w:p>
        </w:tc>
        <w:tc>
          <w:tcPr>
            <w:tcW w:w="3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27,102</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25,767</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5.2</w:t>
            </w:r>
          </w:p>
        </w:tc>
      </w:tr>
      <w:tr>
        <w:trPr>
          <w:trHeight w:val="20"/>
        </w:trPr>
        <w:tc>
          <w:tcPr>
            <w:tcW w:w="6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88" w:lineRule="exact"/>
        <w:rPr>
          <w:sz w:val="20"/>
          <w:szCs w:val="20"/>
          <w:color w:val="auto"/>
        </w:rPr>
      </w:pPr>
    </w:p>
    <w:p>
      <w:pPr>
        <w:jc w:val="both"/>
        <w:ind w:right="100" w:firstLine="318"/>
        <w:spacing w:after="0" w:line="235" w:lineRule="auto"/>
        <w:rPr>
          <w:sz w:val="20"/>
          <w:szCs w:val="20"/>
          <w:color w:val="auto"/>
        </w:rPr>
      </w:pPr>
      <w:r>
        <w:rPr>
          <w:rFonts w:ascii="Arial" w:cs="Arial" w:eastAsia="Arial" w:hAnsi="Arial"/>
          <w:sz w:val="18"/>
          <w:szCs w:val="18"/>
          <w:color w:val="auto"/>
        </w:rPr>
        <w:t>During the first three months of 2022, salaries and employee benefits increased due to the addition of new employees in our commercial and commercial real estate lending groups as well as additional positions in executive management as the Company continues to put in place the requisite human capital for its continued growth. Professional fees associated with the commercial bank segment increased as the Company continued to build out its regulatory and compliance infrastructure in anticipation of the anticipated growth for 2022. The increase in advertising was due primarily to targeted marketing campaigns for the OpenSky</w:t>
      </w:r>
      <w:r>
        <w:rPr>
          <w:rFonts w:ascii="Arial" w:cs="Arial" w:eastAsia="Arial" w:hAnsi="Arial"/>
          <w:sz w:val="22"/>
          <w:szCs w:val="22"/>
          <w:b w:val="1"/>
          <w:bCs w:val="1"/>
          <w:color w:val="auto"/>
          <w:vertAlign w:val="superscript"/>
        </w:rPr>
        <w:t>®</w:t>
      </w:r>
      <w:r>
        <w:rPr>
          <w:rFonts w:ascii="Arial" w:cs="Arial" w:eastAsia="Arial" w:hAnsi="Arial"/>
          <w:sz w:val="18"/>
          <w:szCs w:val="18"/>
          <w:color w:val="auto"/>
        </w:rPr>
        <w:t xml:space="preserve"> division. Key contracts renegotiated during the first quarter of 2022 in the Bank’s OpenSky</w:t>
      </w:r>
      <w:r>
        <w:rPr>
          <w:rFonts w:ascii="Arial" w:cs="Arial" w:eastAsia="Arial" w:hAnsi="Arial"/>
          <w:sz w:val="22"/>
          <w:szCs w:val="22"/>
          <w:b w:val="1"/>
          <w:bCs w:val="1"/>
          <w:color w:val="auto"/>
          <w:vertAlign w:val="superscript"/>
        </w:rPr>
        <w:t>®</w:t>
      </w:r>
      <w:r>
        <w:rPr>
          <w:rFonts w:ascii="Arial" w:cs="Arial" w:eastAsia="Arial" w:hAnsi="Arial"/>
          <w:sz w:val="18"/>
          <w:szCs w:val="18"/>
          <w:color w:val="auto"/>
        </w:rPr>
        <w:t xml:space="preserve"> division were key factors in the reduction in data processing expense of $1.0 million for the three months ended March 31, 2022 when compared to the same period of 2021. Loan processing fees declined when comparing the first three months of 2022 to the same period in 2021 due to the reduction in mortgage loan volume as well as the decrease in nonperforming assets.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217" w:lineRule="exact"/>
        <w:rPr>
          <w:sz w:val="20"/>
          <w:szCs w:val="20"/>
          <w:color w:val="auto"/>
        </w:rPr>
      </w:pPr>
    </w:p>
    <w:p>
      <w:pPr>
        <w:jc w:val="both"/>
        <w:ind w:right="100" w:firstLine="318"/>
        <w:spacing w:after="0" w:line="282" w:lineRule="auto"/>
        <w:rPr>
          <w:sz w:val="20"/>
          <w:szCs w:val="20"/>
          <w:color w:val="auto"/>
        </w:rPr>
      </w:pPr>
      <w:r>
        <w:rPr>
          <w:rFonts w:ascii="Arial" w:cs="Arial" w:eastAsia="Arial" w:hAnsi="Arial"/>
          <w:sz w:val="17"/>
          <w:szCs w:val="17"/>
          <w:color w:val="auto"/>
        </w:rPr>
        <w:t>The amount of income tax expense we incur is influenced by our pre-tax income and our nondeductible expenses. Deferred tax assets and liabilities are reflected at current income tax rates in effect for the period in which the deferred tax assets and liabilities are expected to be realized or settled. A valuation allowance is established when necessary to reduce deferred tax assets to the amount expected to be realized.</w:t>
      </w:r>
    </w:p>
    <w:p>
      <w:pPr>
        <w:spacing w:after="0" w:line="159" w:lineRule="exact"/>
        <w:rPr>
          <w:sz w:val="20"/>
          <w:szCs w:val="20"/>
          <w:color w:val="auto"/>
        </w:rPr>
      </w:pPr>
    </w:p>
    <w:p>
      <w:pPr>
        <w:jc w:val="both"/>
        <w:ind w:right="100" w:firstLine="318"/>
        <w:spacing w:after="0" w:line="274" w:lineRule="auto"/>
        <w:rPr>
          <w:sz w:val="20"/>
          <w:szCs w:val="20"/>
          <w:color w:val="auto"/>
        </w:rPr>
      </w:pPr>
      <w:r>
        <w:rPr>
          <w:rFonts w:ascii="Arial" w:cs="Arial" w:eastAsia="Arial" w:hAnsi="Arial"/>
          <w:sz w:val="18"/>
          <w:szCs w:val="18"/>
          <w:color w:val="auto"/>
        </w:rPr>
        <w:t>Income tax expense was $3.4 million for three months ended March 31, 2022 compared to $3.1 million for the same period of 2021. Our effective tax rates for those periods were 24.7% and 25.9%,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262255</wp:posOffset>
            </wp:positionV>
            <wp:extent cx="716026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47" w:name="page48"/>
    <w:bookmarkEnd w:id="47"/>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the Company’s financial condition at the dates indicated.</w:t>
      </w:r>
    </w:p>
    <w:p>
      <w:pPr>
        <w:spacing w:after="0" w:line="264" w:lineRule="exact"/>
        <w:rPr>
          <w:sz w:val="20"/>
          <w:szCs w:val="20"/>
          <w:color w:val="auto"/>
        </w:rPr>
      </w:pPr>
    </w:p>
    <w:tbl>
      <w:tblPr>
        <w:tblLayout w:type="fixed"/>
        <w:tblInd w:w="320" w:type="dxa"/>
        <w:tblCellMar>
          <w:top w:w="0" w:type="dxa"/>
          <w:left w:w="0" w:type="dxa"/>
          <w:bottom w:w="0" w:type="dxa"/>
          <w:right w:w="0" w:type="dxa"/>
        </w:tblCellMar>
      </w:tblPr>
      <w:tr>
        <w:trPr>
          <w:trHeight w:val="194"/>
        </w:trPr>
        <w:tc>
          <w:tcPr>
            <w:tcW w:w="44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121"/>
              <w:spacing w:after="0"/>
              <w:rPr>
                <w:sz w:val="20"/>
                <w:szCs w:val="20"/>
                <w:color w:val="auto"/>
              </w:rPr>
            </w:pPr>
            <w:r>
              <w:rPr>
                <w:rFonts w:ascii="Arial" w:cs="Arial" w:eastAsia="Arial" w:hAnsi="Arial"/>
                <w:sz w:val="14"/>
                <w:szCs w:val="14"/>
                <w:b w:val="1"/>
                <w:bCs w:val="1"/>
                <w:color w:val="auto"/>
              </w:rPr>
              <w:t>March 31,</w:t>
            </w: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3"/>
          </w:tcPr>
          <w:p>
            <w:pPr>
              <w:jc w:val="right"/>
              <w:ind w:right="601"/>
              <w:spacing w:after="0"/>
              <w:rPr>
                <w:sz w:val="20"/>
                <w:szCs w:val="20"/>
                <w:color w:val="auto"/>
              </w:rPr>
            </w:pPr>
            <w:r>
              <w:rPr>
                <w:rFonts w:ascii="Arial" w:cs="Arial" w:eastAsia="Arial" w:hAnsi="Arial"/>
                <w:sz w:val="14"/>
                <w:szCs w:val="14"/>
                <w:b w:val="1"/>
                <w:bCs w:val="1"/>
                <w:color w:val="auto"/>
              </w:rPr>
              <w:t>Change expressed in:</w:t>
            </w:r>
          </w:p>
        </w:tc>
      </w:tr>
      <w:tr>
        <w:trPr>
          <w:trHeight w:val="192"/>
        </w:trPr>
        <w:tc>
          <w:tcPr>
            <w:tcW w:w="442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380" w:type="dxa"/>
            <w:vAlign w:val="bottom"/>
          </w:tcPr>
          <w:p>
            <w:pPr>
              <w:spacing w:after="0"/>
              <w:rPr>
                <w:sz w:val="16"/>
                <w:szCs w:val="16"/>
                <w:color w:val="auto"/>
              </w:rPr>
            </w:pPr>
          </w:p>
        </w:tc>
        <w:tc>
          <w:tcPr>
            <w:tcW w:w="1280" w:type="dxa"/>
            <w:vAlign w:val="bottom"/>
          </w:tcPr>
          <w:p>
            <w:pPr>
              <w:jc w:val="right"/>
              <w:ind w:right="60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0" w:type="dxa"/>
            <w:vAlign w:val="bottom"/>
          </w:tcPr>
          <w:p>
            <w:pPr>
              <w:jc w:val="right"/>
              <w:ind w:right="60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gridSpan w:val="2"/>
          </w:tcPr>
          <w:p>
            <w:pPr>
              <w:ind w:left="200"/>
              <w:spacing w:after="0"/>
              <w:rPr>
                <w:sz w:val="20"/>
                <w:szCs w:val="20"/>
                <w:color w:val="auto"/>
              </w:rPr>
            </w:pPr>
            <w:r>
              <w:rPr>
                <w:rFonts w:ascii="Arial" w:cs="Arial" w:eastAsia="Arial" w:hAnsi="Arial"/>
                <w:sz w:val="14"/>
                <w:szCs w:val="14"/>
                <w:b w:val="1"/>
                <w:bCs w:val="1"/>
                <w:color w:val="auto"/>
              </w:rPr>
              <w:t>Dollars</w:t>
            </w:r>
          </w:p>
        </w:tc>
        <w:tc>
          <w:tcPr>
            <w:tcW w:w="1400" w:type="dxa"/>
            <w:vAlign w:val="bottom"/>
          </w:tcPr>
          <w:p>
            <w:pPr>
              <w:jc w:val="right"/>
              <w:ind w:right="261"/>
              <w:spacing w:after="0"/>
              <w:rPr>
                <w:sz w:val="20"/>
                <w:szCs w:val="20"/>
                <w:color w:val="auto"/>
              </w:rPr>
            </w:pPr>
            <w:r>
              <w:rPr>
                <w:rFonts w:ascii="Arial" w:cs="Arial" w:eastAsia="Arial" w:hAnsi="Arial"/>
                <w:sz w:val="14"/>
                <w:szCs w:val="14"/>
                <w:b w:val="1"/>
                <w:bCs w:val="1"/>
                <w:color w:val="auto"/>
              </w:rPr>
              <w:t>Percent</w:t>
            </w:r>
          </w:p>
        </w:tc>
      </w:tr>
      <w:tr>
        <w:trPr>
          <w:trHeight w:val="126"/>
        </w:trPr>
        <w:tc>
          <w:tcPr>
            <w:tcW w:w="442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tcBorders>
              <w:top w:val="single" w:sz="8" w:color="auto"/>
            </w:tcBorders>
          </w:tcPr>
          <w:p>
            <w:pPr>
              <w:spacing w:after="0"/>
              <w:rPr>
                <w:sz w:val="10"/>
                <w:szCs w:val="10"/>
                <w:color w:val="auto"/>
              </w:rPr>
            </w:pPr>
          </w:p>
        </w:tc>
      </w:tr>
      <w:tr>
        <w:trPr>
          <w:trHeight w:val="212"/>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3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2,122,453</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2,091,851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30,602</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11"/>
        </w:trPr>
        <w:tc>
          <w:tcPr>
            <w:tcW w:w="4420" w:type="dxa"/>
            <w:vAlign w:val="bottom"/>
          </w:tcPr>
          <w:p>
            <w:pPr>
              <w:ind w:left="20"/>
              <w:spacing w:after="0"/>
              <w:rPr>
                <w:sz w:val="20"/>
                <w:szCs w:val="20"/>
                <w:color w:val="auto"/>
              </w:rPr>
            </w:pPr>
            <w:r>
              <w:rPr>
                <w:rFonts w:ascii="Arial" w:cs="Arial" w:eastAsia="Arial" w:hAnsi="Arial"/>
                <w:sz w:val="16"/>
                <w:szCs w:val="16"/>
                <w:color w:val="auto"/>
              </w:rPr>
              <w:t>AFS securities</w:t>
            </w:r>
          </w:p>
        </w:tc>
        <w:tc>
          <w:tcPr>
            <w:tcW w:w="380" w:type="dxa"/>
            <w:vAlign w:val="bottom"/>
          </w:tcPr>
          <w:p>
            <w:pPr>
              <w:spacing w:after="0"/>
              <w:rPr>
                <w:sz w:val="18"/>
                <w:szCs w:val="18"/>
                <w:color w:val="auto"/>
              </w:rPr>
            </w:pPr>
          </w:p>
        </w:tc>
        <w:tc>
          <w:tcPr>
            <w:tcW w:w="1280" w:type="dxa"/>
            <w:vAlign w:val="bottom"/>
          </w:tcPr>
          <w:p>
            <w:pPr>
              <w:jc w:val="right"/>
              <w:ind w:right="142"/>
              <w:spacing w:after="0"/>
              <w:rPr>
                <w:sz w:val="20"/>
                <w:szCs w:val="20"/>
                <w:color w:val="auto"/>
              </w:rPr>
            </w:pPr>
            <w:r>
              <w:rPr>
                <w:rFonts w:ascii="Arial" w:cs="Arial" w:eastAsia="Arial" w:hAnsi="Arial"/>
                <w:sz w:val="16"/>
                <w:szCs w:val="16"/>
                <w:color w:val="auto"/>
              </w:rPr>
              <w:t>172,712</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tcPr>
          <w:p>
            <w:pPr>
              <w:jc w:val="right"/>
              <w:ind w:right="121"/>
              <w:spacing w:after="0"/>
              <w:rPr>
                <w:sz w:val="20"/>
                <w:szCs w:val="20"/>
                <w:color w:val="auto"/>
              </w:rPr>
            </w:pPr>
            <w:r>
              <w:rPr>
                <w:rFonts w:ascii="Arial" w:cs="Arial" w:eastAsia="Arial" w:hAnsi="Arial"/>
                <w:sz w:val="16"/>
                <w:szCs w:val="16"/>
                <w:color w:val="auto"/>
              </w:rPr>
              <w:t>128,023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ind w:right="3"/>
              <w:spacing w:after="0"/>
              <w:rPr>
                <w:sz w:val="20"/>
                <w:szCs w:val="20"/>
                <w:color w:val="auto"/>
              </w:rPr>
            </w:pPr>
            <w:r>
              <w:rPr>
                <w:rFonts w:ascii="Arial" w:cs="Arial" w:eastAsia="Arial" w:hAnsi="Arial"/>
                <w:sz w:val="16"/>
                <w:szCs w:val="16"/>
                <w:color w:val="auto"/>
              </w:rPr>
              <w:t>44,689</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34.9</w:t>
            </w:r>
          </w:p>
        </w:tc>
      </w:tr>
      <w:tr>
        <w:trPr>
          <w:trHeight w:val="213"/>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Portfolio loans receivable, net</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1,526,256</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1,312,375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213,881</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r>
      <w:tr>
        <w:trPr>
          <w:trHeight w:val="211"/>
        </w:trPr>
        <w:tc>
          <w:tcPr>
            <w:tcW w:w="4420" w:type="dxa"/>
            <w:vAlign w:val="bottom"/>
          </w:tcPr>
          <w:p>
            <w:pPr>
              <w:ind w:left="20"/>
              <w:spacing w:after="0"/>
              <w:rPr>
                <w:sz w:val="20"/>
                <w:szCs w:val="20"/>
                <w:color w:val="auto"/>
              </w:rPr>
            </w:pPr>
            <w:r>
              <w:rPr>
                <w:rFonts w:ascii="Arial" w:cs="Arial" w:eastAsia="Arial" w:hAnsi="Arial"/>
                <w:sz w:val="16"/>
                <w:szCs w:val="16"/>
                <w:color w:val="auto"/>
              </w:rPr>
              <w:t>Deposits</w:t>
            </w:r>
          </w:p>
        </w:tc>
        <w:tc>
          <w:tcPr>
            <w:tcW w:w="380" w:type="dxa"/>
            <w:vAlign w:val="bottom"/>
          </w:tcPr>
          <w:p>
            <w:pPr>
              <w:spacing w:after="0"/>
              <w:rPr>
                <w:sz w:val="18"/>
                <w:szCs w:val="18"/>
                <w:color w:val="auto"/>
              </w:rPr>
            </w:pPr>
          </w:p>
        </w:tc>
        <w:tc>
          <w:tcPr>
            <w:tcW w:w="1280" w:type="dxa"/>
            <w:vAlign w:val="bottom"/>
          </w:tcPr>
          <w:p>
            <w:pPr>
              <w:jc w:val="right"/>
              <w:ind w:right="142"/>
              <w:spacing w:after="0"/>
              <w:rPr>
                <w:sz w:val="20"/>
                <w:szCs w:val="20"/>
                <w:color w:val="auto"/>
              </w:rPr>
            </w:pPr>
            <w:r>
              <w:rPr>
                <w:rFonts w:ascii="Arial" w:cs="Arial" w:eastAsia="Arial" w:hAnsi="Arial"/>
                <w:sz w:val="16"/>
                <w:szCs w:val="16"/>
                <w:color w:val="auto"/>
              </w:rPr>
              <w:t>1,862,722</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tcPr>
          <w:p>
            <w:pPr>
              <w:jc w:val="right"/>
              <w:ind w:right="121"/>
              <w:spacing w:after="0"/>
              <w:rPr>
                <w:sz w:val="20"/>
                <w:szCs w:val="20"/>
                <w:color w:val="auto"/>
              </w:rPr>
            </w:pPr>
            <w:r>
              <w:rPr>
                <w:rFonts w:ascii="Arial" w:cs="Arial" w:eastAsia="Arial" w:hAnsi="Arial"/>
                <w:sz w:val="16"/>
                <w:szCs w:val="16"/>
                <w:color w:val="auto"/>
              </w:rPr>
              <w:t>1,863,069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(347)</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Borrowings</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34,062</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34,062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1"/>
        </w:trPr>
        <w:tc>
          <w:tcPr>
            <w:tcW w:w="442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380" w:type="dxa"/>
            <w:vAlign w:val="bottom"/>
          </w:tcPr>
          <w:p>
            <w:pPr>
              <w:spacing w:after="0"/>
              <w:rPr>
                <w:sz w:val="18"/>
                <w:szCs w:val="18"/>
                <w:color w:val="auto"/>
              </w:rPr>
            </w:pPr>
          </w:p>
        </w:tc>
        <w:tc>
          <w:tcPr>
            <w:tcW w:w="1280" w:type="dxa"/>
            <w:vAlign w:val="bottom"/>
          </w:tcPr>
          <w:p>
            <w:pPr>
              <w:jc w:val="right"/>
              <w:ind w:right="142"/>
              <w:spacing w:after="0"/>
              <w:rPr>
                <w:sz w:val="20"/>
                <w:szCs w:val="20"/>
                <w:color w:val="auto"/>
              </w:rPr>
            </w:pPr>
            <w:r>
              <w:rPr>
                <w:rFonts w:ascii="Arial" w:cs="Arial" w:eastAsia="Arial" w:hAnsi="Arial"/>
                <w:sz w:val="16"/>
                <w:szCs w:val="16"/>
                <w:color w:val="auto"/>
              </w:rPr>
              <w:t>201,492</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tcPr>
          <w:p>
            <w:pPr>
              <w:jc w:val="right"/>
              <w:ind w:right="121"/>
              <w:spacing w:after="0"/>
              <w:rPr>
                <w:sz w:val="20"/>
                <w:szCs w:val="20"/>
                <w:color w:val="auto"/>
              </w:rPr>
            </w:pPr>
            <w:r>
              <w:rPr>
                <w:rFonts w:ascii="Arial" w:cs="Arial" w:eastAsia="Arial" w:hAnsi="Arial"/>
                <w:sz w:val="16"/>
                <w:szCs w:val="16"/>
                <w:color w:val="auto"/>
              </w:rPr>
              <w:t>167,003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ind w:right="3"/>
              <w:spacing w:after="0"/>
              <w:rPr>
                <w:sz w:val="20"/>
                <w:szCs w:val="20"/>
                <w:color w:val="auto"/>
              </w:rPr>
            </w:pPr>
            <w:r>
              <w:rPr>
                <w:rFonts w:ascii="Arial" w:cs="Arial" w:eastAsia="Arial" w:hAnsi="Arial"/>
                <w:sz w:val="16"/>
                <w:szCs w:val="16"/>
                <w:color w:val="auto"/>
              </w:rPr>
              <w:t>34,489</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20.7</w:t>
            </w:r>
          </w:p>
        </w:tc>
      </w:tr>
      <w:tr>
        <w:trPr>
          <w:trHeight w:val="213"/>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to total assets at end of period</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9.5 %</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8.0 %</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w:t>
            </w:r>
          </w:p>
        </w:tc>
      </w:tr>
      <w:tr>
        <w:trPr>
          <w:trHeight w:val="211"/>
        </w:trPr>
        <w:tc>
          <w:tcPr>
            <w:tcW w:w="4420" w:type="dxa"/>
            <w:vAlign w:val="bottom"/>
          </w:tcPr>
          <w:p>
            <w:pPr>
              <w:ind w:left="20"/>
              <w:spacing w:after="0"/>
              <w:rPr>
                <w:sz w:val="20"/>
                <w:szCs w:val="20"/>
                <w:color w:val="auto"/>
              </w:rPr>
            </w:pPr>
            <w:r>
              <w:rPr>
                <w:rFonts w:ascii="Arial" w:cs="Arial" w:eastAsia="Arial" w:hAnsi="Arial"/>
                <w:sz w:val="16"/>
                <w:szCs w:val="16"/>
                <w:color w:val="auto"/>
              </w:rPr>
              <w:t>Average number of basic shares outstanding</w:t>
            </w:r>
          </w:p>
        </w:tc>
        <w:tc>
          <w:tcPr>
            <w:tcW w:w="380" w:type="dxa"/>
            <w:vAlign w:val="bottom"/>
          </w:tcPr>
          <w:p>
            <w:pPr>
              <w:spacing w:after="0"/>
              <w:rPr>
                <w:sz w:val="18"/>
                <w:szCs w:val="18"/>
                <w:color w:val="auto"/>
              </w:rPr>
            </w:pPr>
          </w:p>
        </w:tc>
        <w:tc>
          <w:tcPr>
            <w:tcW w:w="1280" w:type="dxa"/>
            <w:vAlign w:val="bottom"/>
          </w:tcPr>
          <w:p>
            <w:pPr>
              <w:jc w:val="right"/>
              <w:ind w:right="142"/>
              <w:spacing w:after="0"/>
              <w:rPr>
                <w:sz w:val="20"/>
                <w:szCs w:val="20"/>
                <w:color w:val="auto"/>
              </w:rPr>
            </w:pPr>
            <w:r>
              <w:rPr>
                <w:rFonts w:ascii="Arial" w:cs="Arial" w:eastAsia="Arial" w:hAnsi="Arial"/>
                <w:sz w:val="16"/>
                <w:szCs w:val="16"/>
                <w:color w:val="auto"/>
              </w:rPr>
              <w:t>13,989</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tcPr>
          <w:p>
            <w:pPr>
              <w:jc w:val="right"/>
              <w:ind w:right="121"/>
              <w:spacing w:after="0"/>
              <w:rPr>
                <w:sz w:val="20"/>
                <w:szCs w:val="20"/>
                <w:color w:val="auto"/>
              </w:rPr>
            </w:pPr>
            <w:r>
              <w:rPr>
                <w:rFonts w:ascii="Arial" w:cs="Arial" w:eastAsia="Arial" w:hAnsi="Arial"/>
                <w:sz w:val="16"/>
                <w:szCs w:val="16"/>
                <w:color w:val="auto"/>
              </w:rPr>
              <w:t>13,757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13"/>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Average number of diluted shares outstanding</w:t>
            </w: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14,339</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13,899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r>
    </w:tbl>
    <w:p>
      <w:pPr>
        <w:spacing w:after="0" w:line="288" w:lineRule="exact"/>
        <w:rPr>
          <w:sz w:val="20"/>
          <w:szCs w:val="20"/>
          <w:color w:val="auto"/>
        </w:rPr>
      </w:pPr>
    </w:p>
    <w:p>
      <w:pPr>
        <w:jc w:val="both"/>
        <w:ind w:right="140" w:firstLine="318"/>
        <w:spacing w:after="0" w:line="255" w:lineRule="auto"/>
        <w:rPr>
          <w:sz w:val="20"/>
          <w:szCs w:val="20"/>
          <w:color w:val="auto"/>
        </w:rPr>
      </w:pPr>
      <w:r>
        <w:rPr>
          <w:rFonts w:ascii="Arial" w:cs="Arial" w:eastAsia="Arial" w:hAnsi="Arial"/>
          <w:sz w:val="18"/>
          <w:szCs w:val="18"/>
          <w:color w:val="auto"/>
        </w:rPr>
        <w:t>Total assets at March 31, 2022 reflected an increase from its March 31, 2021 balance due to growth in the commercial real estate loan and credit card portfolios, the addition of bank-owned life insurance, and the deployment of excess liquidity into the investment portfolio. Offsetting these increases were decreases in the loans held for sale portfolio during 2022 when compared to 2021, as well as a reduction in SBA-PPP loans.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w:t>
      </w:r>
    </w:p>
    <w:p>
      <w:pPr>
        <w:spacing w:after="0" w:line="217" w:lineRule="exact"/>
        <w:rPr>
          <w:sz w:val="20"/>
          <w:szCs w:val="20"/>
          <w:color w:val="auto"/>
        </w:rPr>
      </w:pPr>
    </w:p>
    <w:p>
      <w:pPr>
        <w:ind w:right="180" w:firstLine="318"/>
        <w:spacing w:after="0" w:line="274" w:lineRule="auto"/>
        <w:rPr>
          <w:sz w:val="20"/>
          <w:szCs w:val="20"/>
          <w:color w:val="auto"/>
        </w:rPr>
      </w:pPr>
      <w:r>
        <w:rPr>
          <w:rFonts w:ascii="Arial" w:cs="Arial" w:eastAsia="Arial" w:hAnsi="Arial"/>
          <w:sz w:val="18"/>
          <w:szCs w:val="18"/>
          <w:color w:val="auto"/>
        </w:rPr>
        <w:t>The Company uses its securities portfolio to provide a source of liquidity, provide an appropriate return on funds invested, manage interest rate risk, meet collateral requirements and meet regulatory capital requirements.</w:t>
      </w:r>
    </w:p>
    <w:p>
      <w:pPr>
        <w:spacing w:after="0" w:line="163" w:lineRule="exact"/>
        <w:rPr>
          <w:sz w:val="20"/>
          <w:szCs w:val="20"/>
          <w:color w:val="auto"/>
        </w:rPr>
      </w:pPr>
    </w:p>
    <w:p>
      <w:pPr>
        <w:jc w:val="both"/>
        <w:ind w:right="100" w:firstLine="318"/>
        <w:spacing w:after="0" w:line="253" w:lineRule="auto"/>
        <w:rPr>
          <w:sz w:val="20"/>
          <w:szCs w:val="20"/>
          <w:color w:val="auto"/>
        </w:rPr>
      </w:pPr>
      <w:r>
        <w:rPr>
          <w:rFonts w:ascii="Arial" w:cs="Arial" w:eastAsia="Arial" w:hAnsi="Arial"/>
          <w:sz w:val="18"/>
          <w:szCs w:val="18"/>
          <w:color w:val="auto"/>
        </w:rPr>
        <w:t>Management classifies investment securities as either held to maturity or available for sale based on our intentions and the Company’s ability to hold such securities until maturity. In determining such classifications, securities that management has the positive intent and the Company has the ability to hold until maturity are classified as held to maturity and carried at amortized cost. All other securities are designated as available for sale and carried at estimated fair value with unrealized gains and losses included in stockholders’ equity on an after-tax basis. For the years presented, all securities were classified as available for sale.</w:t>
      </w:r>
    </w:p>
    <w:p>
      <w:pPr>
        <w:spacing w:after="0" w:line="181" w:lineRule="exact"/>
        <w:rPr>
          <w:sz w:val="20"/>
          <w:szCs w:val="20"/>
          <w:color w:val="auto"/>
        </w:rPr>
      </w:pPr>
    </w:p>
    <w:p>
      <w:pPr>
        <w:jc w:val="both"/>
        <w:ind w:right="100" w:firstLine="318"/>
        <w:spacing w:after="0" w:line="260" w:lineRule="auto"/>
        <w:rPr>
          <w:sz w:val="20"/>
          <w:szCs w:val="20"/>
          <w:color w:val="auto"/>
        </w:rPr>
      </w:pPr>
      <w:r>
        <w:rPr>
          <w:rFonts w:ascii="Arial" w:cs="Arial" w:eastAsia="Arial" w:hAnsi="Arial"/>
          <w:sz w:val="18"/>
          <w:szCs w:val="18"/>
          <w:color w:val="auto"/>
        </w:rPr>
        <w:t>To supplement interest income earned on our loan portfolio, the Company invests in high quality mortgage-backed securities, government agency bonds, asset-backed securities and high quality municipal and corporate bonds. During 2021, management invested a portion of its excess liquidity into U.S. Treasuries.</w:t>
      </w:r>
    </w:p>
    <w:p>
      <w:pPr>
        <w:spacing w:after="0" w:line="175" w:lineRule="exact"/>
        <w:rPr>
          <w:sz w:val="20"/>
          <w:szCs w:val="20"/>
          <w:color w:val="auto"/>
        </w:rPr>
      </w:pPr>
    </w:p>
    <w:p>
      <w:pPr>
        <w:jc w:val="both"/>
        <w:ind w:right="100" w:firstLine="318"/>
        <w:spacing w:after="0" w:line="253" w:lineRule="auto"/>
        <w:rPr>
          <w:sz w:val="20"/>
          <w:szCs w:val="20"/>
          <w:color w:val="auto"/>
        </w:rPr>
      </w:pPr>
      <w:r>
        <w:rPr>
          <w:rFonts w:ascii="Arial" w:cs="Arial" w:eastAsia="Arial" w:hAnsi="Arial"/>
          <w:sz w:val="18"/>
          <w:szCs w:val="18"/>
          <w:color w:val="auto"/>
        </w:rPr>
        <w:t>The following tables summarize the contractual maturities, without consideration of call features or pre-refunding dates, and weighted-average yields of investment securities at March 31, 2022 and the amortized cost and carrying value of those securities as of the indicated dates. The weighted average yields were calculated by multiplying the book value of each individual security by its yield, dividing that figure by the portfolio total, and then summing the value of these results to arrive at the weighted average yield. Yields on tax-exempt investments are not calculated on a fully tax equivalent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262255</wp:posOffset>
            </wp:positionV>
            <wp:extent cx="716026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48" w:name="page49"/>
    <w:bookmarkEnd w:id="48"/>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 MATURITIES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540" w:type="dxa"/>
            <w:vAlign w:val="bottom"/>
          </w:tcPr>
          <w:p>
            <w:pPr>
              <w:spacing w:after="0"/>
              <w:rPr>
                <w:sz w:val="12"/>
                <w:szCs w:val="12"/>
                <w:color w:val="auto"/>
              </w:rPr>
            </w:pPr>
          </w:p>
        </w:tc>
        <w:tc>
          <w:tcPr>
            <w:tcW w:w="1980" w:type="dxa"/>
            <w:vAlign w:val="bottom"/>
            <w:gridSpan w:val="5"/>
          </w:tcPr>
          <w:p>
            <w:pPr>
              <w:ind w:left="60"/>
              <w:spacing w:after="0"/>
              <w:rPr>
                <w:sz w:val="20"/>
                <w:szCs w:val="20"/>
                <w:color w:val="auto"/>
              </w:rPr>
            </w:pPr>
            <w:r>
              <w:rPr>
                <w:rFonts w:ascii="Arial" w:cs="Arial" w:eastAsia="Arial" w:hAnsi="Arial"/>
                <w:sz w:val="12"/>
                <w:szCs w:val="12"/>
                <w:b w:val="1"/>
                <w:bCs w:val="1"/>
                <w:color w:val="auto"/>
              </w:rPr>
              <w:t>More Than One Year Through</w:t>
            </w:r>
          </w:p>
        </w:tc>
        <w:tc>
          <w:tcPr>
            <w:tcW w:w="1960" w:type="dxa"/>
            <w:vAlign w:val="bottom"/>
            <w:gridSpan w:val="5"/>
          </w:tcPr>
          <w:p>
            <w:pPr>
              <w:spacing w:after="0"/>
              <w:rPr>
                <w:sz w:val="20"/>
                <w:szCs w:val="20"/>
                <w:color w:val="auto"/>
              </w:rPr>
            </w:pPr>
            <w:r>
              <w:rPr>
                <w:rFonts w:ascii="Arial" w:cs="Arial" w:eastAsia="Arial" w:hAnsi="Arial"/>
                <w:sz w:val="12"/>
                <w:szCs w:val="12"/>
                <w:b w:val="1"/>
                <w:bCs w:val="1"/>
                <w:color w:val="auto"/>
              </w:rPr>
              <w:t>More Than Five Years Through</w:t>
            </w:r>
          </w:p>
        </w:tc>
        <w:tc>
          <w:tcPr>
            <w:tcW w:w="100" w:type="dxa"/>
            <w:vAlign w:val="bottom"/>
          </w:tcPr>
          <w:p>
            <w:pPr>
              <w:spacing w:after="0"/>
              <w:rPr>
                <w:sz w:val="12"/>
                <w:szCs w:val="12"/>
                <w:color w:val="auto"/>
              </w:rPr>
            </w:pPr>
          </w:p>
        </w:tc>
        <w:tc>
          <w:tcPr>
            <w:tcW w:w="1740" w:type="dxa"/>
            <w:vAlign w:val="bottom"/>
            <w:gridSpan w:val="3"/>
            <w:vMerge w:val="restart"/>
          </w:tcPr>
          <w:p>
            <w:pPr>
              <w:jc w:val="right"/>
              <w:ind w:right="240"/>
              <w:spacing w:after="0"/>
              <w:rPr>
                <w:sz w:val="20"/>
                <w:szCs w:val="20"/>
                <w:color w:val="auto"/>
              </w:rPr>
            </w:pPr>
            <w:r>
              <w:rPr>
                <w:rFonts w:ascii="Arial" w:cs="Arial" w:eastAsia="Arial" w:hAnsi="Arial"/>
                <w:sz w:val="12"/>
                <w:szCs w:val="12"/>
                <w:b w:val="1"/>
                <w:bCs w:val="1"/>
                <w:color w:val="auto"/>
              </w:rPr>
              <w:t>More Than Ten Years</w:t>
            </w:r>
          </w:p>
        </w:tc>
        <w:tc>
          <w:tcPr>
            <w:tcW w:w="1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vMerge w:val="restart"/>
          </w:tcPr>
          <w:p>
            <w:pPr>
              <w:jc w:val="right"/>
              <w:spacing w:after="0"/>
              <w:rPr>
                <w:sz w:val="20"/>
                <w:szCs w:val="20"/>
                <w:color w:val="auto"/>
              </w:rPr>
            </w:pPr>
            <w:r>
              <w:rPr>
                <w:rFonts w:ascii="Arial" w:cs="Arial" w:eastAsia="Arial" w:hAnsi="Arial"/>
                <w:sz w:val="12"/>
                <w:szCs w:val="12"/>
                <w:b w:val="1"/>
                <w:bCs w:val="1"/>
                <w:color w:val="auto"/>
              </w:rPr>
              <w:t>Total</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5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right"/>
              <w:ind w:right="560"/>
              <w:spacing w:after="0"/>
              <w:rPr>
                <w:sz w:val="20"/>
                <w:szCs w:val="20"/>
                <w:color w:val="auto"/>
              </w:rPr>
            </w:pPr>
            <w:r>
              <w:rPr>
                <w:rFonts w:ascii="Arial" w:cs="Arial" w:eastAsia="Arial" w:hAnsi="Arial"/>
                <w:sz w:val="12"/>
                <w:szCs w:val="12"/>
                <w:b w:val="1"/>
                <w:bCs w:val="1"/>
                <w:color w:val="auto"/>
              </w:rPr>
              <w:t>Five Years</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right"/>
              <w:ind w:right="580"/>
              <w:spacing w:after="0"/>
              <w:rPr>
                <w:sz w:val="20"/>
                <w:szCs w:val="20"/>
                <w:color w:val="auto"/>
              </w:rPr>
            </w:pPr>
            <w:r>
              <w:rPr>
                <w:rFonts w:ascii="Arial" w:cs="Arial" w:eastAsia="Arial" w:hAnsi="Arial"/>
                <w:sz w:val="12"/>
                <w:szCs w:val="12"/>
                <w:b w:val="1"/>
                <w:bCs w:val="1"/>
                <w:color w:val="auto"/>
              </w:rPr>
              <w:t>Ten Years</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3"/>
            <w:vMerge w:val="continue"/>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2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March 31, 2022</w:t>
            </w:r>
          </w:p>
        </w:tc>
        <w:tc>
          <w:tcPr>
            <w:tcW w:w="120" w:type="dxa"/>
            <w:vAlign w:val="bottom"/>
          </w:tcPr>
          <w:p>
            <w:pPr>
              <w:spacing w:after="0"/>
              <w:rPr>
                <w:sz w:val="9"/>
                <w:szCs w:val="9"/>
                <w:color w:val="auto"/>
              </w:rPr>
            </w:pPr>
          </w:p>
        </w:tc>
        <w:tc>
          <w:tcPr>
            <w:tcW w:w="8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Book Value</w:t>
            </w:r>
          </w:p>
        </w:tc>
        <w:tc>
          <w:tcPr>
            <w:tcW w:w="1040" w:type="dxa"/>
            <w:vAlign w:val="bottom"/>
            <w:gridSpan w:val="2"/>
          </w:tcPr>
          <w:p>
            <w:pPr>
              <w:jc w:val="center"/>
              <w:ind w:right="120"/>
              <w:spacing w:after="0" w:line="106" w:lineRule="exact"/>
              <w:rPr>
                <w:sz w:val="20"/>
                <w:szCs w:val="20"/>
                <w:color w:val="auto"/>
              </w:rPr>
            </w:pPr>
            <w:r>
              <w:rPr>
                <w:rFonts w:ascii="Arial" w:cs="Arial" w:eastAsia="Arial" w:hAnsi="Arial"/>
                <w:sz w:val="11"/>
                <w:szCs w:val="11"/>
                <w:b w:val="1"/>
                <w:bCs w:val="1"/>
                <w:color w:val="auto"/>
                <w:w w:val="96"/>
              </w:rPr>
              <w:t>Weighted</w:t>
            </w:r>
          </w:p>
        </w:tc>
        <w:tc>
          <w:tcPr>
            <w:tcW w:w="100" w:type="dxa"/>
            <w:vAlign w:val="bottom"/>
          </w:tcPr>
          <w:p>
            <w:pPr>
              <w:spacing w:after="0"/>
              <w:rPr>
                <w:sz w:val="9"/>
                <w:szCs w:val="9"/>
                <w:color w:val="auto"/>
              </w:rPr>
            </w:pPr>
          </w:p>
        </w:tc>
        <w:tc>
          <w:tcPr>
            <w:tcW w:w="8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Book Value</w:t>
            </w:r>
          </w:p>
        </w:tc>
        <w:tc>
          <w:tcPr>
            <w:tcW w:w="1040" w:type="dxa"/>
            <w:vAlign w:val="bottom"/>
            <w:gridSpan w:val="2"/>
          </w:tcPr>
          <w:p>
            <w:pPr>
              <w:jc w:val="center"/>
              <w:ind w:right="120"/>
              <w:spacing w:after="0" w:line="106" w:lineRule="exact"/>
              <w:rPr>
                <w:sz w:val="20"/>
                <w:szCs w:val="20"/>
                <w:color w:val="auto"/>
              </w:rPr>
            </w:pPr>
            <w:r>
              <w:rPr>
                <w:rFonts w:ascii="Arial" w:cs="Arial" w:eastAsia="Arial" w:hAnsi="Arial"/>
                <w:sz w:val="11"/>
                <w:szCs w:val="11"/>
                <w:b w:val="1"/>
                <w:bCs w:val="1"/>
                <w:color w:val="auto"/>
                <w:w w:val="96"/>
              </w:rPr>
              <w:t>Weighted</w:t>
            </w:r>
          </w:p>
        </w:tc>
        <w:tc>
          <w:tcPr>
            <w:tcW w:w="100" w:type="dxa"/>
            <w:vAlign w:val="bottom"/>
          </w:tcPr>
          <w:p>
            <w:pPr>
              <w:spacing w:after="0"/>
              <w:rPr>
                <w:sz w:val="9"/>
                <w:szCs w:val="9"/>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Book Value</w:t>
            </w:r>
          </w:p>
        </w:tc>
        <w:tc>
          <w:tcPr>
            <w:tcW w:w="1040" w:type="dxa"/>
            <w:vAlign w:val="bottom"/>
            <w:gridSpan w:val="2"/>
          </w:tcPr>
          <w:p>
            <w:pPr>
              <w:jc w:val="center"/>
              <w:ind w:right="120"/>
              <w:spacing w:after="0" w:line="106" w:lineRule="exact"/>
              <w:rPr>
                <w:sz w:val="20"/>
                <w:szCs w:val="20"/>
                <w:color w:val="auto"/>
              </w:rPr>
            </w:pPr>
            <w:r>
              <w:rPr>
                <w:rFonts w:ascii="Arial" w:cs="Arial" w:eastAsia="Arial" w:hAnsi="Arial"/>
                <w:sz w:val="11"/>
                <w:szCs w:val="11"/>
                <w:b w:val="1"/>
                <w:bCs w:val="1"/>
                <w:color w:val="auto"/>
                <w:w w:val="96"/>
              </w:rPr>
              <w:t>Weighted</w:t>
            </w:r>
          </w:p>
        </w:tc>
        <w:tc>
          <w:tcPr>
            <w:tcW w:w="100" w:type="dxa"/>
            <w:vAlign w:val="bottom"/>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Book Value</w:t>
            </w:r>
          </w:p>
        </w:tc>
        <w:tc>
          <w:tcPr>
            <w:tcW w:w="120" w:type="dxa"/>
            <w:vAlign w:val="bottom"/>
          </w:tcPr>
          <w:p>
            <w:pPr>
              <w:spacing w:after="0"/>
              <w:rPr>
                <w:sz w:val="9"/>
                <w:szCs w:val="9"/>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Fair Value</w:t>
            </w:r>
          </w:p>
        </w:tc>
        <w:tc>
          <w:tcPr>
            <w:tcW w:w="920" w:type="dxa"/>
            <w:vAlign w:val="bottom"/>
          </w:tcPr>
          <w:p>
            <w:pPr>
              <w:jc w:val="right"/>
              <w:ind w:right="160"/>
              <w:spacing w:after="0" w:line="106" w:lineRule="exact"/>
              <w:rPr>
                <w:sz w:val="20"/>
                <w:szCs w:val="20"/>
                <w:color w:val="auto"/>
              </w:rPr>
            </w:pPr>
            <w:r>
              <w:rPr>
                <w:rFonts w:ascii="Arial" w:cs="Arial" w:eastAsia="Arial" w:hAnsi="Arial"/>
                <w:sz w:val="11"/>
                <w:szCs w:val="11"/>
                <w:b w:val="1"/>
                <w:bCs w:val="1"/>
                <w:color w:val="auto"/>
              </w:rPr>
              <w:t>Weighted</w:t>
            </w:r>
          </w:p>
        </w:tc>
        <w:tc>
          <w:tcPr>
            <w:tcW w:w="0" w:type="dxa"/>
            <w:vAlign w:val="bottom"/>
          </w:tcPr>
          <w:p>
            <w:pPr>
              <w:spacing w:after="0"/>
              <w:rPr>
                <w:sz w:val="1"/>
                <w:szCs w:val="1"/>
                <w:color w:val="auto"/>
              </w:rPr>
            </w:pPr>
          </w:p>
        </w:tc>
      </w:tr>
      <w:tr>
        <w:trPr>
          <w:trHeight w:val="158"/>
        </w:trPr>
        <w:tc>
          <w:tcPr>
            <w:tcW w:w="25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6"/>
              </w:rPr>
              <w:t>Average Yield</w:t>
            </w:r>
          </w:p>
        </w:tc>
        <w:tc>
          <w:tcPr>
            <w:tcW w:w="10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6"/>
              </w:rPr>
              <w:t>Average Yield</w:t>
            </w:r>
          </w:p>
        </w:tc>
        <w:tc>
          <w:tcPr>
            <w:tcW w:w="10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3"/>
              </w:rPr>
              <w:t>Average Yield</w:t>
            </w:r>
          </w:p>
        </w:tc>
        <w:tc>
          <w:tcPr>
            <w:tcW w:w="10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920" w:type="dxa"/>
            <w:vAlign w:val="bottom"/>
          </w:tcPr>
          <w:p>
            <w:pPr>
              <w:jc w:val="right"/>
              <w:ind w:right="60"/>
              <w:spacing w:after="0"/>
              <w:rPr>
                <w:sz w:val="20"/>
                <w:szCs w:val="20"/>
                <w:color w:val="auto"/>
              </w:rPr>
            </w:pPr>
            <w:r>
              <w:rPr>
                <w:rFonts w:ascii="Arial" w:cs="Arial" w:eastAsia="Arial" w:hAnsi="Arial"/>
                <w:sz w:val="11"/>
                <w:szCs w:val="11"/>
                <w:b w:val="1"/>
                <w:bCs w:val="1"/>
                <w:color w:val="auto"/>
              </w:rPr>
              <w:t>Average Yield</w:t>
            </w:r>
          </w:p>
        </w:tc>
        <w:tc>
          <w:tcPr>
            <w:tcW w:w="0" w:type="dxa"/>
            <w:vAlign w:val="bottom"/>
          </w:tcPr>
          <w:p>
            <w:pPr>
              <w:spacing w:after="0"/>
              <w:rPr>
                <w:sz w:val="1"/>
                <w:szCs w:val="1"/>
                <w:color w:val="auto"/>
              </w:rPr>
            </w:pPr>
          </w:p>
        </w:tc>
      </w:tr>
      <w:tr>
        <w:trPr>
          <w:trHeight w:val="131"/>
        </w:trPr>
        <w:tc>
          <w:tcPr>
            <w:tcW w:w="2540" w:type="dxa"/>
            <w:vAlign w:val="bottom"/>
          </w:tcPr>
          <w:p>
            <w:pPr>
              <w:ind w:left="20"/>
              <w:spacing w:after="0" w:line="121" w:lineRule="exact"/>
              <w:rPr>
                <w:sz w:val="20"/>
                <w:szCs w:val="20"/>
                <w:color w:val="auto"/>
              </w:rPr>
            </w:pPr>
            <w:r>
              <w:rPr>
                <w:rFonts w:ascii="Arial" w:cs="Arial" w:eastAsia="Arial" w:hAnsi="Arial"/>
                <w:sz w:val="11"/>
                <w:szCs w:val="11"/>
                <w:color w:val="auto"/>
              </w:rPr>
              <w:t>(in thousands)</w:t>
            </w: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540" w:type="dxa"/>
            <w:vAlign w:val="bottom"/>
            <w:shd w:val="clear" w:color="auto" w:fill="CCEEFF"/>
          </w:tcPr>
          <w:p>
            <w:pPr>
              <w:ind w:left="20"/>
              <w:spacing w:after="0"/>
              <w:rPr>
                <w:sz w:val="20"/>
                <w:szCs w:val="20"/>
                <w:color w:val="auto"/>
              </w:rPr>
            </w:pPr>
            <w:r>
              <w:rPr>
                <w:rFonts w:ascii="Arial" w:cs="Arial" w:eastAsia="Arial" w:hAnsi="Arial"/>
                <w:sz w:val="12"/>
                <w:szCs w:val="12"/>
                <w:color w:val="auto"/>
              </w:rPr>
              <w:t>Securities Available for Sale:</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540" w:type="dxa"/>
            <w:vAlign w:val="bottom"/>
          </w:tcPr>
          <w:p>
            <w:pPr>
              <w:ind w:left="20"/>
              <w:spacing w:after="0"/>
              <w:rPr>
                <w:sz w:val="20"/>
                <w:szCs w:val="20"/>
                <w:color w:val="auto"/>
              </w:rPr>
            </w:pPr>
            <w:r>
              <w:rPr>
                <w:rFonts w:ascii="Arial" w:cs="Arial" w:eastAsia="Arial" w:hAnsi="Arial"/>
                <w:sz w:val="12"/>
                <w:szCs w:val="12"/>
                <w:color w:val="auto"/>
              </w:rPr>
              <w:t>U.S. Treasuries</w:t>
            </w: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58,554</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0.56 %</w:t>
            </w:r>
          </w:p>
        </w:tc>
        <w:tc>
          <w:tcPr>
            <w:tcW w:w="12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73,784</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1.27 %</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2"/>
                <w:szCs w:val="12"/>
                <w:color w:val="auto"/>
              </w:rPr>
              <w:t>— %</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132,338</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124,200</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0.96 %</w:t>
            </w:r>
          </w:p>
        </w:tc>
        <w:tc>
          <w:tcPr>
            <w:tcW w:w="0" w:type="dxa"/>
            <w:vAlign w:val="bottom"/>
          </w:tcPr>
          <w:p>
            <w:pPr>
              <w:spacing w:after="0"/>
              <w:rPr>
                <w:sz w:val="1"/>
                <w:szCs w:val="1"/>
                <w:color w:val="auto"/>
              </w:rPr>
            </w:pPr>
          </w:p>
        </w:tc>
      </w:tr>
      <w:tr>
        <w:trPr>
          <w:trHeight w:val="176"/>
        </w:trPr>
        <w:tc>
          <w:tcPr>
            <w:tcW w:w="2540" w:type="dxa"/>
            <w:vAlign w:val="bottom"/>
            <w:shd w:val="clear" w:color="auto" w:fill="CCEEFF"/>
          </w:tcPr>
          <w:p>
            <w:pPr>
              <w:ind w:left="20"/>
              <w:spacing w:after="0"/>
              <w:rPr>
                <w:sz w:val="20"/>
                <w:szCs w:val="20"/>
                <w:color w:val="auto"/>
              </w:rPr>
            </w:pPr>
            <w:r>
              <w:rPr>
                <w:rFonts w:ascii="Arial" w:cs="Arial" w:eastAsia="Arial" w:hAnsi="Arial"/>
                <w:sz w:val="12"/>
                <w:szCs w:val="12"/>
                <w:color w:val="auto"/>
              </w:rPr>
              <w:t>Municipal</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 %</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 %</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10,822</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1.94 %</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10,822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9,414</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1.94 %</w:t>
            </w:r>
          </w:p>
        </w:tc>
        <w:tc>
          <w:tcPr>
            <w:tcW w:w="0" w:type="dxa"/>
            <w:vAlign w:val="bottom"/>
          </w:tcPr>
          <w:p>
            <w:pPr>
              <w:spacing w:after="0"/>
              <w:rPr>
                <w:sz w:val="1"/>
                <w:szCs w:val="1"/>
                <w:color w:val="auto"/>
              </w:rPr>
            </w:pPr>
          </w:p>
        </w:tc>
      </w:tr>
      <w:tr>
        <w:trPr>
          <w:trHeight w:val="168"/>
        </w:trPr>
        <w:tc>
          <w:tcPr>
            <w:tcW w:w="2540" w:type="dxa"/>
            <w:vAlign w:val="bottom"/>
          </w:tcPr>
          <w:p>
            <w:pPr>
              <w:ind w:left="20"/>
              <w:spacing w:after="0"/>
              <w:rPr>
                <w:sz w:val="20"/>
                <w:szCs w:val="20"/>
                <w:color w:val="auto"/>
              </w:rPr>
            </w:pPr>
            <w:r>
              <w:rPr>
                <w:rFonts w:ascii="Arial" w:cs="Arial" w:eastAsia="Arial" w:hAnsi="Arial"/>
                <w:sz w:val="12"/>
                <w:szCs w:val="12"/>
                <w:color w:val="auto"/>
              </w:rPr>
              <w:t>Corporate bonds</w:t>
            </w:r>
          </w:p>
        </w:tc>
        <w:tc>
          <w:tcPr>
            <w:tcW w:w="12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2"/>
                <w:szCs w:val="12"/>
                <w:color w:val="auto"/>
              </w:rPr>
              <w:t>— %</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5,000</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4.31 %</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2"/>
                <w:szCs w:val="12"/>
                <w:color w:val="auto"/>
              </w:rPr>
              <w:t>— %</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5,000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4,847</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4.31 %</w:t>
            </w:r>
          </w:p>
        </w:tc>
        <w:tc>
          <w:tcPr>
            <w:tcW w:w="0" w:type="dxa"/>
            <w:vAlign w:val="bottom"/>
          </w:tcPr>
          <w:p>
            <w:pPr>
              <w:spacing w:after="0"/>
              <w:rPr>
                <w:sz w:val="1"/>
                <w:szCs w:val="1"/>
                <w:color w:val="auto"/>
              </w:rPr>
            </w:pPr>
          </w:p>
        </w:tc>
      </w:tr>
      <w:tr>
        <w:trPr>
          <w:trHeight w:val="176"/>
        </w:trPr>
        <w:tc>
          <w:tcPr>
            <w:tcW w:w="2540" w:type="dxa"/>
            <w:vAlign w:val="bottom"/>
            <w:shd w:val="clear" w:color="auto" w:fill="CCEEFF"/>
          </w:tcPr>
          <w:p>
            <w:pPr>
              <w:ind w:left="20"/>
              <w:spacing w:after="0"/>
              <w:rPr>
                <w:sz w:val="20"/>
                <w:szCs w:val="20"/>
                <w:color w:val="auto"/>
              </w:rPr>
            </w:pPr>
            <w:r>
              <w:rPr>
                <w:rFonts w:ascii="Arial" w:cs="Arial" w:eastAsia="Arial" w:hAnsi="Arial"/>
                <w:sz w:val="12"/>
                <w:szCs w:val="12"/>
                <w:color w:val="auto"/>
              </w:rPr>
              <w:t>Asset-backed securities</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 %</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 %</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9,866</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1.09 %</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9,866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9,823</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1.09 %</w:t>
            </w:r>
          </w:p>
        </w:tc>
        <w:tc>
          <w:tcPr>
            <w:tcW w:w="0" w:type="dxa"/>
            <w:vAlign w:val="bottom"/>
          </w:tcPr>
          <w:p>
            <w:pPr>
              <w:spacing w:after="0"/>
              <w:rPr>
                <w:sz w:val="1"/>
                <w:szCs w:val="1"/>
                <w:color w:val="auto"/>
              </w:rPr>
            </w:pPr>
          </w:p>
        </w:tc>
      </w:tr>
      <w:tr>
        <w:trPr>
          <w:trHeight w:val="168"/>
        </w:trPr>
        <w:tc>
          <w:tcPr>
            <w:tcW w:w="2540" w:type="dxa"/>
            <w:vAlign w:val="bottom"/>
          </w:tcPr>
          <w:p>
            <w:pPr>
              <w:ind w:left="20"/>
              <w:spacing w:after="0"/>
              <w:rPr>
                <w:sz w:val="20"/>
                <w:szCs w:val="20"/>
                <w:color w:val="auto"/>
              </w:rPr>
            </w:pPr>
            <w:r>
              <w:rPr>
                <w:rFonts w:ascii="Arial" w:cs="Arial" w:eastAsia="Arial" w:hAnsi="Arial"/>
                <w:sz w:val="12"/>
                <w:szCs w:val="12"/>
                <w:color w:val="auto"/>
              </w:rPr>
              <w:t>Mortgage-backed securities</w:t>
            </w:r>
          </w:p>
        </w:tc>
        <w:tc>
          <w:tcPr>
            <w:tcW w:w="12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2"/>
                <w:szCs w:val="12"/>
                <w:color w:val="auto"/>
              </w:rPr>
              <w:t>— %</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10,167</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2.34 %</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15,311</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(2.49)%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25,478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24,428</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(0.56)%</w:t>
            </w:r>
          </w:p>
        </w:tc>
        <w:tc>
          <w:tcPr>
            <w:tcW w:w="0" w:type="dxa"/>
            <w:vAlign w:val="bottom"/>
          </w:tcPr>
          <w:p>
            <w:pPr>
              <w:spacing w:after="0"/>
              <w:rPr>
                <w:sz w:val="1"/>
                <w:szCs w:val="1"/>
                <w:color w:val="auto"/>
              </w:rPr>
            </w:pPr>
          </w:p>
        </w:tc>
      </w:tr>
      <w:tr>
        <w:trPr>
          <w:trHeight w:val="195"/>
        </w:trPr>
        <w:tc>
          <w:tcPr>
            <w:tcW w:w="25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58,554</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0.56 %</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88,951</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1.56 %</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35,999</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(0.18)%</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183,504</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172,712</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0.90 %</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Portfolio Loans Receivable</w:t>
      </w:r>
    </w:p>
    <w:p>
      <w:pPr>
        <w:spacing w:after="0" w:line="217"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Our primary source of income is derived from interest earned on loans. Our portfolio loans consist of loans secured by real estate as well as commercial business loans, credit card loans, substantially all of which are secured by corresponding deposits at the Bank and, to a limited extent, other consumer loans. Our loan customers primarily consist of small- to medium-sized businesses, professionals, real estate investors, small residential builders and individuals. Our owner-occupied commercial real estate loans, residential construction loans and commercial business and investment loans provide us with higher risk-adjusted returns, shorter maturities and more sensitivity to interest rate fluctuations, and are complemented by our relatively lower risk residential real estate loans to individuals. Our credit card portfolio supplements our traditional lending products with enhanced yields. Our lending activities, outside of credit cards, are principally directed to our market area consisting of the Washington, D.C. and Baltimore, Maryland metropolitan areas.</w:t>
      </w:r>
    </w:p>
    <w:p>
      <w:pPr>
        <w:spacing w:after="0" w:line="19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repayment of loans is a source of additional liquidity for us. The following table details contractual maturities of our portfolio loans, along with associated weighted average yields and an analysis of loans maturing after one year categorized by rate characteristic. Loans with adjustable interest rates are shown as maturing in the period during which the contract is due. The table does not reflect the effects of possible prepayments.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262255</wp:posOffset>
            </wp:positionV>
            <wp:extent cx="716026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16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LOAN MATURITY AND SENSITIVITY TO CHANGES IN INTEREST RATES</w:t>
      </w:r>
    </w:p>
    <w:p>
      <w:pPr>
        <w:spacing w:after="0" w:line="280" w:lineRule="exact"/>
        <w:rPr>
          <w:sz w:val="20"/>
          <w:szCs w:val="20"/>
          <w:color w:val="auto"/>
        </w:rPr>
      </w:pPr>
    </w:p>
    <w:tbl>
      <w:tblPr>
        <w:tblLayout w:type="fixed"/>
        <w:tblInd w:w="320" w:type="dxa"/>
        <w:tblCellMar>
          <w:top w:w="0" w:type="dxa"/>
          <w:left w:w="0" w:type="dxa"/>
          <w:bottom w:w="0" w:type="dxa"/>
          <w:right w:w="0" w:type="dxa"/>
        </w:tblCellMar>
      </w:tblPr>
      <w:tr>
        <w:trPr>
          <w:trHeight w:val="201"/>
        </w:trPr>
        <w:tc>
          <w:tcPr>
            <w:tcW w:w="20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7"/>
          </w:tcPr>
          <w:p>
            <w:pPr>
              <w:ind w:left="560"/>
              <w:spacing w:after="0"/>
              <w:rPr>
                <w:sz w:val="20"/>
                <w:szCs w:val="20"/>
                <w:color w:val="auto"/>
              </w:rPr>
            </w:pPr>
            <w:r>
              <w:rPr>
                <w:rFonts w:ascii="Arial" w:cs="Arial" w:eastAsia="Arial" w:hAnsi="Arial"/>
                <w:sz w:val="14"/>
                <w:szCs w:val="14"/>
                <w:b w:val="1"/>
                <w:bCs w:val="1"/>
                <w:color w:val="auto"/>
              </w:rPr>
              <w:t>As of March 31, 2022</w:t>
            </w: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center"/>
              <w:ind w:left="389"/>
              <w:spacing w:after="0" w:line="150" w:lineRule="exact"/>
              <w:rPr>
                <w:sz w:val="20"/>
                <w:szCs w:val="20"/>
                <w:color w:val="auto"/>
              </w:rPr>
            </w:pPr>
            <w:r>
              <w:rPr>
                <w:rFonts w:ascii="Arial" w:cs="Arial" w:eastAsia="Arial" w:hAnsi="Arial"/>
                <w:sz w:val="14"/>
                <w:szCs w:val="14"/>
                <w:b w:val="1"/>
                <w:bCs w:val="1"/>
                <w:color w:val="auto"/>
                <w:w w:val="97"/>
              </w:rPr>
              <w:t>One Year</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left="329"/>
              <w:spacing w:after="0" w:line="150" w:lineRule="exact"/>
              <w:rPr>
                <w:sz w:val="20"/>
                <w:szCs w:val="20"/>
                <w:color w:val="auto"/>
              </w:rPr>
            </w:pPr>
            <w:r>
              <w:rPr>
                <w:rFonts w:ascii="Arial" w:cs="Arial" w:eastAsia="Arial" w:hAnsi="Arial"/>
                <w:sz w:val="14"/>
                <w:szCs w:val="14"/>
                <w:b w:val="1"/>
                <w:bCs w:val="1"/>
                <w:color w:val="auto"/>
                <w:w w:val="99"/>
              </w:rPr>
              <w:t>One to</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ind w:left="640"/>
              <w:spacing w:after="0" w:line="150" w:lineRule="exact"/>
              <w:rPr>
                <w:sz w:val="20"/>
                <w:szCs w:val="20"/>
                <w:color w:val="auto"/>
              </w:rPr>
            </w:pPr>
            <w:r>
              <w:rPr>
                <w:rFonts w:ascii="Arial" w:cs="Arial" w:eastAsia="Arial" w:hAnsi="Arial"/>
                <w:sz w:val="14"/>
                <w:szCs w:val="14"/>
                <w:b w:val="1"/>
                <w:bCs w:val="1"/>
                <w:color w:val="auto"/>
              </w:rPr>
              <w:t>Over</w:t>
            </w: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2"/>
            <w:vMerge w:val="restart"/>
          </w:tcPr>
          <w:p>
            <w:pPr>
              <w:jc w:val="center"/>
              <w:ind w:right="29"/>
              <w:spacing w:after="0"/>
              <w:rPr>
                <w:sz w:val="20"/>
                <w:szCs w:val="20"/>
                <w:color w:val="auto"/>
              </w:rPr>
            </w:pPr>
            <w:r>
              <w:rPr>
                <w:rFonts w:ascii="Arial" w:cs="Arial" w:eastAsia="Arial" w:hAnsi="Arial"/>
                <w:sz w:val="14"/>
                <w:szCs w:val="14"/>
                <w:b w:val="1"/>
                <w:bCs w:val="1"/>
                <w:color w:val="auto"/>
                <w:w w:val="99"/>
              </w:rPr>
              <w:t>After Fifteen Years</w:t>
            </w:r>
          </w:p>
        </w:tc>
        <w:tc>
          <w:tcPr>
            <w:tcW w:w="10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vMerge w:val="restart"/>
          </w:tcPr>
          <w:p>
            <w:pPr>
              <w:jc w:val="right"/>
              <w:ind w:right="14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2"/>
        </w:trPr>
        <w:tc>
          <w:tcPr>
            <w:tcW w:w="2040" w:type="dxa"/>
            <w:vAlign w:val="bottom"/>
          </w:tcPr>
          <w:p>
            <w:pPr>
              <w:ind w:left="20"/>
              <w:spacing w:after="0"/>
              <w:rPr>
                <w:sz w:val="20"/>
                <w:szCs w:val="20"/>
                <w:color w:val="auto"/>
              </w:rPr>
            </w:pPr>
            <w:r>
              <w:rPr>
                <w:rFonts w:ascii="Arial" w:cs="Arial" w:eastAsia="Arial" w:hAnsi="Arial"/>
                <w:sz w:val="11"/>
                <w:szCs w:val="11"/>
                <w:i w:val="1"/>
                <w:iCs w:val="1"/>
                <w:color w:val="auto"/>
              </w:rPr>
              <w:t>(in thousands)</w:t>
            </w: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center"/>
              <w:ind w:left="409"/>
              <w:spacing w:after="0"/>
              <w:rPr>
                <w:sz w:val="20"/>
                <w:szCs w:val="20"/>
                <w:color w:val="auto"/>
              </w:rPr>
            </w:pPr>
            <w:r>
              <w:rPr>
                <w:rFonts w:ascii="Arial" w:cs="Arial" w:eastAsia="Arial" w:hAnsi="Arial"/>
                <w:sz w:val="14"/>
                <w:szCs w:val="14"/>
                <w:b w:val="1"/>
                <w:bCs w:val="1"/>
                <w:color w:val="auto"/>
              </w:rPr>
              <w:t>or Less</w:t>
            </w:r>
          </w:p>
        </w:tc>
        <w:tc>
          <w:tcPr>
            <w:tcW w:w="6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center"/>
              <w:ind w:left="349"/>
              <w:spacing w:after="0"/>
              <w:rPr>
                <w:sz w:val="20"/>
                <w:szCs w:val="20"/>
                <w:color w:val="auto"/>
              </w:rPr>
            </w:pPr>
            <w:r>
              <w:rPr>
                <w:rFonts w:ascii="Arial" w:cs="Arial" w:eastAsia="Arial" w:hAnsi="Arial"/>
                <w:sz w:val="14"/>
                <w:szCs w:val="14"/>
                <w:b w:val="1"/>
                <w:bCs w:val="1"/>
                <w:color w:val="auto"/>
                <w:w w:val="99"/>
              </w:rPr>
              <w:t>Five Years</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Five Years to Fifteen Years</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Yield</w:t>
            </w:r>
          </w:p>
        </w:tc>
        <w:tc>
          <w:tcPr>
            <w:tcW w:w="140" w:type="dxa"/>
            <w:vAlign w:val="bottom"/>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Yield</w:t>
            </w:r>
          </w:p>
        </w:tc>
        <w:tc>
          <w:tcPr>
            <w:tcW w:w="16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2"/>
          </w:tcPr>
          <w:p>
            <w:pPr>
              <w:ind w:left="180"/>
              <w:spacing w:after="0"/>
              <w:rPr>
                <w:sz w:val="20"/>
                <w:szCs w:val="20"/>
                <w:color w:val="auto"/>
              </w:rPr>
            </w:pPr>
            <w:r>
              <w:rPr>
                <w:rFonts w:ascii="Arial" w:cs="Arial" w:eastAsia="Arial" w:hAnsi="Arial"/>
                <w:sz w:val="14"/>
                <w:szCs w:val="14"/>
                <w:b w:val="1"/>
                <w:bCs w:val="1"/>
                <w:color w:val="auto"/>
              </w:rPr>
              <w:t>Yield</w:t>
            </w:r>
          </w:p>
        </w:tc>
        <w:tc>
          <w:tcPr>
            <w:tcW w:w="100" w:type="dxa"/>
            <w:vAlign w:val="bottom"/>
          </w:tcPr>
          <w:p>
            <w:pPr>
              <w:spacing w:after="0"/>
              <w:rPr>
                <w:sz w:val="16"/>
                <w:szCs w:val="16"/>
                <w:color w:val="auto"/>
              </w:rPr>
            </w:pPr>
          </w:p>
        </w:tc>
        <w:tc>
          <w:tcPr>
            <w:tcW w:w="840" w:type="dxa"/>
            <w:vAlign w:val="bottom"/>
          </w:tcPr>
          <w:p>
            <w:pPr>
              <w:jc w:val="right"/>
              <w:ind w:right="129"/>
              <w:spacing w:after="0"/>
              <w:rPr>
                <w:sz w:val="20"/>
                <w:szCs w:val="20"/>
                <w:color w:val="auto"/>
              </w:rPr>
            </w:pPr>
            <w:r>
              <w:rPr>
                <w:rFonts w:ascii="Arial" w:cs="Arial" w:eastAsia="Arial" w:hAnsi="Arial"/>
                <w:sz w:val="14"/>
                <w:szCs w:val="14"/>
                <w:b w:val="1"/>
                <w:bCs w:val="1"/>
                <w:color w:val="auto"/>
              </w:rPr>
              <w:t>Amount</w:t>
            </w:r>
          </w:p>
        </w:tc>
        <w:tc>
          <w:tcPr>
            <w:tcW w:w="1000" w:type="dxa"/>
            <w:vAlign w:val="bottom"/>
            <w:gridSpan w:val="2"/>
          </w:tcPr>
          <w:p>
            <w:pPr>
              <w:ind w:left="340"/>
              <w:spacing w:after="0"/>
              <w:rPr>
                <w:sz w:val="20"/>
                <w:szCs w:val="20"/>
                <w:color w:val="auto"/>
              </w:rPr>
            </w:pPr>
            <w:r>
              <w:rPr>
                <w:rFonts w:ascii="Arial" w:cs="Arial" w:eastAsia="Arial" w:hAnsi="Arial"/>
                <w:sz w:val="14"/>
                <w:szCs w:val="14"/>
                <w:b w:val="1"/>
                <w:bCs w:val="1"/>
                <w:color w:val="auto"/>
              </w:rPr>
              <w:t>Yield</w:t>
            </w: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Real estate:</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40" w:type="dxa"/>
            <w:vAlign w:val="bottom"/>
          </w:tcPr>
          <w:p>
            <w:pPr>
              <w:ind w:left="180"/>
              <w:spacing w:after="0"/>
              <w:rPr>
                <w:sz w:val="20"/>
                <w:szCs w:val="20"/>
                <w:color w:val="auto"/>
              </w:rPr>
            </w:pPr>
            <w:r>
              <w:rPr>
                <w:rFonts w:ascii="Arial" w:cs="Arial" w:eastAsia="Arial" w:hAnsi="Arial"/>
                <w:sz w:val="14"/>
                <w:szCs w:val="14"/>
                <w:color w:val="auto"/>
              </w:rPr>
              <w:t>Residential</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88,084</w:t>
            </w:r>
          </w:p>
        </w:tc>
        <w:tc>
          <w:tcPr>
            <w:tcW w:w="3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5.40 %</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154,174</w:t>
            </w:r>
          </w:p>
        </w:tc>
        <w:tc>
          <w:tcPr>
            <w:tcW w:w="3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4.79 %</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98,498</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4.15 %</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79,486</w:t>
            </w:r>
          </w:p>
        </w:tc>
        <w:tc>
          <w:tcPr>
            <w:tcW w:w="900" w:type="dxa"/>
            <w:vAlign w:val="bottom"/>
          </w:tcPr>
          <w:p>
            <w:pPr>
              <w:jc w:val="right"/>
              <w:spacing w:after="0"/>
              <w:rPr>
                <w:sz w:val="20"/>
                <w:szCs w:val="20"/>
                <w:color w:val="auto"/>
              </w:rPr>
            </w:pPr>
            <w:r>
              <w:rPr>
                <w:rFonts w:ascii="Arial" w:cs="Arial" w:eastAsia="Arial" w:hAnsi="Arial"/>
                <w:sz w:val="14"/>
                <w:szCs w:val="14"/>
                <w:color w:val="auto"/>
              </w:rPr>
              <w:t>4.11 %</w:t>
            </w:r>
          </w:p>
        </w:tc>
        <w:tc>
          <w:tcPr>
            <w:tcW w:w="100" w:type="dxa"/>
            <w:vAlign w:val="bottom"/>
          </w:tcPr>
          <w:p>
            <w:pPr>
              <w:spacing w:after="0"/>
              <w:rPr>
                <w:sz w:val="16"/>
                <w:szCs w:val="16"/>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420,2</w:t>
            </w:r>
          </w:p>
        </w:tc>
        <w:tc>
          <w:tcPr>
            <w:tcW w:w="0" w:type="dxa"/>
            <w:vAlign w:val="bottom"/>
          </w:tcPr>
          <w:p>
            <w:pPr>
              <w:spacing w:after="0"/>
              <w:rPr>
                <w:sz w:val="1"/>
                <w:szCs w:val="1"/>
                <w:color w:val="auto"/>
              </w:rPr>
            </w:pPr>
          </w:p>
        </w:tc>
      </w:tr>
      <w:tr>
        <w:trPr>
          <w:trHeight w:val="203"/>
        </w:trPr>
        <w:tc>
          <w:tcPr>
            <w:tcW w:w="2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Commercial</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97,891</w:t>
            </w: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5.18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229,523</w:t>
            </w:r>
          </w:p>
        </w:tc>
        <w:tc>
          <w:tcPr>
            <w:tcW w:w="36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4.53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233,694</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4.13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3,617</w:t>
            </w:r>
          </w:p>
        </w:tc>
        <w:tc>
          <w:tcPr>
            <w:tcW w:w="9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3.47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564,7</w:t>
            </w:r>
          </w:p>
        </w:tc>
        <w:tc>
          <w:tcPr>
            <w:tcW w:w="0" w:type="dxa"/>
            <w:vAlign w:val="bottom"/>
          </w:tcPr>
          <w:p>
            <w:pPr>
              <w:spacing w:after="0"/>
              <w:rPr>
                <w:sz w:val="1"/>
                <w:szCs w:val="1"/>
                <w:color w:val="auto"/>
              </w:rPr>
            </w:pPr>
          </w:p>
        </w:tc>
      </w:tr>
      <w:tr>
        <w:trPr>
          <w:trHeight w:val="194"/>
        </w:trPr>
        <w:tc>
          <w:tcPr>
            <w:tcW w:w="2040" w:type="dxa"/>
            <w:vAlign w:val="bottom"/>
          </w:tcPr>
          <w:p>
            <w:pPr>
              <w:ind w:left="180"/>
              <w:spacing w:after="0"/>
              <w:rPr>
                <w:sz w:val="20"/>
                <w:szCs w:val="20"/>
                <w:color w:val="auto"/>
              </w:rPr>
            </w:pPr>
            <w:r>
              <w:rPr>
                <w:rFonts w:ascii="Arial" w:cs="Arial" w:eastAsia="Arial" w:hAnsi="Arial"/>
                <w:sz w:val="14"/>
                <w:szCs w:val="14"/>
                <w:color w:val="auto"/>
              </w:rPr>
              <w:t>Construction</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233,268</w:t>
            </w:r>
          </w:p>
        </w:tc>
        <w:tc>
          <w:tcPr>
            <w:tcW w:w="340" w:type="dxa"/>
            <w:vAlign w:val="bottom"/>
          </w:tcPr>
          <w:p>
            <w:pPr>
              <w:spacing w:after="0"/>
              <w:rPr>
                <w:sz w:val="16"/>
                <w:szCs w:val="16"/>
                <w:color w:val="auto"/>
              </w:rPr>
            </w:pPr>
          </w:p>
        </w:tc>
        <w:tc>
          <w:tcPr>
            <w:tcW w:w="660" w:type="dxa"/>
            <w:vAlign w:val="bottom"/>
          </w:tcPr>
          <w:p>
            <w:pPr>
              <w:jc w:val="right"/>
              <w:ind w:right="129"/>
              <w:spacing w:after="0"/>
              <w:rPr>
                <w:sz w:val="20"/>
                <w:szCs w:val="20"/>
                <w:color w:val="auto"/>
              </w:rPr>
            </w:pPr>
            <w:r>
              <w:rPr>
                <w:rFonts w:ascii="Arial" w:cs="Arial" w:eastAsia="Arial" w:hAnsi="Arial"/>
                <w:sz w:val="14"/>
                <w:szCs w:val="14"/>
                <w:color w:val="auto"/>
              </w:rPr>
              <w:t>5.76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12,454</w:t>
            </w:r>
          </w:p>
        </w:tc>
        <w:tc>
          <w:tcPr>
            <w:tcW w:w="360" w:type="dxa"/>
            <w:vAlign w:val="bottom"/>
          </w:tcPr>
          <w:p>
            <w:pPr>
              <w:spacing w:after="0"/>
              <w:rPr>
                <w:sz w:val="16"/>
                <w:szCs w:val="16"/>
                <w:color w:val="auto"/>
              </w:rPr>
            </w:pPr>
          </w:p>
        </w:tc>
        <w:tc>
          <w:tcPr>
            <w:tcW w:w="580" w:type="dxa"/>
            <w:vAlign w:val="bottom"/>
          </w:tcPr>
          <w:p>
            <w:pPr>
              <w:jc w:val="right"/>
              <w:ind w:right="109"/>
              <w:spacing w:after="0"/>
              <w:rPr>
                <w:sz w:val="20"/>
                <w:szCs w:val="20"/>
                <w:color w:val="auto"/>
              </w:rPr>
            </w:pPr>
            <w:r>
              <w:rPr>
                <w:rFonts w:ascii="Arial" w:cs="Arial" w:eastAsia="Arial" w:hAnsi="Arial"/>
                <w:sz w:val="14"/>
                <w:szCs w:val="14"/>
                <w:color w:val="auto"/>
              </w:rPr>
              <w:t>5.84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245,7</w:t>
            </w:r>
          </w:p>
        </w:tc>
        <w:tc>
          <w:tcPr>
            <w:tcW w:w="0" w:type="dxa"/>
            <w:vAlign w:val="bottom"/>
          </w:tcPr>
          <w:p>
            <w:pPr>
              <w:spacing w:after="0"/>
              <w:rPr>
                <w:sz w:val="1"/>
                <w:szCs w:val="1"/>
                <w:color w:val="auto"/>
              </w:rPr>
            </w:pPr>
          </w:p>
        </w:tc>
      </w:tr>
      <w:tr>
        <w:trPr>
          <w:trHeight w:val="203"/>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Commercial</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70,920</w:t>
            </w: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5.25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53,389</w:t>
            </w:r>
          </w:p>
        </w:tc>
        <w:tc>
          <w:tcPr>
            <w:tcW w:w="36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4.55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48,570</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5.42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4,625</w:t>
            </w:r>
          </w:p>
        </w:tc>
        <w:tc>
          <w:tcPr>
            <w:tcW w:w="9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4.55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177,5</w:t>
            </w:r>
          </w:p>
        </w:tc>
        <w:tc>
          <w:tcPr>
            <w:tcW w:w="0" w:type="dxa"/>
            <w:vAlign w:val="bottom"/>
          </w:tcPr>
          <w:p>
            <w:pPr>
              <w:spacing w:after="0"/>
              <w:rPr>
                <w:sz w:val="1"/>
                <w:szCs w:val="1"/>
                <w:color w:val="auto"/>
              </w:rPr>
            </w:pPr>
          </w:p>
        </w:tc>
      </w:tr>
      <w:tr>
        <w:trPr>
          <w:trHeight w:val="194"/>
        </w:trPr>
        <w:tc>
          <w:tcPr>
            <w:tcW w:w="2040" w:type="dxa"/>
            <w:vAlign w:val="bottom"/>
          </w:tcPr>
          <w:p>
            <w:pPr>
              <w:ind w:left="20"/>
              <w:spacing w:after="0"/>
              <w:rPr>
                <w:sz w:val="20"/>
                <w:szCs w:val="20"/>
                <w:color w:val="auto"/>
              </w:rPr>
            </w:pPr>
            <w:r>
              <w:rPr>
                <w:rFonts w:ascii="Arial" w:cs="Arial" w:eastAsia="Arial" w:hAnsi="Arial"/>
                <w:sz w:val="14"/>
                <w:szCs w:val="14"/>
                <w:color w:val="auto"/>
              </w:rPr>
              <w:t>Credit card</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123,750</w:t>
            </w:r>
          </w:p>
        </w:tc>
        <w:tc>
          <w:tcPr>
            <w:tcW w:w="340" w:type="dxa"/>
            <w:vAlign w:val="bottom"/>
          </w:tcPr>
          <w:p>
            <w:pPr>
              <w:spacing w:after="0"/>
              <w:rPr>
                <w:sz w:val="16"/>
                <w:szCs w:val="16"/>
                <w:color w:val="auto"/>
              </w:rPr>
            </w:pPr>
          </w:p>
        </w:tc>
        <w:tc>
          <w:tcPr>
            <w:tcW w:w="660" w:type="dxa"/>
            <w:vAlign w:val="bottom"/>
          </w:tcPr>
          <w:p>
            <w:pPr>
              <w:jc w:val="right"/>
              <w:ind w:right="129"/>
              <w:spacing w:after="0"/>
              <w:rPr>
                <w:sz w:val="20"/>
                <w:szCs w:val="20"/>
                <w:color w:val="auto"/>
              </w:rPr>
            </w:pPr>
            <w:r>
              <w:rPr>
                <w:rFonts w:ascii="Arial" w:cs="Arial" w:eastAsia="Arial" w:hAnsi="Arial"/>
                <w:sz w:val="14"/>
                <w:szCs w:val="14"/>
                <w:color w:val="auto"/>
              </w:rPr>
              <w:t>47.03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123,7</w:t>
            </w:r>
          </w:p>
        </w:tc>
        <w:tc>
          <w:tcPr>
            <w:tcW w:w="0" w:type="dxa"/>
            <w:vAlign w:val="bottom"/>
          </w:tcPr>
          <w:p>
            <w:pPr>
              <w:spacing w:after="0"/>
              <w:rPr>
                <w:sz w:val="1"/>
                <w:szCs w:val="1"/>
                <w:color w:val="auto"/>
              </w:rPr>
            </w:pPr>
          </w:p>
        </w:tc>
      </w:tr>
      <w:tr>
        <w:trPr>
          <w:trHeight w:val="199"/>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consumer</w:t>
            </w: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257</w:t>
            </w: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3.95</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231</w:t>
            </w:r>
          </w:p>
        </w:tc>
        <w:tc>
          <w:tcPr>
            <w:tcW w:w="36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4.72</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421</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4.89</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96"/>
        </w:trPr>
        <w:tc>
          <w:tcPr>
            <w:tcW w:w="2040" w:type="dxa"/>
            <w:vAlign w:val="bottom"/>
          </w:tcPr>
          <w:p>
            <w:pPr>
              <w:ind w:left="180"/>
              <w:spacing w:after="0"/>
              <w:rPr>
                <w:sz w:val="20"/>
                <w:szCs w:val="20"/>
                <w:color w:val="auto"/>
              </w:rPr>
            </w:pPr>
            <w:r>
              <w:rPr>
                <w:rFonts w:ascii="Arial" w:cs="Arial" w:eastAsia="Arial" w:hAnsi="Arial"/>
                <w:sz w:val="14"/>
                <w:szCs w:val="14"/>
                <w:color w:val="auto"/>
              </w:rPr>
              <w:t>Total portfolio loans, gross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614,170</w:t>
            </w:r>
          </w:p>
        </w:tc>
        <w:tc>
          <w:tcPr>
            <w:tcW w:w="3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13.87 %</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449,771</w:t>
            </w:r>
          </w:p>
        </w:tc>
        <w:tc>
          <w:tcPr>
            <w:tcW w:w="3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4.66 %</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381,183</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4.30 %</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87,728</w:t>
            </w:r>
          </w:p>
        </w:tc>
        <w:tc>
          <w:tcPr>
            <w:tcW w:w="900" w:type="dxa"/>
            <w:vAlign w:val="bottom"/>
          </w:tcPr>
          <w:p>
            <w:pPr>
              <w:jc w:val="right"/>
              <w:spacing w:after="0"/>
              <w:rPr>
                <w:sz w:val="20"/>
                <w:szCs w:val="20"/>
                <w:color w:val="auto"/>
              </w:rPr>
            </w:pPr>
            <w:r>
              <w:rPr>
                <w:rFonts w:ascii="Arial" w:cs="Arial" w:eastAsia="Arial" w:hAnsi="Arial"/>
                <w:sz w:val="14"/>
                <w:szCs w:val="14"/>
                <w:color w:val="auto"/>
              </w:rPr>
              <w:t>4.11 %</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1,532,8</w:t>
            </w:r>
          </w:p>
        </w:tc>
        <w:tc>
          <w:tcPr>
            <w:tcW w:w="0" w:type="dxa"/>
            <w:vAlign w:val="bottom"/>
          </w:tcPr>
          <w:p>
            <w:pPr>
              <w:spacing w:after="0"/>
              <w:rPr>
                <w:sz w:val="1"/>
                <w:szCs w:val="1"/>
                <w:color w:val="auto"/>
              </w:rPr>
            </w:pPr>
          </w:p>
        </w:tc>
      </w:tr>
      <w:tr>
        <w:trPr>
          <w:trHeight w:val="20"/>
        </w:trPr>
        <w:tc>
          <w:tcPr>
            <w:tcW w:w="20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0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5380" w:type="dxa"/>
            <w:vAlign w:val="bottom"/>
            <w:gridSpan w:val="9"/>
          </w:tcPr>
          <w:p>
            <w:pPr>
              <w:ind w:left="20"/>
              <w:spacing w:after="0"/>
              <w:rPr>
                <w:sz w:val="20"/>
                <w:szCs w:val="20"/>
                <w:color w:val="auto"/>
              </w:rPr>
            </w:pPr>
            <w:r>
              <w:rPr>
                <w:rFonts w:ascii="Arial" w:cs="Arial" w:eastAsia="Arial" w:hAnsi="Arial"/>
                <w:sz w:val="14"/>
                <w:szCs w:val="14"/>
                <w:color w:val="auto"/>
              </w:rPr>
              <w:t>Loans above maturing after one year categorized by rate characteristic:</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gridSpan w:val="5"/>
          </w:tcPr>
          <w:p>
            <w:pPr>
              <w:jc w:val="center"/>
              <w:ind w:right="120"/>
              <w:spacing w:after="0"/>
              <w:rPr>
                <w:sz w:val="20"/>
                <w:szCs w:val="20"/>
                <w:color w:val="auto"/>
              </w:rPr>
            </w:pPr>
            <w:r>
              <w:rPr>
                <w:rFonts w:ascii="Arial" w:cs="Arial" w:eastAsia="Arial" w:hAnsi="Arial"/>
                <w:sz w:val="14"/>
                <w:szCs w:val="14"/>
                <w:color w:val="auto"/>
              </w:rPr>
              <w:t>Predetermined Interest Rates</w:t>
            </w:r>
          </w:p>
        </w:tc>
        <w:tc>
          <w:tcPr>
            <w:tcW w:w="100" w:type="dxa"/>
            <w:vAlign w:val="bottom"/>
          </w:tcPr>
          <w:p>
            <w:pPr>
              <w:spacing w:after="0"/>
              <w:rPr>
                <w:sz w:val="16"/>
                <w:szCs w:val="16"/>
                <w:color w:val="auto"/>
              </w:rPr>
            </w:pPr>
          </w:p>
        </w:tc>
        <w:tc>
          <w:tcPr>
            <w:tcW w:w="1840" w:type="dxa"/>
            <w:vAlign w:val="bottom"/>
            <w:gridSpan w:val="3"/>
          </w:tcPr>
          <w:p>
            <w:pPr>
              <w:jc w:val="center"/>
              <w:ind w:right="200"/>
              <w:spacing w:after="0"/>
              <w:rPr>
                <w:sz w:val="20"/>
                <w:szCs w:val="20"/>
                <w:color w:val="auto"/>
              </w:rPr>
            </w:pPr>
            <w:r>
              <w:rPr>
                <w:rFonts w:ascii="Arial" w:cs="Arial" w:eastAsia="Arial" w:hAnsi="Arial"/>
                <w:sz w:val="14"/>
                <w:szCs w:val="14"/>
                <w:color w:val="auto"/>
              </w:rPr>
              <w:t>Floating or Variable Rates</w:t>
            </w:r>
          </w:p>
        </w:tc>
        <w:tc>
          <w:tcPr>
            <w:tcW w:w="240" w:type="dxa"/>
            <w:vAlign w:val="bottom"/>
          </w:tcPr>
          <w:p>
            <w:pPr>
              <w:spacing w:after="0"/>
              <w:rPr>
                <w:sz w:val="16"/>
                <w:szCs w:val="16"/>
                <w:color w:val="auto"/>
              </w:rPr>
            </w:pPr>
          </w:p>
        </w:tc>
        <w:tc>
          <w:tcPr>
            <w:tcW w:w="700" w:type="dxa"/>
            <w:vAlign w:val="bottom"/>
          </w:tcPr>
          <w:p>
            <w:pPr>
              <w:jc w:val="right"/>
              <w:ind w:right="149"/>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3"/>
        </w:trPr>
        <w:tc>
          <w:tcPr>
            <w:tcW w:w="2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Real estate:</w:t>
            </w:r>
          </w:p>
        </w:tc>
        <w:tc>
          <w:tcPr>
            <w:tcW w:w="16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40" w:type="dxa"/>
            <w:vAlign w:val="bottom"/>
          </w:tcPr>
          <w:p>
            <w:pPr>
              <w:ind w:left="180"/>
              <w:spacing w:after="0"/>
              <w:rPr>
                <w:sz w:val="20"/>
                <w:szCs w:val="20"/>
                <w:color w:val="auto"/>
              </w:rPr>
            </w:pPr>
            <w:r>
              <w:rPr>
                <w:rFonts w:ascii="Arial" w:cs="Arial" w:eastAsia="Arial" w:hAnsi="Arial"/>
                <w:sz w:val="14"/>
                <w:szCs w:val="14"/>
                <w:color w:val="auto"/>
              </w:rPr>
              <w:t>Residential</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109"/>
              <w:spacing w:after="0"/>
              <w:rPr>
                <w:sz w:val="20"/>
                <w:szCs w:val="20"/>
                <w:color w:val="auto"/>
              </w:rPr>
            </w:pPr>
            <w:r>
              <w:rPr>
                <w:rFonts w:ascii="Arial" w:cs="Arial" w:eastAsia="Arial" w:hAnsi="Arial"/>
                <w:sz w:val="14"/>
                <w:szCs w:val="14"/>
                <w:color w:val="auto"/>
              </w:rPr>
              <w:t>160,352</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6"/>
                <w:szCs w:val="16"/>
                <w:color w:val="auto"/>
              </w:rPr>
            </w:pPr>
          </w:p>
        </w:tc>
        <w:tc>
          <w:tcPr>
            <w:tcW w:w="900" w:type="dxa"/>
            <w:vAlign w:val="bottom"/>
          </w:tcPr>
          <w:p>
            <w:pPr>
              <w:jc w:val="right"/>
              <w:ind w:right="109"/>
              <w:spacing w:after="0"/>
              <w:rPr>
                <w:sz w:val="20"/>
                <w:szCs w:val="20"/>
                <w:color w:val="auto"/>
              </w:rPr>
            </w:pPr>
            <w:r>
              <w:rPr>
                <w:rFonts w:ascii="Arial" w:cs="Arial" w:eastAsia="Arial" w:hAnsi="Arial"/>
                <w:sz w:val="14"/>
                <w:szCs w:val="14"/>
                <w:color w:val="auto"/>
              </w:rPr>
              <w:t>171,806</w:t>
            </w:r>
          </w:p>
        </w:tc>
        <w:tc>
          <w:tcPr>
            <w:tcW w:w="100" w:type="dxa"/>
            <w:vAlign w:val="bottom"/>
          </w:tcPr>
          <w:p>
            <w:pPr>
              <w:spacing w:after="0"/>
              <w:rPr>
                <w:sz w:val="16"/>
                <w:szCs w:val="16"/>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332,1</w:t>
            </w:r>
          </w:p>
        </w:tc>
        <w:tc>
          <w:tcPr>
            <w:tcW w:w="0" w:type="dxa"/>
            <w:vAlign w:val="bottom"/>
          </w:tcPr>
          <w:p>
            <w:pPr>
              <w:spacing w:after="0"/>
              <w:rPr>
                <w:sz w:val="1"/>
                <w:szCs w:val="1"/>
                <w:color w:val="auto"/>
              </w:rPr>
            </w:pPr>
          </w:p>
        </w:tc>
      </w:tr>
      <w:tr>
        <w:trPr>
          <w:trHeight w:val="203"/>
        </w:trPr>
        <w:tc>
          <w:tcPr>
            <w:tcW w:w="2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Commercial</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322,351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144,483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466,8</w:t>
            </w:r>
          </w:p>
        </w:tc>
        <w:tc>
          <w:tcPr>
            <w:tcW w:w="0" w:type="dxa"/>
            <w:vAlign w:val="bottom"/>
          </w:tcPr>
          <w:p>
            <w:pPr>
              <w:spacing w:after="0"/>
              <w:rPr>
                <w:sz w:val="1"/>
                <w:szCs w:val="1"/>
                <w:color w:val="auto"/>
              </w:rPr>
            </w:pPr>
          </w:p>
        </w:tc>
      </w:tr>
      <w:tr>
        <w:trPr>
          <w:trHeight w:val="194"/>
        </w:trPr>
        <w:tc>
          <w:tcPr>
            <w:tcW w:w="2040" w:type="dxa"/>
            <w:vAlign w:val="bottom"/>
          </w:tcPr>
          <w:p>
            <w:pPr>
              <w:ind w:left="180"/>
              <w:spacing w:after="0"/>
              <w:rPr>
                <w:sz w:val="20"/>
                <w:szCs w:val="20"/>
                <w:color w:val="auto"/>
              </w:rPr>
            </w:pPr>
            <w:r>
              <w:rPr>
                <w:rFonts w:ascii="Arial" w:cs="Arial" w:eastAsia="Arial" w:hAnsi="Arial"/>
                <w:sz w:val="14"/>
                <w:szCs w:val="14"/>
                <w:color w:val="auto"/>
              </w:rPr>
              <w:t>Construction</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109"/>
              <w:spacing w:after="0"/>
              <w:rPr>
                <w:sz w:val="20"/>
                <w:szCs w:val="20"/>
                <w:color w:val="auto"/>
              </w:rPr>
            </w:pPr>
            <w:r>
              <w:rPr>
                <w:rFonts w:ascii="Arial" w:cs="Arial" w:eastAsia="Arial" w:hAnsi="Arial"/>
                <w:sz w:val="14"/>
                <w:szCs w:val="14"/>
                <w:color w:val="auto"/>
              </w:rPr>
              <w:t>922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00" w:type="dxa"/>
            <w:vAlign w:val="bottom"/>
          </w:tcPr>
          <w:p>
            <w:pPr>
              <w:jc w:val="right"/>
              <w:ind w:right="109"/>
              <w:spacing w:after="0"/>
              <w:rPr>
                <w:sz w:val="20"/>
                <w:szCs w:val="20"/>
                <w:color w:val="auto"/>
              </w:rPr>
            </w:pPr>
            <w:r>
              <w:rPr>
                <w:rFonts w:ascii="Arial" w:cs="Arial" w:eastAsia="Arial" w:hAnsi="Arial"/>
                <w:sz w:val="14"/>
                <w:szCs w:val="14"/>
                <w:color w:val="auto"/>
              </w:rPr>
              <w:t>11,532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203"/>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Commercial</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68,090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38,494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106,5</w:t>
            </w:r>
          </w:p>
        </w:tc>
        <w:tc>
          <w:tcPr>
            <w:tcW w:w="0" w:type="dxa"/>
            <w:vAlign w:val="bottom"/>
          </w:tcPr>
          <w:p>
            <w:pPr>
              <w:spacing w:after="0"/>
              <w:rPr>
                <w:sz w:val="1"/>
                <w:szCs w:val="1"/>
                <w:color w:val="auto"/>
              </w:rPr>
            </w:pPr>
          </w:p>
        </w:tc>
      </w:tr>
      <w:tr>
        <w:trPr>
          <w:trHeight w:val="194"/>
        </w:trPr>
        <w:tc>
          <w:tcPr>
            <w:tcW w:w="2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consumer</w:t>
            </w:r>
          </w:p>
        </w:tc>
        <w:tc>
          <w:tcPr>
            <w:tcW w:w="16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6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5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632</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20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22"/>
        </w:trPr>
        <w:tc>
          <w:tcPr>
            <w:tcW w:w="2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portfolio loans, gross</w:t>
            </w:r>
          </w:p>
        </w:tc>
        <w:tc>
          <w:tcPr>
            <w:tcW w:w="1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552,347</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366,335</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918,6</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jc w:val="both"/>
        <w:ind w:right="100" w:firstLine="318"/>
        <w:spacing w:after="0" w:line="274" w:lineRule="auto"/>
        <w:rPr>
          <w:sz w:val="20"/>
          <w:szCs w:val="20"/>
          <w:color w:val="auto"/>
        </w:rPr>
      </w:pPr>
      <w:r>
        <w:rPr>
          <w:rFonts w:ascii="Arial" w:cs="Arial" w:eastAsia="Arial" w:hAnsi="Arial"/>
          <w:sz w:val="18"/>
          <w:szCs w:val="18"/>
          <w:color w:val="auto"/>
        </w:rPr>
        <w:t>In addition to the portfolio loans shown above, SBA-PPP loans receivable, which totaled $51.1 million at March 31, 2022, mature in the 1-5 year time-frame and carry a fixed rate of interest.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Nonperforming Assets</w:t>
      </w:r>
    </w:p>
    <w:p>
      <w:pPr>
        <w:spacing w:after="0" w:line="217" w:lineRule="exact"/>
        <w:rPr>
          <w:sz w:val="20"/>
          <w:szCs w:val="20"/>
          <w:color w:val="auto"/>
        </w:rPr>
      </w:pPr>
    </w:p>
    <w:p>
      <w:pPr>
        <w:jc w:val="both"/>
        <w:ind w:right="100" w:firstLine="318"/>
        <w:spacing w:after="0" w:line="248" w:lineRule="auto"/>
        <w:rPr>
          <w:sz w:val="20"/>
          <w:szCs w:val="20"/>
          <w:color w:val="auto"/>
        </w:rPr>
      </w:pPr>
      <w:r>
        <w:rPr>
          <w:rFonts w:ascii="Arial" w:cs="Arial" w:eastAsia="Arial" w:hAnsi="Arial"/>
          <w:sz w:val="18"/>
          <w:szCs w:val="18"/>
          <w:color w:val="auto"/>
        </w:rPr>
        <w:t>Loans are considered past due if the required principal and interest payments have not been received as of the date such payments were due. Loans are placed on nonaccrual status when, in management’s opinion, the borrower may be unable to meet payment obligations as they become due, as well as when required by regulatory provisions. Loans may be placed on nonaccrual status regardless of whether or not such loans are considered past due. In general, we place loans on nonaccrual status when they become 90 days past due. We also place loans on nonaccrual status if they are less than 90 days past due if the collection of principal or interest is in doubt. When interest accrual is discontinued, all unpaid accrued interest is reversed from income. Interest income is subsequently recognized only to the extent cash payments are received in excess of principal due. Loans are returned to accrual status when all the principal and interest amounts contractually due are brought current and future payments are, in management’s opinion, reasonably assured. Any loan which the Bank deems to be uncollectible, in whole or in part, is charged off to the extent of the anticipated loss. Consumer credit card balances are moved into the charge off queue after they become more than 90 days past due and are charged off not later than 120 days after they become past due. Loans that are past due for 180 days or more are charged off unless the loan is well secured and in the process of collection.</w:t>
      </w:r>
    </w:p>
    <w:p>
      <w:pPr>
        <w:spacing w:after="0" w:line="191" w:lineRule="exact"/>
        <w:rPr>
          <w:sz w:val="20"/>
          <w:szCs w:val="20"/>
          <w:color w:val="auto"/>
        </w:rPr>
      </w:pPr>
    </w:p>
    <w:p>
      <w:pPr>
        <w:jc w:val="both"/>
        <w:ind w:right="100" w:firstLine="318"/>
        <w:spacing w:after="0" w:line="260" w:lineRule="auto"/>
        <w:rPr>
          <w:sz w:val="20"/>
          <w:szCs w:val="20"/>
          <w:color w:val="auto"/>
        </w:rPr>
      </w:pPr>
      <w:r>
        <w:rPr>
          <w:rFonts w:ascii="Arial" w:cs="Arial" w:eastAsia="Arial" w:hAnsi="Arial"/>
          <w:sz w:val="18"/>
          <w:szCs w:val="18"/>
          <w:color w:val="auto"/>
        </w:rPr>
        <w:t>The Company believes its disciplined lending approach and focused management of nonperforming assets has resulted in sound asset quality and timely resolution of problem assets. There are several procedures in place to assist the Company in maintaining the overall quality of our loan portfolio. The Company has established underwriting guidelines to be followed by our bankers, and monitor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262255</wp:posOffset>
            </wp:positionV>
            <wp:extent cx="716026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50" w:name="page51"/>
    <w:bookmarkEnd w:id="50"/>
    <w:p>
      <w:pPr>
        <w:spacing w:after="0" w:line="167"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delinquency levels for any negative or adverse trends. There can be no assurance, however, that our loan portfolio will not become subject to increasing pressures from deteriorating borrower credit.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Problem Loans</w:t>
      </w:r>
    </w:p>
    <w:p>
      <w:pPr>
        <w:spacing w:after="0" w:line="217"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From a credit risk standpoint, we grade watchlist and problem loans into one of five categories: pass/watch, special mention, substandard, doubtful or loss. The classifications of loans reflect a judgment about the risks of default and loss associated with the loan. Credits ratings are reviewed regularly. Ratings are adjusted regularly to reflect the degree of risk and loss that our management believes to be appropriate for each credit. Our methodology is structured so that specific reserve allocations are increased in accordance with deterioration in credit quality (and a corresponding increase in risk and loss) or decreased in accordance with improvement in credit quality (and a corresponding decrease in risk and loss). Our lending policy requires the routine monitoring of weekly past due reports, daily overdraft reports, monthly maturing loans, monthly risk rating reports and internal loan review reports. The lending and credit management of the Bank meet periodically to review loans rated pass/watch. The focus of each meeting is to identify and promptly determine any necessary required action with this loan population, which consists of loans that, although considered satisfactory and performing to terms, may exhibit special risk features that warrant management’s attention.</w:t>
      </w:r>
    </w:p>
    <w:p>
      <w:pPr>
        <w:spacing w:after="0" w:line="185"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8"/>
          <w:szCs w:val="18"/>
          <w:color w:val="auto"/>
        </w:rPr>
        <w:t>Loans that are deemed special mention, substandard, doubtful or loss are listed in the Bank’s Problem Loan Status Report. The Problem Loan Status Report provides a detailed summary of the borrower and guarantor status, loan accrual status, collateral evaluation and includes a description of the planned collection and administration program designed to mitigate the Bank’s risk of loss and remove the loan from problem status. The Special Asset Committee reviews the Problem Loan Status Report on a quarterly basis for borrowers with an overall loan exposure in excess of $250,000.</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Bank uses the following definitions for watch list risk ratings:</w:t>
      </w:r>
    </w:p>
    <w:p>
      <w:pPr>
        <w:spacing w:after="0" w:line="217" w:lineRule="exact"/>
        <w:rPr>
          <w:sz w:val="20"/>
          <w:szCs w:val="20"/>
          <w:color w:val="auto"/>
        </w:rPr>
      </w:pPr>
    </w:p>
    <w:p>
      <w:pPr>
        <w:ind w:firstLine="324"/>
        <w:spacing w:after="0" w:line="274" w:lineRule="auto"/>
        <w:tabs>
          <w:tab w:leader="none" w:pos="469"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Pass/Watch. </w:t>
      </w:r>
      <w:r>
        <w:rPr>
          <w:rFonts w:ascii="Arial" w:cs="Arial" w:eastAsia="Arial" w:hAnsi="Arial"/>
          <w:sz w:val="18"/>
          <w:szCs w:val="18"/>
          <w:color w:val="auto"/>
        </w:rPr>
        <w:t>Borrowers who are considered satisfactory and performing to terms, however exhibiting special risk features such as</w:t>
      </w:r>
      <w:r>
        <w:rPr>
          <w:rFonts w:ascii="Arial" w:cs="Arial" w:eastAsia="Arial" w:hAnsi="Arial"/>
          <w:sz w:val="18"/>
          <w:szCs w:val="18"/>
          <w:i w:val="1"/>
          <w:iCs w:val="1"/>
          <w:color w:val="auto"/>
        </w:rPr>
        <w:t xml:space="preserve"> </w:t>
      </w:r>
      <w:r>
        <w:rPr>
          <w:rFonts w:ascii="Arial" w:cs="Arial" w:eastAsia="Arial" w:hAnsi="Arial"/>
          <w:sz w:val="18"/>
          <w:szCs w:val="18"/>
          <w:color w:val="auto"/>
        </w:rPr>
        <w:t>declining earnings, strained cash flow, increasing leverage, and/or weakening fundamentals that indicate above average risk.</w:t>
      </w:r>
    </w:p>
    <w:p>
      <w:pPr>
        <w:spacing w:after="0" w:line="163" w:lineRule="exact"/>
        <w:rPr>
          <w:rFonts w:ascii="Arial" w:cs="Arial" w:eastAsia="Arial" w:hAnsi="Arial"/>
          <w:sz w:val="18"/>
          <w:szCs w:val="18"/>
          <w:color w:val="auto"/>
        </w:rPr>
      </w:pPr>
    </w:p>
    <w:p>
      <w:pPr>
        <w:ind w:firstLine="324"/>
        <w:spacing w:after="0" w:line="274" w:lineRule="auto"/>
        <w:tabs>
          <w:tab w:leader="none" w:pos="482"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Special Mention. </w:t>
      </w:r>
      <w:r>
        <w:rPr>
          <w:rFonts w:ascii="Arial" w:cs="Arial" w:eastAsia="Arial" w:hAnsi="Arial"/>
          <w:sz w:val="18"/>
          <w:szCs w:val="18"/>
          <w:color w:val="auto"/>
        </w:rPr>
        <w:t>A special mention loan has potential weaknesses deserving of management’s attention. If uncorrected, such</w:t>
      </w:r>
      <w:r>
        <w:rPr>
          <w:rFonts w:ascii="Arial" w:cs="Arial" w:eastAsia="Arial" w:hAnsi="Arial"/>
          <w:sz w:val="18"/>
          <w:szCs w:val="18"/>
          <w:i w:val="1"/>
          <w:iCs w:val="1"/>
          <w:color w:val="auto"/>
        </w:rPr>
        <w:t xml:space="preserve"> </w:t>
      </w:r>
      <w:r>
        <w:rPr>
          <w:rFonts w:ascii="Arial" w:cs="Arial" w:eastAsia="Arial" w:hAnsi="Arial"/>
          <w:sz w:val="18"/>
          <w:szCs w:val="18"/>
          <w:color w:val="auto"/>
        </w:rPr>
        <w:t>weaknesses may result in deterioration of the repayment prospects for the asset or in our credit position at some future date.</w:t>
      </w:r>
    </w:p>
    <w:p>
      <w:pPr>
        <w:spacing w:after="0" w:line="163" w:lineRule="exact"/>
        <w:rPr>
          <w:rFonts w:ascii="Arial" w:cs="Arial" w:eastAsia="Arial" w:hAnsi="Arial"/>
          <w:sz w:val="18"/>
          <w:szCs w:val="18"/>
          <w:color w:val="auto"/>
        </w:rPr>
      </w:pPr>
    </w:p>
    <w:p>
      <w:pPr>
        <w:jc w:val="both"/>
        <w:ind w:firstLine="324"/>
        <w:spacing w:after="0" w:line="255" w:lineRule="auto"/>
        <w:tabs>
          <w:tab w:leader="none" w:pos="429"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Substandard. </w:t>
      </w:r>
      <w:r>
        <w:rPr>
          <w:rFonts w:ascii="Arial" w:cs="Arial" w:eastAsia="Arial" w:hAnsi="Arial"/>
          <w:sz w:val="18"/>
          <w:szCs w:val="18"/>
          <w:color w:val="auto"/>
        </w:rPr>
        <w:t>A substandard loan is inadequately protected by the current financial condition and paying capacity of the obligor or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collateral pledged, if any. Assets so classified have a well-defined weakness or weaknesses that jeopardize the liquidation of the debt. They are characterized by the distinct possibility that we will sustain some loss if deficiencies are not corrected. Loss potential, while existing in the aggregate amount of substandard assets, does not have to exist in individual assets that are classified as substandard.</w:t>
      </w:r>
    </w:p>
    <w:p>
      <w:pPr>
        <w:spacing w:after="0" w:line="180" w:lineRule="exact"/>
        <w:rPr>
          <w:rFonts w:ascii="Arial" w:cs="Arial" w:eastAsia="Arial" w:hAnsi="Arial"/>
          <w:sz w:val="18"/>
          <w:szCs w:val="18"/>
          <w:color w:val="auto"/>
        </w:rPr>
      </w:pPr>
    </w:p>
    <w:p>
      <w:pPr>
        <w:jc w:val="both"/>
        <w:ind w:firstLine="324"/>
        <w:spacing w:after="0" w:line="251" w:lineRule="auto"/>
        <w:tabs>
          <w:tab w:leader="none" w:pos="442"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Doubtful. </w:t>
      </w:r>
      <w:r>
        <w:rPr>
          <w:rFonts w:ascii="Arial" w:cs="Arial" w:eastAsia="Arial" w:hAnsi="Arial"/>
          <w:sz w:val="18"/>
          <w:szCs w:val="18"/>
          <w:color w:val="auto"/>
        </w:rPr>
        <w:t>A doubtful loan has all weaknesses inherent in one classified as substandard, with the added characteristic that weaknesses</w:t>
      </w:r>
      <w:r>
        <w:rPr>
          <w:rFonts w:ascii="Arial" w:cs="Arial" w:eastAsia="Arial" w:hAnsi="Arial"/>
          <w:sz w:val="18"/>
          <w:szCs w:val="18"/>
          <w:i w:val="1"/>
          <w:iCs w:val="1"/>
          <w:color w:val="auto"/>
        </w:rPr>
        <w:t xml:space="preserve"> </w:t>
      </w:r>
      <w:r>
        <w:rPr>
          <w:rFonts w:ascii="Arial" w:cs="Arial" w:eastAsia="Arial" w:hAnsi="Arial"/>
          <w:sz w:val="18"/>
          <w:szCs w:val="18"/>
          <w:color w:val="auto"/>
        </w:rPr>
        <w:t>make collection or liquidation in full, on the basis of existing facts, conditions, and values, highly questionable and improbable. The probability of loss is extremely high, but certain important and reasonably specific factors that may work to the advantage and strengthening of the asset exist. Therefore, its classification as an estimated loss is deferred until a more precise status may be determined by management. Pending factors include proposed merger, acquisition or liquidation procedures, capital injection, perfecting liens on additional collateral and refinancing plans.</w:t>
      </w:r>
    </w:p>
    <w:p>
      <w:pPr>
        <w:spacing w:after="0" w:line="185" w:lineRule="exact"/>
        <w:rPr>
          <w:rFonts w:ascii="Arial" w:cs="Arial" w:eastAsia="Arial" w:hAnsi="Arial"/>
          <w:sz w:val="18"/>
          <w:szCs w:val="18"/>
          <w:i w:val="1"/>
          <w:iCs w:val="1"/>
          <w:color w:val="auto"/>
        </w:rPr>
      </w:pPr>
    </w:p>
    <w:p>
      <w:pPr>
        <w:ind w:left="440" w:hanging="116"/>
        <w:spacing w:after="0"/>
        <w:tabs>
          <w:tab w:leader="none" w:pos="44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Loss. </w:t>
      </w:r>
      <w:r>
        <w:rPr>
          <w:rFonts w:ascii="Arial" w:cs="Arial" w:eastAsia="Arial" w:hAnsi="Arial"/>
          <w:sz w:val="18"/>
          <w:szCs w:val="18"/>
          <w:color w:val="auto"/>
        </w:rPr>
        <w:t>Credits rated as loss are charged-off. We have no expectation of the recovery of any payments in respect of credits rated as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262255</wp:posOffset>
            </wp:positionV>
            <wp:extent cx="716026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16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Loans not meeting the criteria above are considered to be pass-rated loans. No assets were classified as loss during the periods presented.</w:t>
      </w:r>
    </w:p>
    <w:p>
      <w:pPr>
        <w:spacing w:after="0" w:line="229" w:lineRule="exact"/>
        <w:rPr>
          <w:sz w:val="20"/>
          <w:szCs w:val="20"/>
          <w:color w:val="auto"/>
        </w:rPr>
      </w:pPr>
    </w:p>
    <w:p>
      <w:pPr>
        <w:jc w:val="both"/>
        <w:ind w:firstLine="318"/>
        <w:spacing w:after="0" w:line="275" w:lineRule="auto"/>
        <w:rPr>
          <w:sz w:val="20"/>
          <w:szCs w:val="20"/>
          <w:color w:val="auto"/>
        </w:rPr>
      </w:pPr>
      <w:r>
        <w:rPr>
          <w:rFonts w:ascii="Arial" w:cs="Arial" w:eastAsia="Arial" w:hAnsi="Arial"/>
          <w:sz w:val="17"/>
          <w:szCs w:val="17"/>
          <w:color w:val="auto"/>
        </w:rPr>
        <w:t>At March 31, 2022, the recorded investment in impaired loans was $5.6 million, $321 thousand of which required a specific reserve of $204 thousand compared to a recorded investment in impaired loans of $11.3 million including $336 thousand requiring a specific reserve of $218 thousand at December 31, 2021. Of the $5.6 million of impaired loans, $1.4 million was related to one construction loan relationship believed to be well-collateralized and $2.0 million was related to one home equity line of credit loan relationship believed to be well-collateralized.</w:t>
      </w:r>
    </w:p>
    <w:p>
      <w:pPr>
        <w:spacing w:after="0" w:line="164"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Impaired loans also include certain loans that have been modified as troubled debt restructurings (“TDRs”). At March 31, 2022, the Company had five loans amounting to $525 thousand that were considered to be TDRs, compared to five loans amounting to $533 thousand at December 31, 2021.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Loan Losses</w:t>
      </w:r>
    </w:p>
    <w:p>
      <w:pPr>
        <w:spacing w:after="0" w:line="21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maintain an allowance for loan losses that represents management’s best estimate of the loan losses and risks inherent in our loan portfolio. The amount of the allowance for loan losses should not be interpreted as an indication that charge-offs in future periods will necessarily occur in those amounts, or at all. In determining the allowance for loan losses, we estimate losses on specific loans, or groups of loans, where the probable loss can be identified and reasonably determined. The balance of the allowance for loan losses is based on internally assigned risk classifications of loans, historical loan loss rates, changes in the nature of our loan portfolio, overall portfolio quality, industry concentrations, delinquency trends, current economic factors and the estimated impact of current economic conditions on certain historical loan loss rates.</w:t>
      </w:r>
    </w:p>
    <w:p>
      <w:pPr>
        <w:spacing w:after="0" w:line="18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key ratios for the allowance for loan losses and nonaccrual loans for the periods indicated: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3"/>
                <w:szCs w:val="13"/>
                <w:color w:val="auto"/>
              </w:rPr>
            </w:pPr>
          </w:p>
        </w:tc>
        <w:tc>
          <w:tcPr>
            <w:tcW w:w="2900" w:type="dxa"/>
            <w:vAlign w:val="bottom"/>
            <w:gridSpan w:val="4"/>
          </w:tcPr>
          <w:p>
            <w:pPr>
              <w:ind w:left="180"/>
              <w:spacing w:after="0"/>
              <w:rPr>
                <w:sz w:val="20"/>
                <w:szCs w:val="20"/>
                <w:color w:val="auto"/>
              </w:rPr>
            </w:pPr>
            <w:r>
              <w:rPr>
                <w:rFonts w:ascii="Arial" w:cs="Arial" w:eastAsia="Arial" w:hAnsi="Arial"/>
                <w:sz w:val="14"/>
                <w:szCs w:val="14"/>
                <w:color w:val="auto"/>
              </w:rPr>
              <w:t>Allowance for loan losses to period end</w:t>
            </w:r>
          </w:p>
        </w:tc>
        <w:tc>
          <w:tcPr>
            <w:tcW w:w="2800" w:type="dxa"/>
            <w:vAlign w:val="bottom"/>
            <w:gridSpan w:val="3"/>
            <w:vMerge w:val="restart"/>
          </w:tcPr>
          <w:p>
            <w:pPr>
              <w:jc w:val="right"/>
              <w:ind w:right="89"/>
              <w:spacing w:after="0"/>
              <w:rPr>
                <w:sz w:val="20"/>
                <w:szCs w:val="20"/>
                <w:color w:val="auto"/>
              </w:rPr>
            </w:pPr>
            <w:r>
              <w:rPr>
                <w:rFonts w:ascii="Arial" w:cs="Arial" w:eastAsia="Arial" w:hAnsi="Arial"/>
                <w:sz w:val="14"/>
                <w:szCs w:val="14"/>
                <w:color w:val="auto"/>
              </w:rPr>
              <w:t>Nonaccrual loans to total portfolio loans</w:t>
            </w:r>
          </w:p>
        </w:tc>
        <w:tc>
          <w:tcPr>
            <w:tcW w:w="100" w:type="dxa"/>
            <w:vAlign w:val="bottom"/>
            <w:vMerge w:val="restart"/>
          </w:tcPr>
          <w:p>
            <w:pPr>
              <w:spacing w:after="0"/>
              <w:rPr>
                <w:sz w:val="13"/>
                <w:szCs w:val="13"/>
                <w:color w:val="auto"/>
              </w:rPr>
            </w:pPr>
          </w:p>
        </w:tc>
        <w:tc>
          <w:tcPr>
            <w:tcW w:w="2840" w:type="dxa"/>
            <w:vAlign w:val="bottom"/>
            <w:gridSpan w:val="3"/>
          </w:tcPr>
          <w:p>
            <w:pPr>
              <w:jc w:val="right"/>
              <w:ind w:right="109"/>
              <w:spacing w:after="0"/>
              <w:rPr>
                <w:sz w:val="20"/>
                <w:szCs w:val="20"/>
                <w:color w:val="auto"/>
              </w:rPr>
            </w:pPr>
            <w:r>
              <w:rPr>
                <w:rFonts w:ascii="Arial" w:cs="Arial" w:eastAsia="Arial" w:hAnsi="Arial"/>
                <w:sz w:val="14"/>
                <w:szCs w:val="14"/>
                <w:color w:val="auto"/>
              </w:rPr>
              <w:t>Allowance for loan losses to nonaccrual</w:t>
            </w:r>
          </w:p>
        </w:tc>
        <w:tc>
          <w:tcPr>
            <w:tcW w:w="0" w:type="dxa"/>
            <w:vAlign w:val="bottom"/>
          </w:tcPr>
          <w:p>
            <w:pPr>
              <w:spacing w:after="0"/>
              <w:rPr>
                <w:sz w:val="1"/>
                <w:szCs w:val="1"/>
                <w:color w:val="auto"/>
              </w:rPr>
            </w:pPr>
          </w:p>
        </w:tc>
      </w:tr>
      <w:tr>
        <w:trPr>
          <w:trHeight w:val="197"/>
        </w:trPr>
        <w:tc>
          <w:tcPr>
            <w:tcW w:w="2580" w:type="dxa"/>
            <w:vAlign w:val="bottom"/>
          </w:tcPr>
          <w:p>
            <w:pPr>
              <w:ind w:left="20"/>
              <w:spacing w:after="0"/>
              <w:rPr>
                <w:sz w:val="20"/>
                <w:szCs w:val="20"/>
                <w:color w:val="auto"/>
              </w:rPr>
            </w:pPr>
            <w:r>
              <w:rPr>
                <w:rFonts w:ascii="Arial" w:cs="Arial" w:eastAsia="Arial" w:hAnsi="Arial"/>
                <w:sz w:val="11"/>
                <w:szCs w:val="11"/>
                <w:i w:val="1"/>
                <w:iCs w:val="1"/>
                <w:color w:val="auto"/>
              </w:rPr>
              <w:t>(in thousands)</w:t>
            </w:r>
          </w:p>
        </w:tc>
        <w:tc>
          <w:tcPr>
            <w:tcW w:w="2800" w:type="dxa"/>
            <w:vAlign w:val="bottom"/>
            <w:tcBorders>
              <w:bottom w:val="single" w:sz="8" w:color="auto"/>
            </w:tcBorders>
            <w:gridSpan w:val="3"/>
          </w:tcPr>
          <w:p>
            <w:pPr>
              <w:ind w:left="900"/>
              <w:spacing w:after="0" w:line="197" w:lineRule="exact"/>
              <w:rPr>
                <w:sz w:val="20"/>
                <w:szCs w:val="20"/>
                <w:color w:val="auto"/>
              </w:rPr>
            </w:pPr>
            <w:r>
              <w:rPr>
                <w:rFonts w:ascii="Arial" w:cs="Arial" w:eastAsia="Arial" w:hAnsi="Arial"/>
                <w:sz w:val="14"/>
                <w:szCs w:val="14"/>
                <w:color w:val="auto"/>
              </w:rPr>
              <w:t xml:space="preserve">portfolio loans </w:t>
            </w:r>
            <w:r>
              <w:rPr>
                <w:rFonts w:ascii="Arial" w:cs="Arial" w:eastAsia="Arial" w:hAnsi="Arial"/>
                <w:sz w:val="18"/>
                <w:szCs w:val="18"/>
                <w:color w:val="auto"/>
                <w:vertAlign w:val="superscript"/>
              </w:rPr>
              <w:t>(1)</w:t>
            </w:r>
          </w:p>
        </w:tc>
        <w:tc>
          <w:tcPr>
            <w:tcW w:w="100" w:type="dxa"/>
            <w:vAlign w:val="bottom"/>
          </w:tcPr>
          <w:p>
            <w:pPr>
              <w:spacing w:after="0"/>
              <w:rPr>
                <w:sz w:val="17"/>
                <w:szCs w:val="17"/>
                <w:color w:val="auto"/>
              </w:rPr>
            </w:pPr>
          </w:p>
        </w:tc>
        <w:tc>
          <w:tcPr>
            <w:tcW w:w="2800" w:type="dxa"/>
            <w:vAlign w:val="bottom"/>
            <w:tcBorders>
              <w:bottom w:val="single" w:sz="8" w:color="auto"/>
            </w:tcBorders>
            <w:gridSpan w:val="3"/>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2840" w:type="dxa"/>
            <w:vAlign w:val="bottom"/>
            <w:tcBorders>
              <w:bottom w:val="single" w:sz="8" w:color="auto"/>
            </w:tcBorders>
            <w:gridSpan w:val="3"/>
          </w:tcPr>
          <w:p>
            <w:pPr>
              <w:jc w:val="right"/>
              <w:ind w:right="1109"/>
              <w:spacing w:after="0" w:line="197" w:lineRule="exact"/>
              <w:rPr>
                <w:sz w:val="20"/>
                <w:szCs w:val="20"/>
                <w:color w:val="auto"/>
              </w:rPr>
            </w:pPr>
            <w:r>
              <w:rPr>
                <w:rFonts w:ascii="Arial" w:cs="Arial" w:eastAsia="Arial" w:hAnsi="Arial"/>
                <w:sz w:val="14"/>
                <w:szCs w:val="14"/>
                <w:color w:val="auto"/>
              </w:rPr>
              <w:t xml:space="preserve">loans </w:t>
            </w:r>
            <w:r>
              <w:rPr>
                <w:rFonts w:ascii="Arial" w:cs="Arial" w:eastAsia="Arial" w:hAnsi="Arial"/>
                <w:sz w:val="18"/>
                <w:szCs w:val="18"/>
                <w:color w:val="auto"/>
                <w:vertAlign w:val="superscript"/>
              </w:rPr>
              <w:t>(1)</w:t>
            </w:r>
          </w:p>
        </w:tc>
        <w:tc>
          <w:tcPr>
            <w:tcW w:w="0" w:type="dxa"/>
            <w:vAlign w:val="bottom"/>
          </w:tcPr>
          <w:p>
            <w:pPr>
              <w:spacing w:after="0"/>
              <w:rPr>
                <w:sz w:val="1"/>
                <w:szCs w:val="1"/>
                <w:color w:val="auto"/>
              </w:rPr>
            </w:pPr>
          </w:p>
        </w:tc>
      </w:tr>
      <w:tr>
        <w:trPr>
          <w:trHeight w:val="192"/>
        </w:trPr>
        <w:tc>
          <w:tcPr>
            <w:tcW w:w="2580" w:type="dxa"/>
            <w:vAlign w:val="bottom"/>
          </w:tcPr>
          <w:p>
            <w:pPr>
              <w:spacing w:after="0"/>
              <w:rPr>
                <w:sz w:val="16"/>
                <w:szCs w:val="16"/>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2022</w:t>
            </w:r>
          </w:p>
        </w:tc>
        <w:tc>
          <w:tcPr>
            <w:tcW w:w="160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 2021</w:t>
            </w:r>
          </w:p>
        </w:tc>
        <w:tc>
          <w:tcPr>
            <w:tcW w:w="130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2022</w:t>
            </w:r>
          </w:p>
        </w:tc>
        <w:tc>
          <w:tcPr>
            <w:tcW w:w="160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 2021</w:t>
            </w:r>
          </w:p>
        </w:tc>
        <w:tc>
          <w:tcPr>
            <w:tcW w:w="132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2022</w:t>
            </w:r>
          </w:p>
        </w:tc>
        <w:tc>
          <w:tcPr>
            <w:tcW w:w="1520" w:type="dxa"/>
            <w:vAlign w:val="bottom"/>
          </w:tcPr>
          <w:p>
            <w:pPr>
              <w:jc w:val="right"/>
              <w:ind w:right="49"/>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179"/>
        </w:trPr>
        <w:tc>
          <w:tcPr>
            <w:tcW w:w="258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Real estate:</w:t>
            </w:r>
          </w:p>
        </w:tc>
        <w:tc>
          <w:tcPr>
            <w:tcW w:w="1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580" w:type="dxa"/>
            <w:vAlign w:val="bottom"/>
          </w:tcPr>
          <w:p>
            <w:pPr>
              <w:ind w:left="200"/>
              <w:spacing w:after="0"/>
              <w:rPr>
                <w:sz w:val="20"/>
                <w:szCs w:val="20"/>
                <w:color w:val="auto"/>
              </w:rPr>
            </w:pPr>
            <w:r>
              <w:rPr>
                <w:rFonts w:ascii="Arial" w:cs="Arial" w:eastAsia="Arial" w:hAnsi="Arial"/>
                <w:sz w:val="14"/>
                <w:szCs w:val="14"/>
                <w:color w:val="auto"/>
              </w:rPr>
              <w:t>Residential</w:t>
            </w:r>
          </w:p>
        </w:tc>
        <w:tc>
          <w:tcPr>
            <w:tcW w:w="1200" w:type="dxa"/>
            <w:vAlign w:val="bottom"/>
          </w:tcPr>
          <w:p>
            <w:pPr>
              <w:ind w:left="740"/>
              <w:spacing w:after="0"/>
              <w:rPr>
                <w:sz w:val="20"/>
                <w:szCs w:val="20"/>
                <w:color w:val="auto"/>
              </w:rPr>
            </w:pPr>
            <w:r>
              <w:rPr>
                <w:rFonts w:ascii="Arial" w:cs="Arial" w:eastAsia="Arial" w:hAnsi="Arial"/>
                <w:sz w:val="14"/>
                <w:szCs w:val="14"/>
                <w:color w:val="auto"/>
              </w:rPr>
              <w:t>1.39 %</w:t>
            </w:r>
          </w:p>
        </w:tc>
        <w:tc>
          <w:tcPr>
            <w:tcW w:w="100" w:type="dxa"/>
            <w:vAlign w:val="bottom"/>
          </w:tcPr>
          <w:p>
            <w:pPr>
              <w:spacing w:after="0"/>
              <w:rPr>
                <w:sz w:val="16"/>
                <w:szCs w:val="16"/>
                <w:color w:val="auto"/>
              </w:rPr>
            </w:pPr>
          </w:p>
        </w:tc>
        <w:tc>
          <w:tcPr>
            <w:tcW w:w="1500" w:type="dxa"/>
            <w:vAlign w:val="bottom"/>
          </w:tcPr>
          <w:p>
            <w:pPr>
              <w:ind w:left="1040"/>
              <w:spacing w:after="0"/>
              <w:rPr>
                <w:sz w:val="20"/>
                <w:szCs w:val="20"/>
                <w:color w:val="auto"/>
              </w:rPr>
            </w:pPr>
            <w:r>
              <w:rPr>
                <w:rFonts w:ascii="Arial" w:cs="Arial" w:eastAsia="Arial" w:hAnsi="Arial"/>
                <w:sz w:val="14"/>
                <w:szCs w:val="14"/>
                <w:color w:val="auto"/>
              </w:rPr>
              <w:t>1.40 %</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0.65 %</w:t>
            </w:r>
          </w:p>
        </w:tc>
        <w:tc>
          <w:tcPr>
            <w:tcW w:w="1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0.71 %</w:t>
            </w: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214 %</w:t>
            </w:r>
          </w:p>
        </w:tc>
        <w:tc>
          <w:tcPr>
            <w:tcW w:w="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198 %</w:t>
            </w:r>
          </w:p>
        </w:tc>
        <w:tc>
          <w:tcPr>
            <w:tcW w:w="0" w:type="dxa"/>
            <w:vAlign w:val="bottom"/>
          </w:tcPr>
          <w:p>
            <w:pPr>
              <w:spacing w:after="0"/>
              <w:rPr>
                <w:sz w:val="1"/>
                <w:szCs w:val="1"/>
                <w:color w:val="auto"/>
              </w:rPr>
            </w:pPr>
          </w:p>
        </w:tc>
      </w:tr>
      <w:tr>
        <w:trPr>
          <w:trHeight w:val="203"/>
        </w:trPr>
        <w:tc>
          <w:tcPr>
            <w:tcW w:w="2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Commercial</w:t>
            </w:r>
          </w:p>
        </w:tc>
        <w:tc>
          <w:tcPr>
            <w:tcW w:w="1200" w:type="dxa"/>
            <w:vAlign w:val="bottom"/>
            <w:shd w:val="clear" w:color="auto" w:fill="CCEEFF"/>
          </w:tcPr>
          <w:p>
            <w:pPr>
              <w:ind w:left="740"/>
              <w:spacing w:after="0"/>
              <w:rPr>
                <w:sz w:val="20"/>
                <w:szCs w:val="20"/>
                <w:color w:val="auto"/>
              </w:rPr>
            </w:pPr>
            <w:r>
              <w:rPr>
                <w:rFonts w:ascii="Arial" w:cs="Arial" w:eastAsia="Arial" w:hAnsi="Arial"/>
                <w:sz w:val="14"/>
                <w:szCs w:val="14"/>
                <w:color w:val="auto"/>
              </w:rPr>
              <w:t>1.54</w:t>
            </w: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ind w:left="1040"/>
              <w:spacing w:after="0"/>
              <w:rPr>
                <w:sz w:val="20"/>
                <w:szCs w:val="20"/>
                <w:color w:val="auto"/>
              </w:rPr>
            </w:pPr>
            <w:r>
              <w:rPr>
                <w:rFonts w:ascii="Arial" w:cs="Arial" w:eastAsia="Arial" w:hAnsi="Arial"/>
                <w:sz w:val="14"/>
                <w:szCs w:val="14"/>
                <w:color w:val="auto"/>
              </w:rPr>
              <w:t>1.54</w:t>
            </w: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6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40,468</w:t>
            </w:r>
          </w:p>
        </w:tc>
        <w:tc>
          <w:tcPr>
            <w:tcW w:w="8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34,606</w:t>
            </w:r>
          </w:p>
        </w:tc>
        <w:tc>
          <w:tcPr>
            <w:tcW w:w="0" w:type="dxa"/>
            <w:vAlign w:val="bottom"/>
          </w:tcPr>
          <w:p>
            <w:pPr>
              <w:spacing w:after="0"/>
              <w:rPr>
                <w:sz w:val="1"/>
                <w:szCs w:val="1"/>
                <w:color w:val="auto"/>
              </w:rPr>
            </w:pPr>
          </w:p>
        </w:tc>
      </w:tr>
      <w:tr>
        <w:trPr>
          <w:trHeight w:val="194"/>
        </w:trPr>
        <w:tc>
          <w:tcPr>
            <w:tcW w:w="2580" w:type="dxa"/>
            <w:vAlign w:val="bottom"/>
          </w:tcPr>
          <w:p>
            <w:pPr>
              <w:ind w:left="200"/>
              <w:spacing w:after="0"/>
              <w:rPr>
                <w:sz w:val="20"/>
                <w:szCs w:val="20"/>
                <w:color w:val="auto"/>
              </w:rPr>
            </w:pPr>
            <w:r>
              <w:rPr>
                <w:rFonts w:ascii="Arial" w:cs="Arial" w:eastAsia="Arial" w:hAnsi="Arial"/>
                <w:sz w:val="14"/>
                <w:szCs w:val="14"/>
                <w:color w:val="auto"/>
              </w:rPr>
              <w:t>Construction</w:t>
            </w:r>
          </w:p>
        </w:tc>
        <w:tc>
          <w:tcPr>
            <w:tcW w:w="1200" w:type="dxa"/>
            <w:vAlign w:val="bottom"/>
          </w:tcPr>
          <w:p>
            <w:pPr>
              <w:ind w:left="740"/>
              <w:spacing w:after="0"/>
              <w:rPr>
                <w:sz w:val="20"/>
                <w:szCs w:val="20"/>
                <w:color w:val="auto"/>
              </w:rPr>
            </w:pPr>
            <w:r>
              <w:rPr>
                <w:rFonts w:ascii="Arial" w:cs="Arial" w:eastAsia="Arial" w:hAnsi="Arial"/>
                <w:sz w:val="14"/>
                <w:szCs w:val="14"/>
                <w:color w:val="auto"/>
              </w:rPr>
              <w:t>1.87</w:t>
            </w:r>
          </w:p>
        </w:tc>
        <w:tc>
          <w:tcPr>
            <w:tcW w:w="100" w:type="dxa"/>
            <w:vAlign w:val="bottom"/>
          </w:tcPr>
          <w:p>
            <w:pPr>
              <w:spacing w:after="0"/>
              <w:rPr>
                <w:sz w:val="16"/>
                <w:szCs w:val="16"/>
                <w:color w:val="auto"/>
              </w:rPr>
            </w:pPr>
          </w:p>
        </w:tc>
        <w:tc>
          <w:tcPr>
            <w:tcW w:w="1500" w:type="dxa"/>
            <w:vAlign w:val="bottom"/>
          </w:tcPr>
          <w:p>
            <w:pPr>
              <w:ind w:left="1040"/>
              <w:spacing w:after="0"/>
              <w:rPr>
                <w:sz w:val="20"/>
                <w:szCs w:val="20"/>
                <w:color w:val="auto"/>
              </w:rPr>
            </w:pPr>
            <w:r>
              <w:rPr>
                <w:rFonts w:ascii="Arial" w:cs="Arial" w:eastAsia="Arial" w:hAnsi="Arial"/>
                <w:sz w:val="14"/>
                <w:szCs w:val="14"/>
                <w:color w:val="auto"/>
              </w:rPr>
              <w:t>1.84</w:t>
            </w:r>
          </w:p>
        </w:tc>
        <w:tc>
          <w:tcPr>
            <w:tcW w:w="100" w:type="dxa"/>
            <w:vAlign w:val="bottom"/>
          </w:tcPr>
          <w:p>
            <w:pPr>
              <w:spacing w:after="0"/>
              <w:rPr>
                <w:sz w:val="16"/>
                <w:szCs w:val="16"/>
                <w:color w:val="auto"/>
              </w:rPr>
            </w:pPr>
          </w:p>
        </w:tc>
        <w:tc>
          <w:tcPr>
            <w:tcW w:w="1200" w:type="dxa"/>
            <w:vAlign w:val="bottom"/>
          </w:tcPr>
          <w:p>
            <w:pPr>
              <w:jc w:val="right"/>
              <w:ind w:right="109"/>
              <w:spacing w:after="0"/>
              <w:rPr>
                <w:sz w:val="20"/>
                <w:szCs w:val="20"/>
                <w:color w:val="auto"/>
              </w:rPr>
            </w:pPr>
            <w:r>
              <w:rPr>
                <w:rFonts w:ascii="Arial" w:cs="Arial" w:eastAsia="Arial" w:hAnsi="Arial"/>
                <w:sz w:val="14"/>
                <w:szCs w:val="14"/>
                <w:color w:val="auto"/>
              </w:rPr>
              <w:t>0.83</w:t>
            </w:r>
          </w:p>
        </w:tc>
        <w:tc>
          <w:tcPr>
            <w:tcW w:w="100" w:type="dxa"/>
            <w:vAlign w:val="bottom"/>
          </w:tcPr>
          <w:p>
            <w:pPr>
              <w:spacing w:after="0"/>
              <w:rPr>
                <w:sz w:val="16"/>
                <w:szCs w:val="16"/>
                <w:color w:val="auto"/>
              </w:rPr>
            </w:pPr>
          </w:p>
        </w:tc>
        <w:tc>
          <w:tcPr>
            <w:tcW w:w="1500" w:type="dxa"/>
            <w:vAlign w:val="bottom"/>
          </w:tcPr>
          <w:p>
            <w:pPr>
              <w:jc w:val="right"/>
              <w:ind w:right="109"/>
              <w:spacing w:after="0"/>
              <w:rPr>
                <w:sz w:val="20"/>
                <w:szCs w:val="20"/>
                <w:color w:val="auto"/>
              </w:rPr>
            </w:pPr>
            <w:r>
              <w:rPr>
                <w:rFonts w:ascii="Arial" w:cs="Arial" w:eastAsia="Arial" w:hAnsi="Arial"/>
                <w:sz w:val="14"/>
                <w:szCs w:val="14"/>
                <w:color w:val="auto"/>
              </w:rPr>
              <w:t>3.06</w:t>
            </w:r>
          </w:p>
        </w:tc>
        <w:tc>
          <w:tcPr>
            <w:tcW w:w="100" w:type="dxa"/>
            <w:vAlign w:val="bottom"/>
          </w:tcPr>
          <w:p>
            <w:pPr>
              <w:spacing w:after="0"/>
              <w:rPr>
                <w:sz w:val="16"/>
                <w:szCs w:val="16"/>
                <w:color w:val="auto"/>
              </w:rPr>
            </w:pPr>
          </w:p>
        </w:tc>
        <w:tc>
          <w:tcPr>
            <w:tcW w:w="1240" w:type="dxa"/>
            <w:vAlign w:val="bottom"/>
          </w:tcPr>
          <w:p>
            <w:pPr>
              <w:jc w:val="right"/>
              <w:ind w:right="129"/>
              <w:spacing w:after="0"/>
              <w:rPr>
                <w:sz w:val="20"/>
                <w:szCs w:val="20"/>
                <w:color w:val="auto"/>
              </w:rPr>
            </w:pPr>
            <w:r>
              <w:rPr>
                <w:rFonts w:ascii="Arial" w:cs="Arial" w:eastAsia="Arial" w:hAnsi="Arial"/>
                <w:sz w:val="14"/>
                <w:szCs w:val="14"/>
                <w:color w:val="auto"/>
              </w:rPr>
              <w:t>226</w:t>
            </w:r>
          </w:p>
        </w:tc>
        <w:tc>
          <w:tcPr>
            <w:tcW w:w="80" w:type="dxa"/>
            <w:vAlign w:val="bottom"/>
          </w:tcPr>
          <w:p>
            <w:pPr>
              <w:spacing w:after="0"/>
              <w:rPr>
                <w:sz w:val="16"/>
                <w:szCs w:val="16"/>
                <w:color w:val="auto"/>
              </w:rPr>
            </w:pPr>
          </w:p>
        </w:tc>
        <w:tc>
          <w:tcPr>
            <w:tcW w:w="1520" w:type="dxa"/>
            <w:vAlign w:val="bottom"/>
          </w:tcPr>
          <w:p>
            <w:pPr>
              <w:jc w:val="right"/>
              <w:ind w:right="109"/>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03"/>
        </w:trPr>
        <w:tc>
          <w:tcPr>
            <w:tcW w:w="2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Commercial</w:t>
            </w:r>
          </w:p>
        </w:tc>
        <w:tc>
          <w:tcPr>
            <w:tcW w:w="1200" w:type="dxa"/>
            <w:vAlign w:val="bottom"/>
            <w:shd w:val="clear" w:color="auto" w:fill="CCEEFF"/>
          </w:tcPr>
          <w:p>
            <w:pPr>
              <w:ind w:left="740"/>
              <w:spacing w:after="0"/>
              <w:rPr>
                <w:sz w:val="20"/>
                <w:szCs w:val="20"/>
                <w:color w:val="auto"/>
              </w:rPr>
            </w:pPr>
            <w:r>
              <w:rPr>
                <w:rFonts w:ascii="Arial" w:cs="Arial" w:eastAsia="Arial" w:hAnsi="Arial"/>
                <w:sz w:val="14"/>
                <w:szCs w:val="14"/>
                <w:color w:val="auto"/>
              </w:rPr>
              <w:t>1.32</w:t>
            </w: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ind w:left="1040"/>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0.48</w:t>
            </w: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0.38</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276</w:t>
            </w:r>
          </w:p>
        </w:tc>
        <w:tc>
          <w:tcPr>
            <w:tcW w:w="8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390</w:t>
            </w:r>
          </w:p>
        </w:tc>
        <w:tc>
          <w:tcPr>
            <w:tcW w:w="0" w:type="dxa"/>
            <w:vAlign w:val="bottom"/>
          </w:tcPr>
          <w:p>
            <w:pPr>
              <w:spacing w:after="0"/>
              <w:rPr>
                <w:sz w:val="1"/>
                <w:szCs w:val="1"/>
                <w:color w:val="auto"/>
              </w:rPr>
            </w:pPr>
          </w:p>
        </w:tc>
      </w:tr>
      <w:tr>
        <w:trPr>
          <w:trHeight w:val="194"/>
        </w:trPr>
        <w:tc>
          <w:tcPr>
            <w:tcW w:w="2580" w:type="dxa"/>
            <w:vAlign w:val="bottom"/>
          </w:tcPr>
          <w:p>
            <w:pPr>
              <w:ind w:left="40"/>
              <w:spacing w:after="0"/>
              <w:rPr>
                <w:sz w:val="20"/>
                <w:szCs w:val="20"/>
                <w:color w:val="auto"/>
              </w:rPr>
            </w:pPr>
            <w:r>
              <w:rPr>
                <w:rFonts w:ascii="Arial" w:cs="Arial" w:eastAsia="Arial" w:hAnsi="Arial"/>
                <w:sz w:val="14"/>
                <w:szCs w:val="14"/>
                <w:color w:val="auto"/>
              </w:rPr>
              <w:t>Credit card</w:t>
            </w:r>
          </w:p>
        </w:tc>
        <w:tc>
          <w:tcPr>
            <w:tcW w:w="1200" w:type="dxa"/>
            <w:vAlign w:val="bottom"/>
          </w:tcPr>
          <w:p>
            <w:pPr>
              <w:ind w:left="740"/>
              <w:spacing w:after="0"/>
              <w:rPr>
                <w:sz w:val="20"/>
                <w:szCs w:val="20"/>
                <w:color w:val="auto"/>
              </w:rPr>
            </w:pPr>
            <w:r>
              <w:rPr>
                <w:rFonts w:ascii="Arial" w:cs="Arial" w:eastAsia="Arial" w:hAnsi="Arial"/>
                <w:sz w:val="14"/>
                <w:szCs w:val="14"/>
                <w:color w:val="auto"/>
              </w:rPr>
              <w:t>3.02</w:t>
            </w:r>
          </w:p>
        </w:tc>
        <w:tc>
          <w:tcPr>
            <w:tcW w:w="100" w:type="dxa"/>
            <w:vAlign w:val="bottom"/>
          </w:tcPr>
          <w:p>
            <w:pPr>
              <w:spacing w:after="0"/>
              <w:rPr>
                <w:sz w:val="16"/>
                <w:szCs w:val="16"/>
                <w:color w:val="auto"/>
              </w:rPr>
            </w:pPr>
          </w:p>
        </w:tc>
        <w:tc>
          <w:tcPr>
            <w:tcW w:w="1500" w:type="dxa"/>
            <w:vAlign w:val="bottom"/>
          </w:tcPr>
          <w:p>
            <w:pPr>
              <w:ind w:left="1040"/>
              <w:spacing w:after="0"/>
              <w:rPr>
                <w:sz w:val="20"/>
                <w:szCs w:val="20"/>
                <w:color w:val="auto"/>
              </w:rPr>
            </w:pPr>
            <w:r>
              <w:rPr>
                <w:rFonts w:ascii="Arial" w:cs="Arial" w:eastAsia="Arial" w:hAnsi="Arial"/>
                <w:sz w:val="14"/>
                <w:szCs w:val="14"/>
                <w:color w:val="auto"/>
              </w:rPr>
              <w:t>2.59</w:t>
            </w:r>
          </w:p>
        </w:tc>
        <w:tc>
          <w:tcPr>
            <w:tcW w:w="100" w:type="dxa"/>
            <w:vAlign w:val="bottom"/>
          </w:tcPr>
          <w:p>
            <w:pPr>
              <w:spacing w:after="0"/>
              <w:rPr>
                <w:sz w:val="16"/>
                <w:szCs w:val="16"/>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9"/>
        </w:trPr>
        <w:tc>
          <w:tcPr>
            <w:tcW w:w="2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consumer</w:t>
            </w:r>
          </w:p>
        </w:tc>
        <w:tc>
          <w:tcPr>
            <w:tcW w:w="1200" w:type="dxa"/>
            <w:vAlign w:val="bottom"/>
            <w:shd w:val="clear" w:color="auto" w:fill="CCEEFF"/>
          </w:tcPr>
          <w:p>
            <w:pPr>
              <w:ind w:left="740"/>
              <w:spacing w:after="0"/>
              <w:rPr>
                <w:sz w:val="20"/>
                <w:szCs w:val="20"/>
                <w:color w:val="auto"/>
              </w:rPr>
            </w:pPr>
            <w:r>
              <w:rPr>
                <w:rFonts w:ascii="Arial" w:cs="Arial" w:eastAsia="Arial" w:hAnsi="Arial"/>
                <w:sz w:val="14"/>
                <w:szCs w:val="14"/>
                <w:color w:val="auto"/>
              </w:rPr>
              <w:t>1.09</w:t>
            </w: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ind w:left="1040"/>
              <w:spacing w:after="0"/>
              <w:rPr>
                <w:sz w:val="20"/>
                <w:szCs w:val="20"/>
                <w:color w:val="auto"/>
              </w:rPr>
            </w:pPr>
            <w:r>
              <w:rPr>
                <w:rFonts w:ascii="Arial" w:cs="Arial" w:eastAsia="Arial" w:hAnsi="Arial"/>
                <w:sz w:val="14"/>
                <w:szCs w:val="14"/>
                <w:color w:val="auto"/>
              </w:rPr>
              <w:t>1.13</w:t>
            </w: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6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8"/>
        </w:trPr>
        <w:tc>
          <w:tcPr>
            <w:tcW w:w="2580" w:type="dxa"/>
            <w:vAlign w:val="bottom"/>
          </w:tcPr>
          <w:p>
            <w:pPr>
              <w:ind w:left="240"/>
              <w:spacing w:after="0"/>
              <w:rPr>
                <w:sz w:val="20"/>
                <w:szCs w:val="20"/>
                <w:color w:val="auto"/>
              </w:rPr>
            </w:pPr>
            <w:r>
              <w:rPr>
                <w:rFonts w:ascii="Arial" w:cs="Arial" w:eastAsia="Arial" w:hAnsi="Arial"/>
                <w:sz w:val="14"/>
                <w:szCs w:val="14"/>
                <w:color w:val="auto"/>
              </w:rPr>
              <w:t>Total</w:t>
            </w:r>
          </w:p>
        </w:tc>
        <w:tc>
          <w:tcPr>
            <w:tcW w:w="120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4"/>
                <w:szCs w:val="14"/>
                <w:color w:val="auto"/>
              </w:rPr>
              <w:t>1.65 %</w:t>
            </w:r>
          </w:p>
        </w:tc>
        <w:tc>
          <w:tcPr>
            <w:tcW w:w="100" w:type="dxa"/>
            <w:vAlign w:val="bottom"/>
          </w:tcPr>
          <w:p>
            <w:pPr>
              <w:spacing w:after="0"/>
              <w:rPr>
                <w:sz w:val="19"/>
                <w:szCs w:val="19"/>
                <w:color w:val="auto"/>
              </w:rPr>
            </w:pPr>
          </w:p>
        </w:tc>
        <w:tc>
          <w:tcPr>
            <w:tcW w:w="1500" w:type="dxa"/>
            <w:vAlign w:val="bottom"/>
            <w:tcBorders>
              <w:top w:val="single" w:sz="8" w:color="auto"/>
              <w:bottom w:val="single" w:sz="8" w:color="auto"/>
            </w:tcBorders>
          </w:tcPr>
          <w:p>
            <w:pPr>
              <w:ind w:left="1040"/>
              <w:spacing w:after="0"/>
              <w:rPr>
                <w:sz w:val="20"/>
                <w:szCs w:val="20"/>
                <w:color w:val="auto"/>
              </w:rPr>
            </w:pPr>
            <w:r>
              <w:rPr>
                <w:rFonts w:ascii="Arial" w:cs="Arial" w:eastAsia="Arial" w:hAnsi="Arial"/>
                <w:sz w:val="14"/>
                <w:szCs w:val="14"/>
                <w:color w:val="auto"/>
              </w:rPr>
              <w:t>1.65 %</w:t>
            </w:r>
          </w:p>
        </w:tc>
        <w:tc>
          <w:tcPr>
            <w:tcW w:w="10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0.39 %</w:t>
            </w:r>
          </w:p>
        </w:tc>
        <w:tc>
          <w:tcPr>
            <w:tcW w:w="100" w:type="dxa"/>
            <w:vAlign w:val="bottom"/>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0.75 %</w:t>
            </w:r>
          </w:p>
        </w:tc>
        <w:tc>
          <w:tcPr>
            <w:tcW w:w="10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448 %</w:t>
            </w:r>
          </w:p>
        </w:tc>
        <w:tc>
          <w:tcPr>
            <w:tcW w:w="80" w:type="dxa"/>
            <w:vAlign w:val="bottom"/>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222 %</w:t>
            </w:r>
          </w:p>
        </w:tc>
        <w:tc>
          <w:tcPr>
            <w:tcW w:w="0" w:type="dxa"/>
            <w:vAlign w:val="bottom"/>
          </w:tcPr>
          <w:p>
            <w:pPr>
              <w:spacing w:after="0"/>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42" w:lineRule="exact"/>
        <w:rPr>
          <w:sz w:val="20"/>
          <w:szCs w:val="20"/>
          <w:color w:val="auto"/>
        </w:rPr>
      </w:pPr>
    </w:p>
    <w:p>
      <w:pPr>
        <w:ind w:left="320" w:hanging="314"/>
        <w:spacing w:after="0"/>
        <w:tabs>
          <w:tab w:leader="none" w:pos="320" w:val="left"/>
        </w:tabs>
        <w:numPr>
          <w:ilvl w:val="0"/>
          <w:numId w:val="14"/>
        </w:numPr>
        <w:rPr>
          <w:rFonts w:ascii="Times New Roman" w:cs="Times New Roman" w:eastAsia="Times New Roman" w:hAnsi="Times New Roman"/>
          <w:sz w:val="9"/>
          <w:szCs w:val="9"/>
          <w:color w:val="auto"/>
        </w:rPr>
      </w:pPr>
      <w:r>
        <w:rPr>
          <w:rFonts w:ascii="Arial" w:cs="Arial" w:eastAsia="Arial" w:hAnsi="Arial"/>
          <w:sz w:val="11"/>
          <w:szCs w:val="11"/>
          <w:color w:val="auto"/>
        </w:rPr>
        <w:t>Allowance calculation excludes SBA-PPP loans.</w:t>
      </w:r>
    </w:p>
    <w:p>
      <w:pPr>
        <w:spacing w:after="0" w:line="209" w:lineRule="exact"/>
        <w:rPr>
          <w:sz w:val="20"/>
          <w:szCs w:val="20"/>
          <w:color w:val="auto"/>
        </w:rPr>
      </w:pPr>
    </w:p>
    <w:p>
      <w:pPr>
        <w:ind w:right="340" w:firstLine="318"/>
        <w:spacing w:after="0" w:line="274" w:lineRule="auto"/>
        <w:rPr>
          <w:sz w:val="20"/>
          <w:szCs w:val="20"/>
          <w:color w:val="auto"/>
        </w:rPr>
      </w:pPr>
      <w:r>
        <w:rPr>
          <w:rFonts w:ascii="Arial" w:cs="Arial" w:eastAsia="Arial" w:hAnsi="Arial"/>
          <w:sz w:val="18"/>
          <w:szCs w:val="18"/>
          <w:color w:val="auto"/>
        </w:rPr>
        <w:t>In determining the allowance for loan loss on the credit card portfolio, management uses the historical loss experience of the credit card portfolio as a major consideration and applies that factor to both the secured and unsecured credit card loan balances.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262255</wp:posOffset>
            </wp:positionV>
            <wp:extent cx="716026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16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presents a summary of the net charge-off (recovery) of loans as a percentage of average loans for the periods indicated:</w:t>
      </w:r>
    </w:p>
    <w:p>
      <w:pPr>
        <w:spacing w:after="0" w:line="276" w:lineRule="exact"/>
        <w:rPr>
          <w:sz w:val="20"/>
          <w:szCs w:val="20"/>
          <w:color w:val="auto"/>
        </w:rPr>
      </w:pPr>
    </w:p>
    <w:tbl>
      <w:tblPr>
        <w:tblLayout w:type="fixed"/>
        <w:tblInd w:w="320" w:type="dxa"/>
        <w:tblCellMar>
          <w:top w:w="0" w:type="dxa"/>
          <w:left w:w="0" w:type="dxa"/>
          <w:bottom w:w="0" w:type="dxa"/>
          <w:right w:w="0" w:type="dxa"/>
        </w:tblCellMar>
      </w:tblPr>
      <w:tr>
        <w:trPr>
          <w:trHeight w:val="194"/>
        </w:trPr>
        <w:tc>
          <w:tcPr>
            <w:tcW w:w="26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5"/>
          </w:tcPr>
          <w:p>
            <w:pPr>
              <w:ind w:left="660"/>
              <w:spacing w:after="0"/>
              <w:rPr>
                <w:sz w:val="20"/>
                <w:szCs w:val="20"/>
                <w:color w:val="auto"/>
              </w:rPr>
            </w:pPr>
            <w:r>
              <w:rPr>
                <w:rFonts w:ascii="Arial" w:cs="Arial" w:eastAsia="Arial" w:hAnsi="Arial"/>
                <w:sz w:val="14"/>
                <w:szCs w:val="14"/>
                <w:b w:val="1"/>
                <w:bCs w:val="1"/>
                <w:color w:val="auto"/>
              </w:rPr>
              <w:t>For the Three Months Ended</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6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March 31, 2022</w:t>
            </w:r>
          </w:p>
        </w:tc>
        <w:tc>
          <w:tcPr>
            <w:tcW w:w="14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March 31, 2021</w:t>
            </w: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restart"/>
          </w:tcPr>
          <w:p>
            <w:pPr>
              <w:spacing w:after="0"/>
              <w:rPr>
                <w:sz w:val="20"/>
                <w:szCs w:val="20"/>
                <w:color w:val="auto"/>
              </w:rPr>
            </w:pPr>
            <w:r>
              <w:rPr>
                <w:rFonts w:ascii="Arial" w:cs="Arial" w:eastAsia="Arial" w:hAnsi="Arial"/>
                <w:sz w:val="14"/>
                <w:szCs w:val="14"/>
                <w:color w:val="auto"/>
              </w:rPr>
              <w:t>Net Charge-offs</w:t>
            </w:r>
          </w:p>
        </w:tc>
        <w:tc>
          <w:tcPr>
            <w:tcW w:w="120" w:type="dxa"/>
            <w:vAlign w:val="bottom"/>
          </w:tcPr>
          <w:p>
            <w:pPr>
              <w:spacing w:after="0"/>
              <w:rPr>
                <w:sz w:val="12"/>
                <w:szCs w:val="12"/>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color w:val="auto"/>
              </w:rPr>
              <w:t>Average Loans</w:t>
            </w:r>
          </w:p>
        </w:tc>
        <w:tc>
          <w:tcPr>
            <w:tcW w:w="1760" w:type="dxa"/>
            <w:vAlign w:val="bottom"/>
            <w:gridSpan w:val="2"/>
          </w:tcPr>
          <w:p>
            <w:pPr>
              <w:jc w:val="center"/>
              <w:ind w:right="300"/>
              <w:spacing w:after="0" w:line="143" w:lineRule="exact"/>
              <w:rPr>
                <w:sz w:val="20"/>
                <w:szCs w:val="20"/>
                <w:color w:val="auto"/>
              </w:rPr>
            </w:pPr>
            <w:r>
              <w:rPr>
                <w:rFonts w:ascii="Arial" w:cs="Arial" w:eastAsia="Arial" w:hAnsi="Arial"/>
                <w:sz w:val="14"/>
                <w:szCs w:val="14"/>
                <w:color w:val="auto"/>
                <w:w w:val="99"/>
              </w:rPr>
              <w:t>Percent of average</w:t>
            </w:r>
          </w:p>
        </w:tc>
        <w:tc>
          <w:tcPr>
            <w:tcW w:w="100" w:type="dxa"/>
            <w:vAlign w:val="bottom"/>
          </w:tcPr>
          <w:p>
            <w:pPr>
              <w:spacing w:after="0"/>
              <w:rPr>
                <w:sz w:val="12"/>
                <w:szCs w:val="12"/>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color w:val="auto"/>
              </w:rPr>
              <w:t>Net Charge-offs</w:t>
            </w:r>
          </w:p>
        </w:tc>
        <w:tc>
          <w:tcPr>
            <w:tcW w:w="120" w:type="dxa"/>
            <w:vAlign w:val="bottom"/>
          </w:tcPr>
          <w:p>
            <w:pPr>
              <w:spacing w:after="0"/>
              <w:rPr>
                <w:sz w:val="12"/>
                <w:szCs w:val="12"/>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color w:val="auto"/>
              </w:rPr>
              <w:t>Average Loans</w:t>
            </w:r>
          </w:p>
        </w:tc>
        <w:tc>
          <w:tcPr>
            <w:tcW w:w="1260" w:type="dxa"/>
            <w:vAlign w:val="bottom"/>
          </w:tcPr>
          <w:p>
            <w:pPr>
              <w:jc w:val="right"/>
              <w:spacing w:after="0" w:line="143" w:lineRule="exact"/>
              <w:rPr>
                <w:sz w:val="20"/>
                <w:szCs w:val="20"/>
                <w:color w:val="auto"/>
              </w:rPr>
            </w:pPr>
            <w:r>
              <w:rPr>
                <w:rFonts w:ascii="Arial" w:cs="Arial" w:eastAsia="Arial" w:hAnsi="Arial"/>
                <w:sz w:val="14"/>
                <w:szCs w:val="14"/>
                <w:color w:val="auto"/>
              </w:rPr>
              <w:t>Percent of averag</w:t>
            </w:r>
          </w:p>
        </w:tc>
        <w:tc>
          <w:tcPr>
            <w:tcW w:w="0" w:type="dxa"/>
            <w:vAlign w:val="bottom"/>
          </w:tcPr>
          <w:p>
            <w:pPr>
              <w:spacing w:after="0"/>
              <w:rPr>
                <w:sz w:val="1"/>
                <w:szCs w:val="1"/>
                <w:color w:val="auto"/>
              </w:rPr>
            </w:pPr>
          </w:p>
        </w:tc>
      </w:tr>
      <w:tr>
        <w:trPr>
          <w:trHeight w:val="182"/>
        </w:trPr>
        <w:tc>
          <w:tcPr>
            <w:tcW w:w="2660" w:type="dxa"/>
            <w:vAlign w:val="bottom"/>
          </w:tcPr>
          <w:p>
            <w:pPr>
              <w:ind w:left="20"/>
              <w:spacing w:after="0"/>
              <w:rPr>
                <w:sz w:val="20"/>
                <w:szCs w:val="20"/>
                <w:color w:val="auto"/>
              </w:rPr>
            </w:pPr>
            <w:r>
              <w:rPr>
                <w:rFonts w:ascii="Arial" w:cs="Arial" w:eastAsia="Arial" w:hAnsi="Arial"/>
                <w:sz w:val="11"/>
                <w:szCs w:val="11"/>
                <w:i w:val="1"/>
                <w:iCs w:val="1"/>
                <w:color w:val="auto"/>
              </w:rPr>
              <w:t>(in thousands)</w:t>
            </w:r>
          </w:p>
        </w:tc>
        <w:tc>
          <w:tcPr>
            <w:tcW w:w="12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4"/>
                <w:szCs w:val="14"/>
                <w:color w:val="auto"/>
              </w:rPr>
              <w:t>portfolio loans</w:t>
            </w:r>
          </w:p>
        </w:tc>
        <w:tc>
          <w:tcPr>
            <w:tcW w:w="10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60" w:type="dxa"/>
            <w:vAlign w:val="bottom"/>
          </w:tcPr>
          <w:p>
            <w:pPr>
              <w:jc w:val="right"/>
              <w:ind w:right="9"/>
              <w:spacing w:after="0"/>
              <w:rPr>
                <w:sz w:val="20"/>
                <w:szCs w:val="20"/>
                <w:color w:val="auto"/>
              </w:rPr>
            </w:pPr>
            <w:r>
              <w:rPr>
                <w:rFonts w:ascii="Arial" w:cs="Arial" w:eastAsia="Arial" w:hAnsi="Arial"/>
                <w:sz w:val="14"/>
                <w:szCs w:val="14"/>
                <w:color w:val="auto"/>
              </w:rPr>
              <w:t>portfolio loans</w:t>
            </w:r>
          </w:p>
        </w:tc>
        <w:tc>
          <w:tcPr>
            <w:tcW w:w="0" w:type="dxa"/>
            <w:vAlign w:val="bottom"/>
          </w:tcPr>
          <w:p>
            <w:pPr>
              <w:spacing w:after="0"/>
              <w:rPr>
                <w:sz w:val="1"/>
                <w:szCs w:val="1"/>
                <w:color w:val="auto"/>
              </w:rPr>
            </w:pPr>
          </w:p>
        </w:tc>
      </w:tr>
      <w:tr>
        <w:trPr>
          <w:trHeight w:val="174"/>
        </w:trPr>
        <w:tc>
          <w:tcPr>
            <w:tcW w:w="2660" w:type="dxa"/>
            <w:vAlign w:val="bottom"/>
          </w:tcPr>
          <w:p>
            <w:pPr>
              <w:ind w:left="80"/>
              <w:spacing w:after="0"/>
              <w:rPr>
                <w:sz w:val="20"/>
                <w:szCs w:val="20"/>
                <w:color w:val="auto"/>
              </w:rPr>
            </w:pPr>
            <w:r>
              <w:rPr>
                <w:rFonts w:ascii="Arial" w:cs="Arial" w:eastAsia="Arial" w:hAnsi="Arial"/>
                <w:sz w:val="14"/>
                <w:szCs w:val="14"/>
                <w:color w:val="auto"/>
              </w:rPr>
              <w:t>Real estate:</w:t>
            </w:r>
          </w:p>
        </w:tc>
        <w:tc>
          <w:tcPr>
            <w:tcW w:w="1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6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Residential</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405,105</w:t>
            </w:r>
          </w:p>
        </w:tc>
        <w:tc>
          <w:tcPr>
            <w:tcW w:w="100" w:type="dxa"/>
            <w:vAlign w:val="bottom"/>
            <w:shd w:val="clear" w:color="auto" w:fill="CCEEFF"/>
          </w:tcPr>
          <w:p>
            <w:pPr>
              <w:spacing w:after="0"/>
              <w:rPr>
                <w:sz w:val="17"/>
                <w:szCs w:val="17"/>
                <w:color w:val="auto"/>
              </w:rPr>
            </w:pPr>
          </w:p>
        </w:tc>
        <w:tc>
          <w:tcPr>
            <w:tcW w:w="1760" w:type="dxa"/>
            <w:vAlign w:val="bottom"/>
            <w:gridSpan w:val="2"/>
            <w:shd w:val="clear" w:color="auto" w:fill="CCEEFF"/>
          </w:tcPr>
          <w:p>
            <w:pPr>
              <w:ind w:left="1140"/>
              <w:spacing w:after="0"/>
              <w:rPr>
                <w:sz w:val="20"/>
                <w:szCs w:val="20"/>
                <w:color w:val="auto"/>
              </w:rPr>
            </w:pPr>
            <w:r>
              <w:rPr>
                <w:rFonts w:ascii="Arial" w:cs="Arial" w:eastAsia="Arial" w:hAnsi="Arial"/>
                <w:sz w:val="14"/>
                <w:szCs w:val="14"/>
                <w:color w:val="auto"/>
              </w:rPr>
              <w:t>— %</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434,513</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2660" w:type="dxa"/>
            <w:vAlign w:val="bottom"/>
          </w:tcPr>
          <w:p>
            <w:pPr>
              <w:ind w:left="200"/>
              <w:spacing w:after="0"/>
              <w:rPr>
                <w:sz w:val="20"/>
                <w:szCs w:val="20"/>
                <w:color w:val="auto"/>
              </w:rPr>
            </w:pPr>
            <w:r>
              <w:rPr>
                <w:rFonts w:ascii="Arial" w:cs="Arial" w:eastAsia="Arial" w:hAnsi="Arial"/>
                <w:sz w:val="14"/>
                <w:szCs w:val="14"/>
                <w:color w:val="auto"/>
              </w:rPr>
              <w:t>Commercial</w:t>
            </w:r>
          </w:p>
        </w:tc>
        <w:tc>
          <w:tcPr>
            <w:tcW w:w="1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554,921</w:t>
            </w:r>
          </w:p>
        </w:tc>
        <w:tc>
          <w:tcPr>
            <w:tcW w:w="100" w:type="dxa"/>
            <w:vAlign w:val="bottom"/>
          </w:tcPr>
          <w:p>
            <w:pPr>
              <w:spacing w:after="0"/>
              <w:rPr>
                <w:sz w:val="16"/>
                <w:szCs w:val="16"/>
                <w:color w:val="auto"/>
              </w:rPr>
            </w:pPr>
          </w:p>
        </w:tc>
        <w:tc>
          <w:tcPr>
            <w:tcW w:w="1760" w:type="dxa"/>
            <w:vAlign w:val="bottom"/>
            <w:gridSpan w:val="2"/>
          </w:tcPr>
          <w:p>
            <w:pPr>
              <w:jc w:val="right"/>
              <w:ind w:right="4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392,646</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6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Construction</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253,937</w:t>
            </w:r>
          </w:p>
        </w:tc>
        <w:tc>
          <w:tcPr>
            <w:tcW w:w="100" w:type="dxa"/>
            <w:vAlign w:val="bottom"/>
            <w:shd w:val="clear" w:color="auto" w:fill="CCEEFF"/>
          </w:tcPr>
          <w:p>
            <w:pPr>
              <w:spacing w:after="0"/>
              <w:rPr>
                <w:sz w:val="17"/>
                <w:szCs w:val="17"/>
                <w:color w:val="auto"/>
              </w:rPr>
            </w:pPr>
          </w:p>
        </w:tc>
        <w:tc>
          <w:tcPr>
            <w:tcW w:w="176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231,348</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2660" w:type="dxa"/>
            <w:vAlign w:val="bottom"/>
          </w:tcPr>
          <w:p>
            <w:pPr>
              <w:ind w:left="40"/>
              <w:spacing w:after="0"/>
              <w:rPr>
                <w:sz w:val="20"/>
                <w:szCs w:val="20"/>
                <w:color w:val="auto"/>
              </w:rPr>
            </w:pPr>
            <w:r>
              <w:rPr>
                <w:rFonts w:ascii="Arial" w:cs="Arial" w:eastAsia="Arial" w:hAnsi="Arial"/>
                <w:sz w:val="14"/>
                <w:szCs w:val="14"/>
                <w:color w:val="auto"/>
              </w:rPr>
              <w:t>Commercial</w:t>
            </w:r>
          </w:p>
        </w:tc>
        <w:tc>
          <w:tcPr>
            <w:tcW w:w="1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167,536</w:t>
            </w:r>
          </w:p>
        </w:tc>
        <w:tc>
          <w:tcPr>
            <w:tcW w:w="100" w:type="dxa"/>
            <w:vAlign w:val="bottom"/>
          </w:tcPr>
          <w:p>
            <w:pPr>
              <w:spacing w:after="0"/>
              <w:rPr>
                <w:sz w:val="16"/>
                <w:szCs w:val="16"/>
                <w:color w:val="auto"/>
              </w:rPr>
            </w:pPr>
          </w:p>
        </w:tc>
        <w:tc>
          <w:tcPr>
            <w:tcW w:w="1760" w:type="dxa"/>
            <w:vAlign w:val="bottom"/>
            <w:gridSpan w:val="2"/>
          </w:tcPr>
          <w:p>
            <w:pPr>
              <w:jc w:val="right"/>
              <w:ind w:right="4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147,030</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0.07</w:t>
            </w:r>
          </w:p>
        </w:tc>
        <w:tc>
          <w:tcPr>
            <w:tcW w:w="0" w:type="dxa"/>
            <w:vAlign w:val="bottom"/>
          </w:tcPr>
          <w:p>
            <w:pPr>
              <w:spacing w:after="0"/>
              <w:rPr>
                <w:sz w:val="1"/>
                <w:szCs w:val="1"/>
                <w:color w:val="auto"/>
              </w:rPr>
            </w:pPr>
          </w:p>
        </w:tc>
      </w:tr>
      <w:tr>
        <w:trPr>
          <w:trHeight w:val="203"/>
        </w:trPr>
        <w:tc>
          <w:tcPr>
            <w:tcW w:w="2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Credit card</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124,923</w:t>
            </w: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0.71</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92,150</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0.31</w:t>
            </w:r>
          </w:p>
        </w:tc>
        <w:tc>
          <w:tcPr>
            <w:tcW w:w="0" w:type="dxa"/>
            <w:vAlign w:val="bottom"/>
          </w:tcPr>
          <w:p>
            <w:pPr>
              <w:spacing w:after="0"/>
              <w:rPr>
                <w:sz w:val="1"/>
                <w:szCs w:val="1"/>
                <w:color w:val="auto"/>
              </w:rPr>
            </w:pPr>
          </w:p>
        </w:tc>
      </w:tr>
      <w:tr>
        <w:trPr>
          <w:trHeight w:val="194"/>
        </w:trPr>
        <w:tc>
          <w:tcPr>
            <w:tcW w:w="2660" w:type="dxa"/>
            <w:vAlign w:val="bottom"/>
          </w:tcPr>
          <w:p>
            <w:pPr>
              <w:ind w:left="40"/>
              <w:spacing w:after="0"/>
              <w:rPr>
                <w:sz w:val="20"/>
                <w:szCs w:val="20"/>
                <w:color w:val="auto"/>
              </w:rPr>
            </w:pPr>
            <w:r>
              <w:rPr>
                <w:rFonts w:ascii="Arial" w:cs="Arial" w:eastAsia="Arial" w:hAnsi="Arial"/>
                <w:sz w:val="14"/>
                <w:szCs w:val="14"/>
                <w:color w:val="auto"/>
              </w:rPr>
              <w:t>Other consumer</w:t>
            </w:r>
          </w:p>
        </w:tc>
        <w:tc>
          <w:tcPr>
            <w:tcW w:w="1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480</w:t>
            </w:r>
          </w:p>
        </w:tc>
        <w:tc>
          <w:tcPr>
            <w:tcW w:w="100" w:type="dxa"/>
            <w:vAlign w:val="bottom"/>
          </w:tcPr>
          <w:p>
            <w:pPr>
              <w:spacing w:after="0"/>
              <w:rPr>
                <w:sz w:val="16"/>
                <w:szCs w:val="16"/>
                <w:color w:val="auto"/>
              </w:rPr>
            </w:pPr>
          </w:p>
        </w:tc>
        <w:tc>
          <w:tcPr>
            <w:tcW w:w="1760" w:type="dxa"/>
            <w:vAlign w:val="bottom"/>
            <w:gridSpan w:val="2"/>
          </w:tcPr>
          <w:p>
            <w:pPr>
              <w:jc w:val="right"/>
              <w:ind w:right="4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665</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266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881</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1,506,902</w:t>
            </w:r>
          </w:p>
        </w:tc>
        <w:tc>
          <w:tcPr>
            <w:tcW w:w="100" w:type="dxa"/>
            <w:vAlign w:val="bottom"/>
            <w:tcBorders>
              <w:top w:val="single" w:sz="8" w:color="CCEEFF"/>
            </w:tcBorders>
            <w:shd w:val="clear" w:color="auto" w:fill="CCEEFF"/>
          </w:tcPr>
          <w:p>
            <w:pPr>
              <w:spacing w:after="0"/>
              <w:rPr>
                <w:sz w:val="16"/>
                <w:szCs w:val="16"/>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0.06 %</w:t>
            </w:r>
          </w:p>
        </w:tc>
        <w:tc>
          <w:tcPr>
            <w:tcW w:w="2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387</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1,298,352</w:t>
            </w:r>
          </w:p>
        </w:tc>
        <w:tc>
          <w:tcPr>
            <w:tcW w:w="10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0.03</w:t>
            </w:r>
          </w:p>
        </w:tc>
        <w:tc>
          <w:tcPr>
            <w:tcW w:w="0" w:type="dxa"/>
            <w:vAlign w:val="bottom"/>
          </w:tcPr>
          <w:p>
            <w:pPr>
              <w:spacing w:after="0"/>
              <w:rPr>
                <w:sz w:val="1"/>
                <w:szCs w:val="1"/>
                <w:color w:val="auto"/>
              </w:rPr>
            </w:pPr>
          </w:p>
        </w:tc>
      </w:tr>
    </w:tbl>
    <w:p>
      <w:pPr>
        <w:spacing w:after="0" w:line="275" w:lineRule="exact"/>
        <w:rPr>
          <w:sz w:val="20"/>
          <w:szCs w:val="20"/>
          <w:color w:val="auto"/>
        </w:rPr>
      </w:pPr>
    </w:p>
    <w:p>
      <w:pPr>
        <w:jc w:val="both"/>
        <w:ind w:right="100" w:firstLine="318"/>
        <w:spacing w:after="0" w:line="260" w:lineRule="auto"/>
        <w:rPr>
          <w:sz w:val="20"/>
          <w:szCs w:val="20"/>
          <w:color w:val="auto"/>
        </w:rPr>
      </w:pPr>
      <w:r>
        <w:rPr>
          <w:rFonts w:ascii="Arial" w:cs="Arial" w:eastAsia="Arial" w:hAnsi="Arial"/>
          <w:sz w:val="18"/>
          <w:szCs w:val="18"/>
          <w:color w:val="auto"/>
        </w:rPr>
        <w:t>Total charge-offs for the periods ended March 31, 2022 and March 31, 2021 were primarily due to credit card charge-offs resulting from growth in our credit card portfolio and certain charges in excess of credit limits on our secured and partially secured credit cards, and not a general deterioration in overall credit quality.</w:t>
      </w:r>
    </w:p>
    <w:p>
      <w:pPr>
        <w:spacing w:after="0" w:line="175" w:lineRule="exact"/>
        <w:rPr>
          <w:sz w:val="20"/>
          <w:szCs w:val="20"/>
          <w:color w:val="auto"/>
        </w:rPr>
      </w:pPr>
    </w:p>
    <w:p>
      <w:pPr>
        <w:jc w:val="both"/>
        <w:ind w:right="100" w:firstLine="318"/>
        <w:spacing w:after="0" w:line="255" w:lineRule="auto"/>
        <w:rPr>
          <w:sz w:val="20"/>
          <w:szCs w:val="20"/>
          <w:color w:val="auto"/>
        </w:rPr>
      </w:pPr>
      <w:r>
        <w:rPr>
          <w:rFonts w:ascii="Arial" w:cs="Arial" w:eastAsia="Arial" w:hAnsi="Arial"/>
          <w:sz w:val="18"/>
          <w:szCs w:val="18"/>
          <w:color w:val="auto"/>
        </w:rPr>
        <w:t>As the loan portfolio and allowance for loan losses review processes continue to evolve, there may be changes to elements of the allowance and this may have an effect on the overall level of the allowance maintained. Historically, the Bank has enjoyed a high quality loan portfolio with relatively low levels of net charge-offs and low delinquency rates. The maintenance of a high quality portfolio will continue to be a high priority.</w:t>
      </w:r>
    </w:p>
    <w:p>
      <w:pPr>
        <w:spacing w:after="0" w:line="180" w:lineRule="exact"/>
        <w:rPr>
          <w:sz w:val="20"/>
          <w:szCs w:val="20"/>
          <w:color w:val="auto"/>
        </w:rPr>
      </w:pPr>
    </w:p>
    <w:p>
      <w:pPr>
        <w:jc w:val="both"/>
        <w:ind w:right="100" w:firstLine="318"/>
        <w:spacing w:after="0" w:line="253" w:lineRule="auto"/>
        <w:rPr>
          <w:sz w:val="20"/>
          <w:szCs w:val="20"/>
          <w:color w:val="auto"/>
        </w:rPr>
      </w:pPr>
      <w:r>
        <w:rPr>
          <w:rFonts w:ascii="Arial" w:cs="Arial" w:eastAsia="Arial" w:hAnsi="Arial"/>
          <w:sz w:val="18"/>
          <w:szCs w:val="18"/>
          <w:color w:val="auto"/>
        </w:rPr>
        <w:t>Management is intent on maintaining a strong credit review function and risk rating process. The Company has an experienced Credit Administration function, which provides independent analysis of credit requests and the management of problem credits. The Credit Department has developed and implemented analytical procedures for evaluating credit requests, has refined the Company’s risk rating system, and continues to adapt and enhance the monitoring of the loan portfolio. The loan portfolio analysis process is intended to contribute to the identification of weaknesses before they become more severe.</w:t>
      </w:r>
    </w:p>
    <w:p>
      <w:pPr>
        <w:spacing w:after="0" w:line="181" w:lineRule="exact"/>
        <w:rPr>
          <w:sz w:val="20"/>
          <w:szCs w:val="20"/>
          <w:color w:val="auto"/>
        </w:rPr>
      </w:pPr>
    </w:p>
    <w:p>
      <w:pPr>
        <w:jc w:val="both"/>
        <w:ind w:right="100" w:firstLine="318"/>
        <w:spacing w:after="0" w:line="260" w:lineRule="auto"/>
        <w:rPr>
          <w:sz w:val="20"/>
          <w:szCs w:val="20"/>
          <w:color w:val="auto"/>
        </w:rPr>
      </w:pPr>
      <w:r>
        <w:rPr>
          <w:rFonts w:ascii="Arial" w:cs="Arial" w:eastAsia="Arial" w:hAnsi="Arial"/>
          <w:sz w:val="18"/>
          <w:szCs w:val="18"/>
          <w:color w:val="auto"/>
        </w:rPr>
        <w:t>Although we believe we have established our allowance for loan losses in accordance with GAAP and that the allowance for loan losses was adequate to provide for known and inherent losses in the portfolio at all times shown above, future provisions for loan losses will be subject to ongoing evaluations of the risks in our loan portfolio.</w:t>
      </w:r>
    </w:p>
    <w:p>
      <w:pPr>
        <w:spacing w:after="0" w:line="175" w:lineRule="exact"/>
        <w:rPr>
          <w:sz w:val="20"/>
          <w:szCs w:val="20"/>
          <w:color w:val="auto"/>
        </w:rPr>
      </w:pPr>
    </w:p>
    <w:p>
      <w:pPr>
        <w:jc w:val="both"/>
        <w:ind w:right="100" w:firstLine="318"/>
        <w:spacing w:after="0" w:line="274" w:lineRule="auto"/>
        <w:rPr>
          <w:sz w:val="20"/>
          <w:szCs w:val="20"/>
          <w:color w:val="auto"/>
        </w:rPr>
      </w:pPr>
      <w:r>
        <w:rPr>
          <w:rFonts w:ascii="Arial" w:cs="Arial" w:eastAsia="Arial" w:hAnsi="Arial"/>
          <w:sz w:val="18"/>
          <w:szCs w:val="18"/>
          <w:color w:val="auto"/>
        </w:rPr>
        <w:t>The following table shows the allocation of the allowance for loan losses among loan categories as of the dates indicated. The total allowance is available to absorb losses from any loan category.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262255</wp:posOffset>
            </wp:positionV>
            <wp:extent cx="716026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53" w:name="page54"/>
    <w:bookmarkEnd w:id="53"/>
    <w:p>
      <w:pPr>
        <w:spacing w:after="0" w:line="16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ANALYSIS OF THE ALLOWANCE FOR LOAN LOSSES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7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tcPr>
          <w:p>
            <w:pPr>
              <w:jc w:val="right"/>
              <w:ind w:right="742"/>
              <w:spacing w:after="0"/>
              <w:rPr>
                <w:sz w:val="20"/>
                <w:szCs w:val="20"/>
                <w:color w:val="auto"/>
              </w:rPr>
            </w:pPr>
            <w:r>
              <w:rPr>
                <w:rFonts w:ascii="Arial" w:cs="Arial" w:eastAsia="Arial" w:hAnsi="Arial"/>
                <w:sz w:val="14"/>
                <w:szCs w:val="14"/>
                <w:b w:val="1"/>
                <w:bCs w:val="1"/>
                <w:color w:val="auto"/>
              </w:rPr>
              <w:t>March 31, 2022</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tcPr>
          <w:p>
            <w:pPr>
              <w:jc w:val="right"/>
              <w:ind w:right="622"/>
              <w:spacing w:after="0"/>
              <w:rPr>
                <w:sz w:val="20"/>
                <w:szCs w:val="20"/>
                <w:color w:val="auto"/>
              </w:rPr>
            </w:pPr>
            <w:r>
              <w:rPr>
                <w:rFonts w:ascii="Arial" w:cs="Arial" w:eastAsia="Arial" w:hAnsi="Arial"/>
                <w:sz w:val="14"/>
                <w:szCs w:val="14"/>
                <w:b w:val="1"/>
                <w:bCs w:val="1"/>
                <w:color w:val="auto"/>
              </w:rPr>
              <w:t>December 31, 2021</w:t>
            </w:r>
          </w:p>
        </w:tc>
      </w:tr>
      <w:tr>
        <w:trPr>
          <w:trHeight w:val="193"/>
        </w:trPr>
        <w:tc>
          <w:tcPr>
            <w:tcW w:w="57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Amount</w:t>
            </w:r>
          </w:p>
        </w:tc>
        <w:tc>
          <w:tcPr>
            <w:tcW w:w="1420" w:type="dxa"/>
            <w:vAlign w:val="bottom"/>
            <w:tcBorders>
              <w:bottom w:val="single" w:sz="8" w:color="auto"/>
            </w:tcBorders>
            <w:gridSpan w:val="2"/>
          </w:tcPr>
          <w:p>
            <w:pPr>
              <w:ind w:left="320"/>
              <w:spacing w:after="0" w:line="193" w:lineRule="exact"/>
              <w:rPr>
                <w:sz w:val="20"/>
                <w:szCs w:val="20"/>
                <w:color w:val="auto"/>
              </w:rPr>
            </w:pPr>
            <w:r>
              <w:rPr>
                <w:rFonts w:ascii="Arial" w:cs="Arial" w:eastAsia="Arial" w:hAnsi="Arial"/>
                <w:sz w:val="14"/>
                <w:szCs w:val="14"/>
                <w:b w:val="1"/>
                <w:bCs w:val="1"/>
                <w:color w:val="auto"/>
              </w:rPr>
              <w:t xml:space="preserve">Percent </w:t>
            </w:r>
            <w:r>
              <w:rPr>
                <w:rFonts w:ascii="Arial" w:cs="Arial" w:eastAsia="Arial" w:hAnsi="Arial"/>
                <w:sz w:val="18"/>
                <w:szCs w:val="18"/>
                <w:b w:val="1"/>
                <w:bCs w:val="1"/>
                <w:color w:val="auto"/>
                <w:vertAlign w:val="superscript"/>
              </w:rPr>
              <w:t>(1)</w:t>
            </w: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Amount</w:t>
            </w:r>
          </w:p>
        </w:tc>
        <w:tc>
          <w:tcPr>
            <w:tcW w:w="1300" w:type="dxa"/>
            <w:vAlign w:val="bottom"/>
            <w:tcBorders>
              <w:bottom w:val="single" w:sz="8" w:color="auto"/>
            </w:tcBorders>
          </w:tcPr>
          <w:p>
            <w:pPr>
              <w:jc w:val="right"/>
              <w:ind w:right="242"/>
              <w:spacing w:after="0" w:line="193" w:lineRule="exact"/>
              <w:rPr>
                <w:sz w:val="20"/>
                <w:szCs w:val="20"/>
                <w:color w:val="auto"/>
              </w:rPr>
            </w:pPr>
            <w:r>
              <w:rPr>
                <w:rFonts w:ascii="Arial" w:cs="Arial" w:eastAsia="Arial" w:hAnsi="Arial"/>
                <w:sz w:val="14"/>
                <w:szCs w:val="14"/>
                <w:b w:val="1"/>
                <w:bCs w:val="1"/>
                <w:color w:val="auto"/>
              </w:rPr>
              <w:t xml:space="preserve">Percent </w:t>
            </w:r>
            <w:r>
              <w:rPr>
                <w:rFonts w:ascii="Arial" w:cs="Arial" w:eastAsia="Arial" w:hAnsi="Arial"/>
                <w:sz w:val="18"/>
                <w:szCs w:val="18"/>
                <w:b w:val="1"/>
                <w:bCs w:val="1"/>
                <w:color w:val="auto"/>
                <w:vertAlign w:val="superscript"/>
              </w:rPr>
              <w:t>(1)</w:t>
            </w:r>
          </w:p>
        </w:tc>
      </w:tr>
      <w:tr>
        <w:trPr>
          <w:trHeight w:val="120"/>
        </w:trPr>
        <w:tc>
          <w:tcPr>
            <w:tcW w:w="5760" w:type="dxa"/>
            <w:vAlign w:val="bottom"/>
          </w:tcPr>
          <w:p>
            <w:pPr>
              <w:ind w:left="20"/>
              <w:spacing w:after="0" w:line="120" w:lineRule="exact"/>
              <w:rPr>
                <w:sz w:val="20"/>
                <w:szCs w:val="20"/>
                <w:color w:val="auto"/>
              </w:rPr>
            </w:pPr>
            <w:r>
              <w:rPr>
                <w:rFonts w:ascii="Arial" w:cs="Arial" w:eastAsia="Arial" w:hAnsi="Arial"/>
                <w:sz w:val="11"/>
                <w:szCs w:val="11"/>
                <w:color w:val="auto"/>
              </w:rPr>
              <w:t>(in thousands)</w:t>
            </w: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tcPr>
          <w:p>
            <w:pPr>
              <w:spacing w:after="0"/>
              <w:rPr>
                <w:sz w:val="10"/>
                <w:szCs w:val="10"/>
                <w:color w:val="auto"/>
              </w:rPr>
            </w:pPr>
          </w:p>
        </w:tc>
      </w:tr>
      <w:tr>
        <w:trPr>
          <w:trHeight w:val="230"/>
        </w:trPr>
        <w:tc>
          <w:tcPr>
            <w:tcW w:w="5760" w:type="dxa"/>
            <w:vAlign w:val="bottom"/>
          </w:tcPr>
          <w:p>
            <w:pPr>
              <w:ind w:left="20"/>
              <w:spacing w:after="0"/>
              <w:rPr>
                <w:sz w:val="20"/>
                <w:szCs w:val="20"/>
                <w:color w:val="auto"/>
              </w:rPr>
            </w:pPr>
            <w:r>
              <w:rPr>
                <w:rFonts w:ascii="Arial" w:cs="Arial" w:eastAsia="Arial" w:hAnsi="Arial"/>
                <w:sz w:val="16"/>
                <w:szCs w:val="16"/>
                <w:color w:val="auto"/>
              </w:rPr>
              <w:t>Real estate:</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13"/>
        </w:trPr>
        <w:tc>
          <w:tcPr>
            <w:tcW w:w="57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Residential</w:t>
            </w:r>
          </w:p>
        </w:tc>
        <w:tc>
          <w:tcPr>
            <w:tcW w:w="22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5,832</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23 %</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5,612</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22 %</w:t>
            </w:r>
          </w:p>
        </w:tc>
      </w:tr>
      <w:tr>
        <w:trPr>
          <w:trHeight w:val="212"/>
        </w:trPr>
        <w:tc>
          <w:tcPr>
            <w:tcW w:w="5760" w:type="dxa"/>
            <w:vAlign w:val="bottom"/>
          </w:tcPr>
          <w:p>
            <w:pPr>
              <w:ind w:left="180"/>
              <w:spacing w:after="0"/>
              <w:rPr>
                <w:sz w:val="20"/>
                <w:szCs w:val="20"/>
                <w:color w:val="auto"/>
              </w:rPr>
            </w:pPr>
            <w:r>
              <w:rPr>
                <w:rFonts w:ascii="Arial" w:cs="Arial" w:eastAsia="Arial" w:hAnsi="Arial"/>
                <w:sz w:val="16"/>
                <w:szCs w:val="16"/>
                <w:color w:val="auto"/>
              </w:rPr>
              <w:t>Commercial</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8,718</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35 %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8,566</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34 %</w:t>
            </w:r>
          </w:p>
        </w:tc>
      </w:tr>
      <w:tr>
        <w:trPr>
          <w:trHeight w:val="212"/>
        </w:trPr>
        <w:tc>
          <w:tcPr>
            <w:tcW w:w="57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Construction</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4,607</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18 %</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4,699</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19 %</w:t>
            </w:r>
          </w:p>
        </w:tc>
      </w:tr>
      <w:tr>
        <w:trPr>
          <w:trHeight w:val="212"/>
        </w:trPr>
        <w:tc>
          <w:tcPr>
            <w:tcW w:w="5760" w:type="dxa"/>
            <w:vAlign w:val="bottom"/>
          </w:tcPr>
          <w:p>
            <w:pPr>
              <w:ind w:left="20"/>
              <w:spacing w:after="0"/>
              <w:rPr>
                <w:sz w:val="20"/>
                <w:szCs w:val="20"/>
                <w:color w:val="auto"/>
              </w:rPr>
            </w:pPr>
            <w:r>
              <w:rPr>
                <w:rFonts w:ascii="Arial" w:cs="Arial" w:eastAsia="Arial" w:hAnsi="Arial"/>
                <w:sz w:val="16"/>
                <w:szCs w:val="16"/>
                <w:color w:val="auto"/>
              </w:rPr>
              <w:t>Commercial and Industrial</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2,350</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9 %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2,637</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10 %</w:t>
            </w:r>
          </w:p>
        </w:tc>
      </w:tr>
      <w:tr>
        <w:trPr>
          <w:trHeight w:val="212"/>
        </w:trPr>
        <w:tc>
          <w:tcPr>
            <w:tcW w:w="5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Credit card</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3,735</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15 %</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3,655</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15 %</w:t>
            </w:r>
          </w:p>
        </w:tc>
      </w:tr>
      <w:tr>
        <w:trPr>
          <w:trHeight w:val="212"/>
        </w:trPr>
        <w:tc>
          <w:tcPr>
            <w:tcW w:w="5760" w:type="dxa"/>
            <w:vAlign w:val="bottom"/>
          </w:tcPr>
          <w:p>
            <w:pPr>
              <w:ind w:left="20"/>
              <w:spacing w:after="0"/>
              <w:rPr>
                <w:sz w:val="20"/>
                <w:szCs w:val="20"/>
                <w:color w:val="auto"/>
              </w:rPr>
            </w:pPr>
            <w:r>
              <w:rPr>
                <w:rFonts w:ascii="Arial" w:cs="Arial" w:eastAsia="Arial" w:hAnsi="Arial"/>
                <w:sz w:val="16"/>
                <w:szCs w:val="16"/>
                <w:color w:val="auto"/>
              </w:rPr>
              <w:t>Other consumer</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10</w:t>
            </w:r>
          </w:p>
        </w:tc>
        <w:tc>
          <w:tcPr>
            <w:tcW w:w="1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 %</w:t>
            </w:r>
          </w:p>
        </w:tc>
        <w:tc>
          <w:tcPr>
            <w:tcW w:w="220" w:type="dxa"/>
            <w:vAlign w:val="bottom"/>
          </w:tcPr>
          <w:p>
            <w:pPr>
              <w:spacing w:after="0"/>
              <w:rPr>
                <w:sz w:val="18"/>
                <w:szCs w:val="18"/>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12</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30"/>
        </w:trPr>
        <w:tc>
          <w:tcPr>
            <w:tcW w:w="57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allowance for loan losses</w:t>
            </w:r>
          </w:p>
        </w:tc>
        <w:tc>
          <w:tcPr>
            <w:tcW w:w="22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25,252</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100 %</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25,181</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ind w:left="620" w:hanging="296"/>
        <w:spacing w:after="0" w:line="195" w:lineRule="auto"/>
        <w:tabs>
          <w:tab w:leader="none" w:pos="620" w:val="left"/>
        </w:tabs>
        <w:numPr>
          <w:ilvl w:val="0"/>
          <w:numId w:val="15"/>
        </w:numPr>
        <w:rPr>
          <w:rFonts w:ascii="Times New Roman" w:cs="Times New Roman" w:eastAsia="Times New Roman" w:hAnsi="Times New Roman"/>
          <w:sz w:val="18"/>
          <w:szCs w:val="18"/>
          <w:color w:val="auto"/>
          <w:vertAlign w:val="superscript"/>
        </w:rPr>
      </w:pPr>
      <w:r>
        <w:rPr>
          <w:rFonts w:ascii="Arial" w:cs="Arial" w:eastAsia="Arial" w:hAnsi="Arial"/>
          <w:sz w:val="11"/>
          <w:szCs w:val="11"/>
          <w:color w:val="auto"/>
        </w:rPr>
        <w:t>Loan category as a percentage of total portfolio loans which excludes SBA-PPP loans.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Liabilities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Total liabilities at March 31, 2022 saw an increase from the December 31, 2021 balance primarily due to growth in the deposit portfolio.</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Deposits</w:t>
      </w:r>
    </w:p>
    <w:p>
      <w:pPr>
        <w:spacing w:after="0" w:line="217" w:lineRule="exact"/>
        <w:rPr>
          <w:sz w:val="20"/>
          <w:szCs w:val="20"/>
          <w:color w:val="auto"/>
        </w:rPr>
      </w:pPr>
    </w:p>
    <w:p>
      <w:pPr>
        <w:jc w:val="both"/>
        <w:ind w:right="140" w:firstLine="318"/>
        <w:spacing w:after="0" w:line="250" w:lineRule="auto"/>
        <w:rPr>
          <w:sz w:val="20"/>
          <w:szCs w:val="20"/>
          <w:color w:val="auto"/>
        </w:rPr>
      </w:pPr>
      <w:r>
        <w:rPr>
          <w:rFonts w:ascii="Arial" w:cs="Arial" w:eastAsia="Arial" w:hAnsi="Arial"/>
          <w:sz w:val="18"/>
          <w:szCs w:val="18"/>
          <w:color w:val="auto"/>
        </w:rPr>
        <w:t>Deposits are the major source of funding for the Company. We offer a variety of deposit products including interest-bearing demand, savings, money market and time accounts all of which we actively market at competitive pricing. We generate deposits from our customers on a relationship basis and through the efforts of our commercial lending officers and our business banking officers. The Company continues to execute on its strategic initiative to improve the deposit portfolio mix by reducing reliance on wholesale time deposits. At March 31, 2022 and December 31, 2021, the Company had no balances pertaining to wholesale time deposits. Our credit card customers are also a significant source of low cost deposits. As of March 31, 2022 and December 31, 2021, our credit card customers accounted for $220.4 million and $229.5 million, or 26.7% and 29.1%, respectively, of our total noninterest bearing deposit balances.</w:t>
      </w:r>
    </w:p>
    <w:p>
      <w:pPr>
        <w:spacing w:after="0" w:line="18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the average balances and average rates paid on deposits for the periods indicated:</w:t>
      </w:r>
    </w:p>
    <w:p>
      <w:pPr>
        <w:spacing w:after="0" w:line="21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COMPOSITION OF AVERAGE DEPOSITS</w:t>
      </w:r>
    </w:p>
    <w:p>
      <w:pPr>
        <w:spacing w:after="0" w:line="266" w:lineRule="exact"/>
        <w:rPr>
          <w:sz w:val="20"/>
          <w:szCs w:val="20"/>
          <w:color w:val="auto"/>
        </w:rPr>
      </w:pPr>
    </w:p>
    <w:tbl>
      <w:tblPr>
        <w:tblLayout w:type="fixed"/>
        <w:tblInd w:w="320" w:type="dxa"/>
        <w:tblCellMar>
          <w:top w:w="0" w:type="dxa"/>
          <w:left w:w="0" w:type="dxa"/>
          <w:bottom w:w="0" w:type="dxa"/>
          <w:right w:w="0" w:type="dxa"/>
        </w:tblCellMar>
      </w:tblPr>
      <w:tr>
        <w:trPr>
          <w:trHeight w:val="194"/>
        </w:trPr>
        <w:tc>
          <w:tcPr>
            <w:tcW w:w="43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2"/>
          </w:tcPr>
          <w:p>
            <w:pPr>
              <w:jc w:val="right"/>
              <w:ind w:right="123"/>
              <w:spacing w:after="0"/>
              <w:rPr>
                <w:sz w:val="20"/>
                <w:szCs w:val="20"/>
                <w:color w:val="auto"/>
              </w:rPr>
            </w:pPr>
            <w:r>
              <w:rPr>
                <w:rFonts w:ascii="Arial" w:cs="Arial" w:eastAsia="Arial" w:hAnsi="Arial"/>
                <w:sz w:val="14"/>
                <w:szCs w:val="14"/>
                <w:b w:val="1"/>
                <w:bCs w:val="1"/>
                <w:color w:val="auto"/>
              </w:rPr>
              <w:t>For the Three Months Ended March 31, 2022</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2"/>
          </w:tcPr>
          <w:p>
            <w:pPr>
              <w:jc w:val="right"/>
              <w:ind w:right="183"/>
              <w:spacing w:after="0"/>
              <w:rPr>
                <w:sz w:val="20"/>
                <w:szCs w:val="20"/>
                <w:color w:val="auto"/>
              </w:rPr>
            </w:pPr>
            <w:r>
              <w:rPr>
                <w:rFonts w:ascii="Arial" w:cs="Arial" w:eastAsia="Arial" w:hAnsi="Arial"/>
                <w:sz w:val="14"/>
                <w:szCs w:val="14"/>
                <w:color w:val="auto"/>
              </w:rPr>
              <w:t>For the Year Ended December 31, 2021</w:t>
            </w:r>
          </w:p>
        </w:tc>
        <w:tc>
          <w:tcPr>
            <w:tcW w:w="0" w:type="dxa"/>
            <w:vAlign w:val="bottom"/>
          </w:tcPr>
          <w:p>
            <w:pPr>
              <w:spacing w:after="0"/>
              <w:rPr>
                <w:sz w:val="1"/>
                <w:szCs w:val="1"/>
                <w:color w:val="auto"/>
              </w:rPr>
            </w:pPr>
          </w:p>
        </w:tc>
      </w:tr>
      <w:tr>
        <w:trPr>
          <w:trHeight w:val="143"/>
        </w:trPr>
        <w:tc>
          <w:tcPr>
            <w:tcW w:w="4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right"/>
              <w:ind w:right="443"/>
              <w:spacing w:after="0" w:line="143" w:lineRule="exact"/>
              <w:rPr>
                <w:sz w:val="20"/>
                <w:szCs w:val="20"/>
                <w:color w:val="auto"/>
              </w:rPr>
            </w:pPr>
            <w:r>
              <w:rPr>
                <w:rFonts w:ascii="Arial" w:cs="Arial" w:eastAsia="Arial" w:hAnsi="Arial"/>
                <w:sz w:val="14"/>
                <w:szCs w:val="14"/>
                <w:b w:val="1"/>
                <w:bCs w:val="1"/>
                <w:color w:val="auto"/>
              </w:rPr>
              <w:t>Average</w:t>
            </w:r>
          </w:p>
        </w:tc>
        <w:tc>
          <w:tcPr>
            <w:tcW w:w="1920" w:type="dxa"/>
            <w:vAlign w:val="bottom"/>
            <w:gridSpan w:val="2"/>
          </w:tcPr>
          <w:p>
            <w:pPr>
              <w:jc w:val="center"/>
              <w:ind w:right="20"/>
              <w:spacing w:after="0" w:line="143" w:lineRule="exact"/>
              <w:rPr>
                <w:sz w:val="20"/>
                <w:szCs w:val="20"/>
                <w:color w:val="auto"/>
              </w:rPr>
            </w:pPr>
            <w:r>
              <w:rPr>
                <w:rFonts w:ascii="Arial" w:cs="Arial" w:eastAsia="Arial" w:hAnsi="Arial"/>
                <w:sz w:val="14"/>
                <w:szCs w:val="14"/>
                <w:b w:val="1"/>
                <w:bCs w:val="1"/>
                <w:color w:val="auto"/>
                <w:w w:val="97"/>
              </w:rPr>
              <w:t>Average</w:t>
            </w:r>
          </w:p>
        </w:tc>
        <w:tc>
          <w:tcPr>
            <w:tcW w:w="280" w:type="dxa"/>
            <w:vAlign w:val="bottom"/>
          </w:tcPr>
          <w:p>
            <w:pPr>
              <w:spacing w:after="0"/>
              <w:rPr>
                <w:sz w:val="12"/>
                <w:szCs w:val="12"/>
                <w:color w:val="auto"/>
              </w:rPr>
            </w:pPr>
          </w:p>
        </w:tc>
        <w:tc>
          <w:tcPr>
            <w:tcW w:w="1300" w:type="dxa"/>
            <w:vAlign w:val="bottom"/>
          </w:tcPr>
          <w:p>
            <w:pPr>
              <w:jc w:val="right"/>
              <w:ind w:right="463"/>
              <w:spacing w:after="0" w:line="143" w:lineRule="exact"/>
              <w:rPr>
                <w:sz w:val="20"/>
                <w:szCs w:val="20"/>
                <w:color w:val="auto"/>
              </w:rPr>
            </w:pPr>
            <w:r>
              <w:rPr>
                <w:rFonts w:ascii="Arial" w:cs="Arial" w:eastAsia="Arial" w:hAnsi="Arial"/>
                <w:sz w:val="14"/>
                <w:szCs w:val="14"/>
                <w:color w:val="auto"/>
              </w:rPr>
              <w:t>Average</w:t>
            </w:r>
          </w:p>
        </w:tc>
        <w:tc>
          <w:tcPr>
            <w:tcW w:w="1640" w:type="dxa"/>
            <w:vAlign w:val="bottom"/>
          </w:tcPr>
          <w:p>
            <w:pPr>
              <w:jc w:val="right"/>
              <w:ind w:right="343"/>
              <w:spacing w:after="0" w:line="143" w:lineRule="exact"/>
              <w:rPr>
                <w:sz w:val="20"/>
                <w:szCs w:val="20"/>
                <w:color w:val="auto"/>
              </w:rPr>
            </w:pPr>
            <w:r>
              <w:rPr>
                <w:rFonts w:ascii="Arial" w:cs="Arial" w:eastAsia="Arial" w:hAnsi="Arial"/>
                <w:sz w:val="14"/>
                <w:szCs w:val="14"/>
                <w:color w:val="auto"/>
              </w:rPr>
              <w:t>Average</w:t>
            </w:r>
          </w:p>
        </w:tc>
        <w:tc>
          <w:tcPr>
            <w:tcW w:w="0" w:type="dxa"/>
            <w:vAlign w:val="bottom"/>
          </w:tcPr>
          <w:p>
            <w:pPr>
              <w:spacing w:after="0"/>
              <w:rPr>
                <w:sz w:val="1"/>
                <w:szCs w:val="1"/>
                <w:color w:val="auto"/>
              </w:rPr>
            </w:pPr>
          </w:p>
        </w:tc>
      </w:tr>
      <w:tr>
        <w:trPr>
          <w:trHeight w:val="182"/>
        </w:trPr>
        <w:tc>
          <w:tcPr>
            <w:tcW w:w="4320" w:type="dxa"/>
            <w:vAlign w:val="bottom"/>
            <w:vMerge w:val="restart"/>
          </w:tcPr>
          <w:p>
            <w:pPr>
              <w:ind w:left="20"/>
              <w:spacing w:after="0"/>
              <w:rPr>
                <w:sz w:val="20"/>
                <w:szCs w:val="20"/>
                <w:color w:val="auto"/>
              </w:rPr>
            </w:pPr>
            <w:r>
              <w:rPr>
                <w:rFonts w:ascii="Arial" w:cs="Arial" w:eastAsia="Arial" w:hAnsi="Arial"/>
                <w:sz w:val="11"/>
                <w:szCs w:val="11"/>
                <w:color w:val="auto"/>
              </w:rPr>
              <w:t>(in thousands)</w:t>
            </w: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Balance</w:t>
            </w:r>
          </w:p>
        </w:tc>
        <w:tc>
          <w:tcPr>
            <w:tcW w:w="1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8"/>
              </w:rPr>
              <w:t>Rate</w:t>
            </w: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color w:val="auto"/>
              </w:rPr>
              <w:t>Balance</w:t>
            </w:r>
          </w:p>
        </w:tc>
        <w:tc>
          <w:tcPr>
            <w:tcW w:w="164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color w:val="auto"/>
              </w:rPr>
              <w:t>Rate</w:t>
            </w:r>
          </w:p>
        </w:tc>
        <w:tc>
          <w:tcPr>
            <w:tcW w:w="0" w:type="dxa"/>
            <w:vAlign w:val="bottom"/>
          </w:tcPr>
          <w:p>
            <w:pPr>
              <w:spacing w:after="0"/>
              <w:rPr>
                <w:sz w:val="1"/>
                <w:szCs w:val="1"/>
                <w:color w:val="auto"/>
              </w:rPr>
            </w:pPr>
          </w:p>
        </w:tc>
      </w:tr>
      <w:tr>
        <w:trPr>
          <w:trHeight w:val="130"/>
        </w:trPr>
        <w:tc>
          <w:tcPr>
            <w:tcW w:w="43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2"/>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Interest-bearing demand accounts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293,979</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0.05 %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289,285</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0.07</w:t>
            </w:r>
          </w:p>
        </w:tc>
        <w:tc>
          <w:tcPr>
            <w:tcW w:w="0" w:type="dxa"/>
            <w:vAlign w:val="bottom"/>
          </w:tcPr>
          <w:p>
            <w:pPr>
              <w:spacing w:after="0"/>
              <w:rPr>
                <w:sz w:val="1"/>
                <w:szCs w:val="1"/>
                <w:color w:val="auto"/>
              </w:rPr>
            </w:pPr>
          </w:p>
        </w:tc>
      </w:tr>
      <w:tr>
        <w:trPr>
          <w:trHeight w:val="212"/>
        </w:trPr>
        <w:tc>
          <w:tcPr>
            <w:tcW w:w="4320" w:type="dxa"/>
            <w:vAlign w:val="bottom"/>
          </w:tcPr>
          <w:p>
            <w:pPr>
              <w:ind w:left="20"/>
              <w:spacing w:after="0"/>
              <w:rPr>
                <w:sz w:val="20"/>
                <w:szCs w:val="20"/>
                <w:color w:val="auto"/>
              </w:rPr>
            </w:pPr>
            <w:r>
              <w:rPr>
                <w:rFonts w:ascii="Arial" w:cs="Arial" w:eastAsia="Arial" w:hAnsi="Arial"/>
                <w:sz w:val="16"/>
                <w:szCs w:val="16"/>
                <w:color w:val="auto"/>
              </w:rPr>
              <w:t>Money market accounts</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539,264</w:t>
            </w:r>
          </w:p>
        </w:tc>
        <w:tc>
          <w:tcPr>
            <w:tcW w:w="1800" w:type="dxa"/>
            <w:vAlign w:val="bottom"/>
          </w:tcPr>
          <w:p>
            <w:pPr>
              <w:jc w:val="right"/>
              <w:spacing w:after="0"/>
              <w:rPr>
                <w:sz w:val="20"/>
                <w:szCs w:val="20"/>
                <w:color w:val="auto"/>
              </w:rPr>
            </w:pPr>
            <w:r>
              <w:rPr>
                <w:rFonts w:ascii="Arial" w:cs="Arial" w:eastAsia="Arial" w:hAnsi="Arial"/>
                <w:sz w:val="16"/>
                <w:szCs w:val="16"/>
                <w:b w:val="1"/>
                <w:bCs w:val="1"/>
                <w:color w:val="auto"/>
              </w:rPr>
              <w:t>0.23 %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482,225</w:t>
            </w:r>
          </w:p>
        </w:tc>
        <w:tc>
          <w:tcPr>
            <w:tcW w:w="1640" w:type="dxa"/>
            <w:vAlign w:val="bottom"/>
          </w:tcPr>
          <w:p>
            <w:pPr>
              <w:jc w:val="right"/>
              <w:spacing w:after="0"/>
              <w:rPr>
                <w:sz w:val="20"/>
                <w:szCs w:val="20"/>
                <w:color w:val="auto"/>
              </w:rPr>
            </w:pPr>
            <w:r>
              <w:rPr>
                <w:rFonts w:ascii="Arial" w:cs="Arial" w:eastAsia="Arial" w:hAnsi="Arial"/>
                <w:sz w:val="16"/>
                <w:szCs w:val="16"/>
                <w:color w:val="auto"/>
              </w:rPr>
              <w:t>0.31</w:t>
            </w:r>
          </w:p>
        </w:tc>
        <w:tc>
          <w:tcPr>
            <w:tcW w:w="0" w:type="dxa"/>
            <w:vAlign w:val="bottom"/>
          </w:tcPr>
          <w:p>
            <w:pPr>
              <w:spacing w:after="0"/>
              <w:rPr>
                <w:sz w:val="1"/>
                <w:szCs w:val="1"/>
                <w:color w:val="auto"/>
              </w:rPr>
            </w:pPr>
          </w:p>
        </w:tc>
      </w:tr>
      <w:tr>
        <w:trPr>
          <w:trHeight w:val="212"/>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Savings accounts</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8,274</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0.05 %</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6,470</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0" w:type="dxa"/>
            <w:vAlign w:val="bottom"/>
          </w:tcPr>
          <w:p>
            <w:pPr>
              <w:spacing w:after="0"/>
              <w:rPr>
                <w:sz w:val="1"/>
                <w:szCs w:val="1"/>
                <w:color w:val="auto"/>
              </w:rPr>
            </w:pPr>
          </w:p>
        </w:tc>
      </w:tr>
      <w:tr>
        <w:trPr>
          <w:trHeight w:val="212"/>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Certificates of deposit</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170,748</w:t>
            </w:r>
          </w:p>
        </w:tc>
        <w:tc>
          <w:tcPr>
            <w:tcW w:w="180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1.29 %</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269,262</w:t>
            </w:r>
          </w:p>
        </w:tc>
        <w:tc>
          <w:tcPr>
            <w:tcW w:w="16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205"/>
        </w:trPr>
        <w:tc>
          <w:tcPr>
            <w:tcW w:w="4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interest-bearing deposits</w:t>
            </w:r>
          </w:p>
        </w:tc>
        <w:tc>
          <w:tcPr>
            <w:tcW w:w="14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1,012,265</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0.35 %</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1,047,242</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0.55</w:t>
            </w:r>
          </w:p>
        </w:tc>
        <w:tc>
          <w:tcPr>
            <w:tcW w:w="0" w:type="dxa"/>
            <w:vAlign w:val="bottom"/>
          </w:tcPr>
          <w:p>
            <w:pPr>
              <w:spacing w:after="0"/>
              <w:rPr>
                <w:sz w:val="1"/>
                <w:szCs w:val="1"/>
                <w:color w:val="auto"/>
              </w:rPr>
            </w:pPr>
          </w:p>
        </w:tc>
      </w:tr>
      <w:tr>
        <w:trPr>
          <w:trHeight w:val="205"/>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Noninterest-bearing demand accounts</w:t>
            </w: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782,747</w:t>
            </w:r>
          </w:p>
        </w:tc>
        <w:tc>
          <w:tcPr>
            <w:tcW w:w="18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750,760</w:t>
            </w:r>
          </w:p>
        </w:tc>
        <w:tc>
          <w:tcPr>
            <w:tcW w:w="16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deposits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1,795,012</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0.20 %</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1,798,002</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0.32</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262255</wp:posOffset>
            </wp:positionV>
            <wp:extent cx="716026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54" w:name="page55"/>
    <w:bookmarkEnd w:id="54"/>
    <w:p>
      <w:pPr>
        <w:spacing w:after="0" w:line="16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the maturities of our certificates of deposit as of March 31, 2022.</w:t>
      </w:r>
    </w:p>
    <w:p>
      <w:pPr>
        <w:spacing w:after="0" w:line="21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MATURITIES OF CERTIFICATES OF DEPOSIT</w:t>
      </w:r>
    </w:p>
    <w:p>
      <w:pPr>
        <w:spacing w:after="0" w:line="251"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Over</w:t>
            </w:r>
          </w:p>
        </w:tc>
        <w:tc>
          <w:tcPr>
            <w:tcW w:w="240" w:type="dxa"/>
            <w:vAlign w:val="bottom"/>
          </w:tcPr>
          <w:p>
            <w:pPr>
              <w:spacing w:after="0"/>
              <w:rPr>
                <w:sz w:val="14"/>
                <w:szCs w:val="14"/>
                <w:color w:val="auto"/>
              </w:rPr>
            </w:pPr>
          </w:p>
        </w:tc>
        <w:tc>
          <w:tcPr>
            <w:tcW w:w="12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rPr>
              <w:t>Over Six</w:t>
            </w: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9"/>
              </w:rPr>
              <w:t>Three</w:t>
            </w:r>
          </w:p>
        </w:tc>
        <w:tc>
          <w:tcPr>
            <w:tcW w:w="240" w:type="dxa"/>
            <w:vAlign w:val="bottom"/>
          </w:tcPr>
          <w:p>
            <w:pPr>
              <w:spacing w:after="0"/>
              <w:rPr>
                <w:sz w:val="12"/>
                <w:szCs w:val="12"/>
                <w:color w:val="auto"/>
              </w:rPr>
            </w:pPr>
          </w:p>
        </w:tc>
        <w:tc>
          <w:tcPr>
            <w:tcW w:w="1200" w:type="dxa"/>
            <w:vAlign w:val="bottom"/>
            <w:gridSpan w:val="2"/>
          </w:tcPr>
          <w:p>
            <w:pPr>
              <w:jc w:val="center"/>
              <w:ind w:right="340"/>
              <w:spacing w:after="0" w:line="142" w:lineRule="exact"/>
              <w:rPr>
                <w:sz w:val="20"/>
                <w:szCs w:val="20"/>
                <w:color w:val="auto"/>
              </w:rPr>
            </w:pPr>
            <w:r>
              <w:rPr>
                <w:rFonts w:ascii="Arial" w:cs="Arial" w:eastAsia="Arial" w:hAnsi="Arial"/>
                <w:sz w:val="14"/>
                <w:szCs w:val="14"/>
                <w:b w:val="1"/>
                <w:bCs w:val="1"/>
                <w:color w:val="auto"/>
                <w:w w:val="99"/>
              </w:rPr>
              <w:t>Three</w:t>
            </w:r>
          </w:p>
        </w:tc>
        <w:tc>
          <w:tcPr>
            <w:tcW w:w="2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rPr>
              <w:t>Over</w:t>
            </w: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rPr>
              <w:t>Through</w:t>
            </w:r>
          </w:p>
        </w:tc>
        <w:tc>
          <w:tcPr>
            <w:tcW w:w="240" w:type="dxa"/>
            <w:vAlign w:val="bottom"/>
          </w:tcPr>
          <w:p>
            <w:pPr>
              <w:spacing w:after="0"/>
              <w:rPr>
                <w:sz w:val="11"/>
                <w:szCs w:val="11"/>
                <w:color w:val="auto"/>
              </w:rPr>
            </w:pPr>
          </w:p>
        </w:tc>
        <w:tc>
          <w:tcPr>
            <w:tcW w:w="120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rPr>
              <w:t>Through</w:t>
            </w:r>
          </w:p>
        </w:tc>
        <w:tc>
          <w:tcPr>
            <w:tcW w:w="24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340"/>
              <w:spacing w:after="0" w:line="146" w:lineRule="exact"/>
              <w:rPr>
                <w:sz w:val="20"/>
                <w:szCs w:val="20"/>
                <w:color w:val="auto"/>
              </w:rPr>
            </w:pPr>
            <w:r>
              <w:rPr>
                <w:rFonts w:ascii="Arial" w:cs="Arial" w:eastAsia="Arial" w:hAnsi="Arial"/>
                <w:sz w:val="14"/>
                <w:szCs w:val="14"/>
                <w:b w:val="1"/>
                <w:bCs w:val="1"/>
                <w:color w:val="auto"/>
              </w:rPr>
              <w:t>Months or</w:t>
            </w:r>
          </w:p>
        </w:tc>
        <w:tc>
          <w:tcPr>
            <w:tcW w:w="240" w:type="dxa"/>
            <w:vAlign w:val="bottom"/>
          </w:tcPr>
          <w:p>
            <w:pPr>
              <w:spacing w:after="0"/>
              <w:rPr>
                <w:sz w:val="12"/>
                <w:szCs w:val="12"/>
                <w:color w:val="auto"/>
              </w:rPr>
            </w:pPr>
          </w:p>
        </w:tc>
        <w:tc>
          <w:tcPr>
            <w:tcW w:w="1200" w:type="dxa"/>
            <w:vAlign w:val="bottom"/>
            <w:gridSpan w:val="2"/>
          </w:tcPr>
          <w:p>
            <w:pPr>
              <w:jc w:val="center"/>
              <w:ind w:right="340"/>
              <w:spacing w:after="0" w:line="146" w:lineRule="exact"/>
              <w:rPr>
                <w:sz w:val="20"/>
                <w:szCs w:val="20"/>
                <w:color w:val="auto"/>
              </w:rPr>
            </w:pPr>
            <w:r>
              <w:rPr>
                <w:rFonts w:ascii="Arial" w:cs="Arial" w:eastAsia="Arial" w:hAnsi="Arial"/>
                <w:sz w:val="14"/>
                <w:szCs w:val="14"/>
                <w:b w:val="1"/>
                <w:bCs w:val="1"/>
                <w:color w:val="auto"/>
              </w:rPr>
              <w:t>Six</w:t>
            </w:r>
          </w:p>
        </w:tc>
        <w:tc>
          <w:tcPr>
            <w:tcW w:w="240" w:type="dxa"/>
            <w:vAlign w:val="bottom"/>
          </w:tcPr>
          <w:p>
            <w:pPr>
              <w:spacing w:after="0"/>
              <w:rPr>
                <w:sz w:val="12"/>
                <w:szCs w:val="12"/>
                <w:color w:val="auto"/>
              </w:rPr>
            </w:pPr>
          </w:p>
        </w:tc>
        <w:tc>
          <w:tcPr>
            <w:tcW w:w="1200" w:type="dxa"/>
            <w:vAlign w:val="bottom"/>
            <w:gridSpan w:val="2"/>
          </w:tcPr>
          <w:p>
            <w:pPr>
              <w:jc w:val="center"/>
              <w:ind w:right="380"/>
              <w:spacing w:after="0" w:line="146" w:lineRule="exact"/>
              <w:rPr>
                <w:sz w:val="20"/>
                <w:szCs w:val="20"/>
                <w:color w:val="auto"/>
              </w:rPr>
            </w:pPr>
            <w:r>
              <w:rPr>
                <w:rFonts w:ascii="Arial" w:cs="Arial" w:eastAsia="Arial" w:hAnsi="Arial"/>
                <w:sz w:val="14"/>
                <w:szCs w:val="14"/>
                <w:b w:val="1"/>
                <w:bCs w:val="1"/>
                <w:color w:val="auto"/>
                <w:w w:val="98"/>
              </w:rPr>
              <w:t>Twelve</w:t>
            </w:r>
          </w:p>
        </w:tc>
        <w:tc>
          <w:tcPr>
            <w:tcW w:w="240" w:type="dxa"/>
            <w:vAlign w:val="bottom"/>
          </w:tcPr>
          <w:p>
            <w:pPr>
              <w:spacing w:after="0"/>
              <w:rPr>
                <w:sz w:val="12"/>
                <w:szCs w:val="12"/>
                <w:color w:val="auto"/>
              </w:rPr>
            </w:pPr>
          </w:p>
        </w:tc>
        <w:tc>
          <w:tcPr>
            <w:tcW w:w="1180" w:type="dxa"/>
            <w:vAlign w:val="bottom"/>
            <w:gridSpan w:val="2"/>
          </w:tcPr>
          <w:p>
            <w:pPr>
              <w:jc w:val="center"/>
              <w:ind w:right="360"/>
              <w:spacing w:after="0" w:line="146" w:lineRule="exact"/>
              <w:rPr>
                <w:sz w:val="20"/>
                <w:szCs w:val="20"/>
                <w:color w:val="auto"/>
              </w:rPr>
            </w:pPr>
            <w:r>
              <w:rPr>
                <w:rFonts w:ascii="Arial" w:cs="Arial" w:eastAsia="Arial" w:hAnsi="Arial"/>
                <w:sz w:val="14"/>
                <w:szCs w:val="14"/>
                <w:b w:val="1"/>
                <w:bCs w:val="1"/>
                <w:color w:val="auto"/>
                <w:w w:val="98"/>
              </w:rPr>
              <w:t>Twelve</w:t>
            </w:r>
          </w:p>
        </w:tc>
        <w:tc>
          <w:tcPr>
            <w:tcW w:w="300" w:type="dxa"/>
            <w:vAlign w:val="bottom"/>
          </w:tcPr>
          <w:p>
            <w:pPr>
              <w:spacing w:after="0"/>
              <w:rPr>
                <w:sz w:val="12"/>
                <w:szCs w:val="12"/>
                <w:color w:val="auto"/>
              </w:rPr>
            </w:pPr>
          </w:p>
        </w:tc>
        <w:tc>
          <w:tcPr>
            <w:tcW w:w="860" w:type="dxa"/>
            <w:vAlign w:val="bottom"/>
            <w:vMerge w:val="restart"/>
          </w:tcPr>
          <w:p>
            <w:pPr>
              <w:jc w:val="right"/>
              <w:ind w:right="26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140" w:type="dxa"/>
            <w:vAlign w:val="bottom"/>
            <w:vMerge w:val="restart"/>
          </w:tcPr>
          <w:p>
            <w:pPr>
              <w:ind w:left="20"/>
              <w:spacing w:after="0"/>
              <w:rPr>
                <w:sz w:val="20"/>
                <w:szCs w:val="20"/>
                <w:color w:val="auto"/>
              </w:rPr>
            </w:pPr>
            <w:r>
              <w:rPr>
                <w:rFonts w:ascii="Arial" w:cs="Arial" w:eastAsia="Arial" w:hAnsi="Arial"/>
                <w:sz w:val="11"/>
                <w:szCs w:val="11"/>
                <w:color w:val="auto"/>
              </w:rPr>
              <w:t>(in thousands)</w:t>
            </w: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Less</w:t>
            </w: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Months</w:t>
            </w: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Months</w:t>
            </w: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rPr>
              <w:t>Months</w:t>
            </w: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414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2"/>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$250,000 or more</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10,866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83,491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104,90</w:t>
            </w:r>
          </w:p>
        </w:tc>
        <w:tc>
          <w:tcPr>
            <w:tcW w:w="0" w:type="dxa"/>
            <w:vAlign w:val="bottom"/>
          </w:tcPr>
          <w:p>
            <w:pPr>
              <w:spacing w:after="0"/>
              <w:rPr>
                <w:sz w:val="1"/>
                <w:szCs w:val="1"/>
                <w:color w:val="auto"/>
              </w:rPr>
            </w:pPr>
          </w:p>
        </w:tc>
      </w:tr>
      <w:tr>
        <w:trPr>
          <w:trHeight w:val="211"/>
        </w:trPr>
        <w:tc>
          <w:tcPr>
            <w:tcW w:w="4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than $250,000</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15,312</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12,204</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24,320</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5,404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57,24</w:t>
            </w:r>
          </w:p>
        </w:tc>
        <w:tc>
          <w:tcPr>
            <w:tcW w:w="0" w:type="dxa"/>
            <w:vAlign w:val="bottom"/>
          </w:tcPr>
          <w:p>
            <w:pPr>
              <w:spacing w:after="0"/>
              <w:rPr>
                <w:sz w:val="1"/>
                <w:szCs w:val="1"/>
                <w:color w:val="auto"/>
              </w:rPr>
            </w:pPr>
          </w:p>
        </w:tc>
      </w:tr>
      <w:tr>
        <w:trPr>
          <w:trHeight w:val="231"/>
        </w:trPr>
        <w:tc>
          <w:tcPr>
            <w:tcW w:w="4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21,521</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23,070</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107,811</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9,741</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162,14</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jc w:val="both"/>
        <w:ind w:right="100" w:firstLine="318"/>
        <w:spacing w:after="0" w:line="260" w:lineRule="auto"/>
        <w:rPr>
          <w:sz w:val="20"/>
          <w:szCs w:val="20"/>
          <w:color w:val="auto"/>
        </w:rPr>
      </w:pPr>
      <w:r>
        <w:rPr>
          <w:rFonts w:ascii="Arial" w:cs="Arial" w:eastAsia="Arial" w:hAnsi="Arial"/>
          <w:sz w:val="18"/>
          <w:szCs w:val="18"/>
          <w:color w:val="auto"/>
        </w:rPr>
        <w:t>As of March 31, 2022 and December 31, 2021, based on the methodologies and assumptions used for the Bank’s regulatory reporting requirements, approximately $989.9 million or 52.7% and $972.4 million or 54.1%, respectively, of our deposit portfolio was uninsured. Uninsured deposits are comprised of the portion of account balances that are in excess of FDIC insurance limits.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Borrowings</w:t>
      </w:r>
    </w:p>
    <w:p>
      <w:pPr>
        <w:spacing w:after="0" w:line="217" w:lineRule="exact"/>
        <w:rPr>
          <w:sz w:val="20"/>
          <w:szCs w:val="20"/>
          <w:color w:val="auto"/>
        </w:rPr>
      </w:pPr>
    </w:p>
    <w:p>
      <w:pPr>
        <w:jc w:val="both"/>
        <w:ind w:right="100" w:firstLine="318"/>
        <w:spacing w:after="0" w:line="274" w:lineRule="auto"/>
        <w:rPr>
          <w:sz w:val="20"/>
          <w:szCs w:val="20"/>
          <w:color w:val="auto"/>
        </w:rPr>
      </w:pPr>
      <w:r>
        <w:rPr>
          <w:rFonts w:ascii="Arial" w:cs="Arial" w:eastAsia="Arial" w:hAnsi="Arial"/>
          <w:sz w:val="18"/>
          <w:szCs w:val="18"/>
          <w:color w:val="auto"/>
        </w:rPr>
        <w:t>We utilize short-term and long-term borrowings to supplement deposits to fund our lending and investment activities, each of which is discussed below.</w:t>
      </w:r>
    </w:p>
    <w:p>
      <w:pPr>
        <w:spacing w:after="0" w:line="163" w:lineRule="exact"/>
        <w:rPr>
          <w:sz w:val="20"/>
          <w:szCs w:val="20"/>
          <w:color w:val="auto"/>
        </w:rPr>
      </w:pPr>
    </w:p>
    <w:p>
      <w:pPr>
        <w:jc w:val="both"/>
        <w:ind w:right="100" w:firstLine="318"/>
        <w:spacing w:after="0" w:line="251" w:lineRule="auto"/>
        <w:rPr>
          <w:sz w:val="20"/>
          <w:szCs w:val="20"/>
          <w:color w:val="auto"/>
        </w:rPr>
      </w:pPr>
      <w:r>
        <w:rPr>
          <w:rFonts w:ascii="Arial" w:cs="Arial" w:eastAsia="Arial" w:hAnsi="Arial"/>
          <w:sz w:val="18"/>
          <w:szCs w:val="18"/>
          <w:i w:val="1"/>
          <w:iCs w:val="1"/>
          <w:color w:val="auto"/>
        </w:rPr>
        <w:t>FHLB Advances</w:t>
      </w:r>
      <w:r>
        <w:rPr>
          <w:rFonts w:ascii="Arial" w:cs="Arial" w:eastAsia="Arial" w:hAnsi="Arial"/>
          <w:sz w:val="18"/>
          <w:szCs w:val="18"/>
          <w:color w:val="auto"/>
        </w:rPr>
        <w:t>. The FHLB allows us to borrow up to 25% of our assets on a blanket floating lien status collateralized by certain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and loans. As of March 31, 2022, approximately $523.8 million in real estate loans were pledged as collateral for our FHLB borrowings. Of the $523.8 million in loans pledged to the FHLB, our total borrowing capacity at March 31, 2022 was $348.2 million. None of our investment securities were pledged with the FHLB as of March 31, 2022. We utilize these borrowings to meet liquidity needs and to fund certain fixed rate loans in our portfolio. As of March 31, 2022, we had $22.0 million in outstanding advances and $326.2 million in available borrowing capacity from the FHLB.</w:t>
      </w:r>
    </w:p>
    <w:p>
      <w:pPr>
        <w:spacing w:after="0" w:line="185" w:lineRule="exact"/>
        <w:rPr>
          <w:sz w:val="20"/>
          <w:szCs w:val="20"/>
          <w:color w:val="auto"/>
        </w:rPr>
      </w:pPr>
    </w:p>
    <w:p>
      <w:pPr>
        <w:jc w:val="both"/>
        <w:ind w:right="100" w:firstLine="318"/>
        <w:spacing w:after="0" w:line="274" w:lineRule="auto"/>
        <w:rPr>
          <w:sz w:val="20"/>
          <w:szCs w:val="20"/>
          <w:color w:val="auto"/>
        </w:rPr>
      </w:pPr>
      <w:r>
        <w:rPr>
          <w:rFonts w:ascii="Arial" w:cs="Arial" w:eastAsia="Arial" w:hAnsi="Arial"/>
          <w:sz w:val="18"/>
          <w:szCs w:val="18"/>
          <w:i w:val="1"/>
          <w:iCs w:val="1"/>
          <w:color w:val="auto"/>
        </w:rPr>
        <w:t xml:space="preserve">Other borrowed funds. </w:t>
      </w:r>
      <w:r>
        <w:rPr>
          <w:rFonts w:ascii="Arial" w:cs="Arial" w:eastAsia="Arial" w:hAnsi="Arial"/>
          <w:sz w:val="18"/>
          <w:szCs w:val="18"/>
          <w:color w:val="auto"/>
        </w:rPr>
        <w:t>The Company has also issued junior subordinated debentures and other subordinated notes. At March 31, 2022,</w:t>
      </w:r>
      <w:r>
        <w:rPr>
          <w:rFonts w:ascii="Arial" w:cs="Arial" w:eastAsia="Arial" w:hAnsi="Arial"/>
          <w:sz w:val="18"/>
          <w:szCs w:val="18"/>
          <w:i w:val="1"/>
          <w:iCs w:val="1"/>
          <w:color w:val="auto"/>
        </w:rPr>
        <w:t xml:space="preserve"> </w:t>
      </w:r>
      <w:r>
        <w:rPr>
          <w:rFonts w:ascii="Arial" w:cs="Arial" w:eastAsia="Arial" w:hAnsi="Arial"/>
          <w:sz w:val="18"/>
          <w:szCs w:val="18"/>
          <w:color w:val="auto"/>
        </w:rPr>
        <w:t>these other borrowings amounted to $12.1 million.</w:t>
      </w:r>
    </w:p>
    <w:p>
      <w:pPr>
        <w:spacing w:after="0" w:line="163" w:lineRule="exact"/>
        <w:rPr>
          <w:sz w:val="20"/>
          <w:szCs w:val="20"/>
          <w:color w:val="auto"/>
        </w:rPr>
      </w:pPr>
    </w:p>
    <w:p>
      <w:pPr>
        <w:jc w:val="both"/>
        <w:ind w:right="100" w:firstLine="318"/>
        <w:spacing w:after="0" w:line="260" w:lineRule="auto"/>
        <w:rPr>
          <w:sz w:val="20"/>
          <w:szCs w:val="20"/>
          <w:color w:val="auto"/>
        </w:rPr>
      </w:pPr>
      <w:r>
        <w:rPr>
          <w:rFonts w:ascii="Arial" w:cs="Arial" w:eastAsia="Arial" w:hAnsi="Arial"/>
          <w:sz w:val="18"/>
          <w:szCs w:val="18"/>
          <w:color w:val="auto"/>
        </w:rPr>
        <w:t>At March 31, 2022, our junior subordinated debentures amounted to $2.1 million. The junior subordinated debentures were issued in June of 2006, mature on June 15, 2036, and may be redeemed prior to that date under certain circumstances. The principal amount of the debentures has not changed since issuance, and they accrue interest at a floating rate equal to the three-month LIBOR plus 1.87%.</w:t>
      </w:r>
    </w:p>
    <w:p>
      <w:pPr>
        <w:spacing w:after="0" w:line="175" w:lineRule="exact"/>
        <w:rPr>
          <w:sz w:val="20"/>
          <w:szCs w:val="20"/>
          <w:color w:val="auto"/>
        </w:rPr>
      </w:pPr>
    </w:p>
    <w:p>
      <w:pPr>
        <w:jc w:val="both"/>
        <w:ind w:right="100" w:firstLine="318"/>
        <w:spacing w:after="0" w:line="255" w:lineRule="auto"/>
        <w:rPr>
          <w:sz w:val="20"/>
          <w:szCs w:val="20"/>
          <w:color w:val="auto"/>
        </w:rPr>
      </w:pPr>
      <w:r>
        <w:rPr>
          <w:rFonts w:ascii="Arial" w:cs="Arial" w:eastAsia="Arial" w:hAnsi="Arial"/>
          <w:sz w:val="18"/>
          <w:szCs w:val="18"/>
          <w:color w:val="auto"/>
        </w:rPr>
        <w:t>On November 30, 2020, the Company issued $10.0 million in subordinated notes due in 2030 to repay the higher yielding subordinated noted amounting to $13.5 million. The notes have a ten year term and have a fixed rate of 5.00% for the first five years; thereafter, the rate resets quarterly to a benchmark rate plus 490 basis points. The notes may be redeemed in part or in whole, upon the occurrence of certain events.</w:t>
      </w:r>
    </w:p>
    <w:p>
      <w:pPr>
        <w:spacing w:after="0" w:line="180" w:lineRule="exact"/>
        <w:rPr>
          <w:sz w:val="20"/>
          <w:szCs w:val="20"/>
          <w:color w:val="auto"/>
        </w:rPr>
      </w:pPr>
    </w:p>
    <w:p>
      <w:pPr>
        <w:jc w:val="both"/>
        <w:ind w:right="100" w:firstLine="318"/>
        <w:spacing w:after="0" w:line="255" w:lineRule="auto"/>
        <w:rPr>
          <w:sz w:val="20"/>
          <w:szCs w:val="20"/>
          <w:color w:val="auto"/>
        </w:rPr>
      </w:pPr>
      <w:r>
        <w:rPr>
          <w:rFonts w:ascii="Arial" w:cs="Arial" w:eastAsia="Arial" w:hAnsi="Arial"/>
          <w:sz w:val="18"/>
          <w:szCs w:val="18"/>
          <w:color w:val="auto"/>
        </w:rPr>
        <w:t>The Federal Reserve Bank of Richmond has an available borrower in custody arrangement which allows us to borrow on a collateralized basis. The Company’s borrowing capacity under the Federal Reserve’s discount window program was $21.1 million as of March 31, 2022. Certain commercial loans are pledged under this arrangement. We maintain this borrowing arrangement to meet liquidity needs pursuant to our contingency funding plan. No advances were outstanding under this facility as of March 31, 2022.</w:t>
      </w:r>
    </w:p>
    <w:p>
      <w:pPr>
        <w:spacing w:after="0" w:line="180" w:lineRule="exact"/>
        <w:rPr>
          <w:sz w:val="20"/>
          <w:szCs w:val="20"/>
          <w:color w:val="auto"/>
        </w:rPr>
      </w:pPr>
    </w:p>
    <w:p>
      <w:pPr>
        <w:jc w:val="both"/>
        <w:ind w:right="100" w:firstLine="318"/>
        <w:spacing w:after="0" w:line="274" w:lineRule="auto"/>
        <w:rPr>
          <w:sz w:val="20"/>
          <w:szCs w:val="20"/>
          <w:color w:val="auto"/>
        </w:rPr>
      </w:pPr>
      <w:r>
        <w:rPr>
          <w:rFonts w:ascii="Arial" w:cs="Arial" w:eastAsia="Arial" w:hAnsi="Arial"/>
          <w:sz w:val="18"/>
          <w:szCs w:val="18"/>
          <w:color w:val="auto"/>
        </w:rPr>
        <w:t>The Company also has available lines of credit of $76.0 million with other correspondent banks at March 31, 2022, as well as access to certificate of deposit funding through a financial network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262255</wp:posOffset>
            </wp:positionV>
            <wp:extent cx="716026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55" w:name="page56"/>
    <w:bookmarkEnd w:id="55"/>
    <w:p>
      <w:pPr>
        <w:spacing w:after="0" w:line="167"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wholesale brokers. Our funding policy limits use of this funding source to 30% of the Bank’s deposits. These lines were not utilized at March 31, 2022.</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217"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Liquidity is defined as the Bank’s capacity to meet its cash and collateral obligations at a reasonable cost. Maintaining an adequate level of liquidity depends on the Bank’s ability to meet both expected and unexpected cash flows and collateral needs efficiently without adversely affecting either daily operations or the financial condition of the Bank. Liquidity risk is the risk that we will be unable to meet our obligations as they become due because of an inability to liquidate assets or obtain adequate funding. The Bank’s obligations, and the funding sources used to meet them, depend significantly on our business mix, balance sheet structure and the cash flow profiles of our on- and off-balance sheet obligations. In managing our cash flows, management regularly confronts situations that can give rise to increased liquidity risk. These include funding mismatches, market constraints on the ability to convert assets into cash or in accessing sources of funds (i.e., market liquidity) and contingent liquidity events. Changes in economic conditions or exposure to credit, market, operational, legal and reputational risks also could affect the Bank’s liquidity risk profile and are considered in the assessment of liquidity and asset/liability management.</w:t>
      </w:r>
    </w:p>
    <w:p>
      <w:pPr>
        <w:spacing w:after="0" w:line="187"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Management has established a management process for identifying, measuring, monitoring and controlling liquidity risk. Because of its critical importance to the viability of the Bank, liquidity risk management is fully integrated into our risk management processes. Critical elements of our liquidity risk management include: corporate governance consisting of oversight by the board of directors and active involvement by management; strategies, policies, procedures, and limits used to manage and mitigate liquidity risk; liquidity risk measurement and monitoring systems (including assessments of the current and prospective cash flows or sources and uses of funds) that are believed to be commensurate with the complexity and business activities of the Bank; active management of intraday liquidity and collateral; a diverse mix of existing and potential future funding sources; holding liquid marketable securities, free of legal, regulatory or operational impediments, that can be used to meet liquidity needs in stressful situations; contingency funding plans that address potential adverse liquidity events and emergency cash flow requirements; and internal controls and internal audit processes believed to be sufficient to determine the adequacy of the institution’s liquidity risk management process.</w:t>
      </w:r>
    </w:p>
    <w:p>
      <w:pPr>
        <w:spacing w:after="0" w:line="185"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We expect funds to be available from a number of basic banking activity sources, including the core deposit base, the repayment and maturity of loans and investment security cash flows. Other potential funding sources include brokered certificates of deposit, deposit listing services, CDARS, borrowings from the FHLB and other lines of credit.</w:t>
      </w:r>
    </w:p>
    <w:p>
      <w:pPr>
        <w:spacing w:after="0" w:line="17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As of March 31, 2022, we had $326.2 million of available borrowing capacity from the FHLB, $21.1 of available borrowing capacity from the Federal Reserve Bank of Richmond and available lines of credit of $76.0 million with other correspondent banks. Cash and cash equivalents were $313.8 million at March 31, 2022. We believe our liquidity resources are at sufficient levels to fund loans and meet other cash needs as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262255</wp:posOffset>
            </wp:positionV>
            <wp:extent cx="716026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Resources</w:t>
      </w:r>
    </w:p>
    <w:p>
      <w:pPr>
        <w:spacing w:after="0" w:line="217"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Stockholders’ equity increased $3.6 million for the period ended March 31, 2022 compared to December 31, 2021 largely due to net income of $10.2 million for the first quarter of 2022 that was offset by a $6.7 million unrealized loss, net of tax, in available for sale securities.</w:t>
      </w:r>
    </w:p>
    <w:p>
      <w:pPr>
        <w:spacing w:after="0" w:line="163" w:lineRule="exact"/>
        <w:rPr>
          <w:sz w:val="20"/>
          <w:szCs w:val="20"/>
          <w:color w:val="auto"/>
        </w:rPr>
      </w:pPr>
    </w:p>
    <w:p>
      <w:pPr>
        <w:jc w:val="both"/>
        <w:ind w:firstLine="318"/>
        <w:spacing w:after="0" w:line="304" w:lineRule="auto"/>
        <w:rPr>
          <w:sz w:val="20"/>
          <w:szCs w:val="20"/>
          <w:color w:val="auto"/>
        </w:rPr>
      </w:pPr>
      <w:r>
        <w:rPr>
          <w:rFonts w:ascii="Arial" w:cs="Arial" w:eastAsia="Arial" w:hAnsi="Arial"/>
          <w:sz w:val="17"/>
          <w:szCs w:val="17"/>
          <w:color w:val="auto"/>
        </w:rPr>
        <w:t>The Company uses several indicators of capital strength. The most commonly used measure is average common equity to average assets (computed as average equity divided by average total assets), which was 9.91% at March 31, 2022 and 8.82% at December 31, 2021.</w:t>
      </w:r>
    </w:p>
    <w:p>
      <w:pPr>
        <w:spacing w:after="0" w:line="141"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Bank is subject to various regulatory capital requirements administered by the federal banking agencies. Failure to meet minimum capital requirements can precipitate certain mandatory and possibly additional discretionary actions by regulators that, if undertaken, could have a material effect on the Company’s financial statements. Under capital adequacy guidelines and the regulatory framework for prompt corrective action, the Bank must meet specific capital guidelines that involve quantitative measures of its assets, liabilities, and certain off-balance sheet items as calculated under regulatory accounting practices. The capital amounts and classifications are also subject to qualitative judgments by the regulators.</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Quantitative measures established by regulation to ensure capital adequacy require the Bank to maintain minimum ratios of common equity</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Tier 1, Tier 1, and total capital as a percentage of assets and off-balance sheet exposures, adjusted for risk weights ranging from 0% to 1250%.</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The Bank is also required to maintain capital at a minimum level based on quarterly average assets, which is known as the leverage ratio.</w:t>
      </w:r>
    </w:p>
    <w:p>
      <w:pPr>
        <w:spacing w:after="0" w:line="20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 July 2013, federal bank regulatory agencies issued a final rule that revised their risk-based capital requirements and the method for calculating risk-weighted assets to make them consistent with certain standards that were developed by Basel III and certain provisions of the Dodd-Frank Act. The final rule applies to all depository institutions and bank holding companies and savings and loan holding companies with total consolidated assets of more than $1 billion. The Bank was required to implement the new Basel III capital standards (subject to the phase-in for certain parts of the new rules) as of January 1, 2015. In August of 2018 the Regulatory Relief Act directed the Federal Reserve Board to revise the Small BHC Policy Statement to raise the total consolidated asset limit in the Small BHC Policy Statement from $1 billion to $3 billion. The Company is currently exempt from the consolidated capital requirements.</w:t>
      </w:r>
    </w:p>
    <w:p>
      <w:pPr>
        <w:spacing w:after="0" w:line="187"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8"/>
          <w:szCs w:val="18"/>
          <w:color w:val="auto"/>
        </w:rPr>
        <w:t>The ability of the Company to continue to grow is dependent on its earnings and those of the Bank, the ability to obtain additional funds for contribution to the Bank’s capital, through additional borrowings, through the sale of additional common stock or preferred stock, or through the issuance of additional qualifying capital instruments, such as subordinated debt. The capital levels required to be maintained by the Company and Bank may be impacted as a result of the Bank’s concentrations in commercial real estate loans. See "”Risks Related to the Regulation of Our Industry” in Part I, Item 1A - Risk Factors in the Annual Report on Form 10-K for the year ended December 31, 2021.</w:t>
      </w:r>
    </w:p>
    <w:p>
      <w:pPr>
        <w:spacing w:after="0" w:line="18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As of March 31, 2022, the Bank was in compliance with all applicable regulatory capital requirements to which it was subject, and the Bank was classified as “well capitalized” for purposes of the prompt corrective action regulations. As we deploy our capital and continue to grow our operations, our regulatory capital levels may decrease depending on our level of earnings. However, we intend to monitor and control our growth relative to our earnings in order to remain in compliance with all regulatory capital standards applicable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262255</wp:posOffset>
            </wp:positionV>
            <wp:extent cx="716026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167" w:lineRule="exact"/>
        <w:rPr>
          <w:sz w:val="20"/>
          <w:szCs w:val="20"/>
          <w:color w:val="auto"/>
        </w:rPr>
      </w:pPr>
    </w:p>
    <w:p>
      <w:pPr>
        <w:jc w:val="both"/>
        <w:ind w:right="100" w:firstLine="318"/>
        <w:spacing w:after="0" w:line="274" w:lineRule="auto"/>
        <w:rPr>
          <w:sz w:val="20"/>
          <w:szCs w:val="20"/>
          <w:color w:val="auto"/>
        </w:rPr>
      </w:pPr>
      <w:r>
        <w:rPr>
          <w:rFonts w:ascii="Arial" w:cs="Arial" w:eastAsia="Arial" w:hAnsi="Arial"/>
          <w:sz w:val="18"/>
          <w:szCs w:val="18"/>
          <w:color w:val="auto"/>
        </w:rPr>
        <w:t>The following table presents the regulatory capital ratios for the Company (as if applicable to the Company) and the Bank as of the dates indicated.</w:t>
      </w:r>
    </w:p>
    <w:p>
      <w:pPr>
        <w:spacing w:after="0" w:line="190" w:lineRule="exact"/>
        <w:rPr>
          <w:sz w:val="20"/>
          <w:szCs w:val="20"/>
          <w:color w:val="auto"/>
        </w:rPr>
      </w:pPr>
    </w:p>
    <w:tbl>
      <w:tblPr>
        <w:tblLayout w:type="fixed"/>
        <w:tblInd w:w="3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Actual</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20" w:type="dxa"/>
            <w:vAlign w:val="bottom"/>
            <w:gridSpan w:val="3"/>
          </w:tcPr>
          <w:p>
            <w:pPr>
              <w:ind w:left="320"/>
              <w:spacing w:after="0"/>
              <w:rPr>
                <w:sz w:val="20"/>
                <w:szCs w:val="20"/>
                <w:color w:val="auto"/>
              </w:rPr>
            </w:pPr>
            <w:r>
              <w:rPr>
                <w:rFonts w:ascii="Arial" w:cs="Arial" w:eastAsia="Arial" w:hAnsi="Arial"/>
                <w:sz w:val="13"/>
                <w:szCs w:val="13"/>
                <w:b w:val="1"/>
                <w:bCs w:val="1"/>
                <w:color w:val="auto"/>
              </w:rPr>
              <w:t>Minimum Capital</w:t>
            </w:r>
          </w:p>
        </w:tc>
        <w:tc>
          <w:tcPr>
            <w:tcW w:w="140" w:type="dxa"/>
            <w:vAlign w:val="bottom"/>
          </w:tcPr>
          <w:p>
            <w:pPr>
              <w:spacing w:after="0"/>
              <w:rPr>
                <w:sz w:val="13"/>
                <w:szCs w:val="13"/>
                <w:color w:val="auto"/>
              </w:rPr>
            </w:pPr>
          </w:p>
        </w:tc>
        <w:tc>
          <w:tcPr>
            <w:tcW w:w="1660" w:type="dxa"/>
            <w:vAlign w:val="bottom"/>
            <w:gridSpan w:val="2"/>
          </w:tcPr>
          <w:p>
            <w:pPr>
              <w:jc w:val="right"/>
              <w:ind w:right="393"/>
              <w:spacing w:after="0"/>
              <w:rPr>
                <w:sz w:val="20"/>
                <w:szCs w:val="20"/>
                <w:color w:val="auto"/>
              </w:rPr>
            </w:pPr>
            <w:r>
              <w:rPr>
                <w:rFonts w:ascii="Arial" w:cs="Arial" w:eastAsia="Arial" w:hAnsi="Arial"/>
                <w:sz w:val="13"/>
                <w:szCs w:val="13"/>
                <w:b w:val="1"/>
                <w:bCs w:val="1"/>
                <w:color w:val="auto"/>
              </w:rPr>
              <w:t>To Be Well</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20" w:type="dxa"/>
            <w:vAlign w:val="bottom"/>
            <w:gridSpan w:val="3"/>
          </w:tcPr>
          <w:p>
            <w:pPr>
              <w:spacing w:after="0"/>
              <w:rPr>
                <w:sz w:val="20"/>
                <w:szCs w:val="20"/>
                <w:color w:val="auto"/>
              </w:rPr>
            </w:pPr>
            <w:r>
              <w:rPr>
                <w:rFonts w:ascii="Arial" w:cs="Arial" w:eastAsia="Arial" w:hAnsi="Arial"/>
                <w:sz w:val="11"/>
                <w:szCs w:val="11"/>
                <w:i w:val="1"/>
                <w:iCs w:val="1"/>
                <w:color w:val="auto"/>
              </w:rPr>
              <w:t>(in thousands)</w:t>
            </w: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2"/>
          </w:tcPr>
          <w:p>
            <w:pPr>
              <w:jc w:val="right"/>
              <w:ind w:right="573"/>
              <w:spacing w:after="0"/>
              <w:rPr>
                <w:sz w:val="20"/>
                <w:szCs w:val="20"/>
                <w:color w:val="auto"/>
              </w:rPr>
            </w:pPr>
            <w:r>
              <w:rPr>
                <w:rFonts w:ascii="Arial" w:cs="Arial" w:eastAsia="Arial" w:hAnsi="Arial"/>
                <w:sz w:val="13"/>
                <w:szCs w:val="13"/>
                <w:b w:val="1"/>
                <w:bCs w:val="1"/>
                <w:color w:val="auto"/>
              </w:rPr>
              <w:t>Adequacy</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2"/>
          </w:tcPr>
          <w:p>
            <w:pPr>
              <w:jc w:val="right"/>
              <w:ind w:right="373"/>
              <w:spacing w:after="0"/>
              <w:rPr>
                <w:sz w:val="20"/>
                <w:szCs w:val="20"/>
                <w:color w:val="auto"/>
              </w:rPr>
            </w:pPr>
            <w:r>
              <w:rPr>
                <w:rFonts w:ascii="Arial" w:cs="Arial" w:eastAsia="Arial" w:hAnsi="Arial"/>
                <w:sz w:val="13"/>
                <w:szCs w:val="13"/>
                <w:b w:val="1"/>
                <w:bCs w:val="1"/>
                <w:color w:val="auto"/>
              </w:rPr>
              <w:t>Capitalized</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120" w:type="dxa"/>
            <w:vAlign w:val="bottom"/>
            <w:gridSpan w:val="3"/>
          </w:tcPr>
          <w:p>
            <w:pPr>
              <w:spacing w:after="0" w:line="157" w:lineRule="exact"/>
              <w:rPr>
                <w:sz w:val="20"/>
                <w:szCs w:val="20"/>
                <w:color w:val="auto"/>
              </w:rPr>
            </w:pPr>
            <w:r>
              <w:rPr>
                <w:rFonts w:ascii="Arial" w:cs="Arial" w:eastAsia="Arial" w:hAnsi="Arial"/>
                <w:sz w:val="14"/>
                <w:szCs w:val="14"/>
                <w:b w:val="1"/>
                <w:bCs w:val="1"/>
                <w:color w:val="auto"/>
              </w:rPr>
              <w:t>March 31, 2022</w:t>
            </w:r>
          </w:p>
        </w:tc>
        <w:tc>
          <w:tcPr>
            <w:tcW w:w="120" w:type="dxa"/>
            <w:vAlign w:val="bottom"/>
          </w:tcPr>
          <w:p>
            <w:pPr>
              <w:spacing w:after="0"/>
              <w:rPr>
                <w:sz w:val="13"/>
                <w:szCs w:val="13"/>
                <w:color w:val="auto"/>
              </w:rPr>
            </w:pPr>
          </w:p>
        </w:tc>
        <w:tc>
          <w:tcPr>
            <w:tcW w:w="1100" w:type="dxa"/>
            <w:vAlign w:val="bottom"/>
          </w:tcPr>
          <w:p>
            <w:pPr>
              <w:jc w:val="right"/>
              <w:ind w:right="454"/>
              <w:spacing w:after="0" w:line="157" w:lineRule="exact"/>
              <w:rPr>
                <w:sz w:val="20"/>
                <w:szCs w:val="20"/>
                <w:color w:val="auto"/>
              </w:rPr>
            </w:pPr>
            <w:r>
              <w:rPr>
                <w:rFonts w:ascii="Arial" w:cs="Arial" w:eastAsia="Arial" w:hAnsi="Arial"/>
                <w:sz w:val="14"/>
                <w:szCs w:val="14"/>
                <w:b w:val="1"/>
                <w:bCs w:val="1"/>
                <w:color w:val="auto"/>
              </w:rPr>
              <w:t>Amount</w:t>
            </w:r>
          </w:p>
        </w:tc>
        <w:tc>
          <w:tcPr>
            <w:tcW w:w="820" w:type="dxa"/>
            <w:vAlign w:val="bottom"/>
            <w:gridSpan w:val="2"/>
          </w:tcPr>
          <w:p>
            <w:pPr>
              <w:ind w:left="60"/>
              <w:spacing w:after="0" w:line="157" w:lineRule="exact"/>
              <w:rPr>
                <w:sz w:val="20"/>
                <w:szCs w:val="20"/>
                <w:color w:val="auto"/>
              </w:rPr>
            </w:pPr>
            <w:r>
              <w:rPr>
                <w:rFonts w:ascii="Arial" w:cs="Arial" w:eastAsia="Arial" w:hAnsi="Arial"/>
                <w:sz w:val="14"/>
                <w:szCs w:val="14"/>
                <w:b w:val="1"/>
                <w:bCs w:val="1"/>
                <w:color w:val="auto"/>
              </w:rPr>
              <w:t>Ratio</w:t>
            </w:r>
          </w:p>
        </w:tc>
        <w:tc>
          <w:tcPr>
            <w:tcW w:w="120" w:type="dxa"/>
            <w:vAlign w:val="bottom"/>
          </w:tcPr>
          <w:p>
            <w:pPr>
              <w:spacing w:after="0"/>
              <w:rPr>
                <w:sz w:val="13"/>
                <w:szCs w:val="13"/>
                <w:color w:val="auto"/>
              </w:rPr>
            </w:pPr>
          </w:p>
        </w:tc>
        <w:tc>
          <w:tcPr>
            <w:tcW w:w="920" w:type="dxa"/>
            <w:vAlign w:val="bottom"/>
          </w:tcPr>
          <w:p>
            <w:pPr>
              <w:jc w:val="right"/>
              <w:ind w:right="274"/>
              <w:spacing w:after="0" w:line="157" w:lineRule="exact"/>
              <w:rPr>
                <w:sz w:val="20"/>
                <w:szCs w:val="20"/>
                <w:color w:val="auto"/>
              </w:rPr>
            </w:pPr>
            <w:r>
              <w:rPr>
                <w:rFonts w:ascii="Arial" w:cs="Arial" w:eastAsia="Arial" w:hAnsi="Arial"/>
                <w:sz w:val="14"/>
                <w:szCs w:val="14"/>
                <w:b w:val="1"/>
                <w:bCs w:val="1"/>
                <w:color w:val="auto"/>
              </w:rPr>
              <w:t>Amount</w:t>
            </w:r>
          </w:p>
        </w:tc>
        <w:tc>
          <w:tcPr>
            <w:tcW w:w="1000" w:type="dxa"/>
            <w:vAlign w:val="bottom"/>
            <w:gridSpan w:val="2"/>
          </w:tcPr>
          <w:p>
            <w:pPr>
              <w:ind w:left="240"/>
              <w:spacing w:after="0" w:line="157" w:lineRule="exact"/>
              <w:rPr>
                <w:sz w:val="20"/>
                <w:szCs w:val="20"/>
                <w:color w:val="auto"/>
              </w:rPr>
            </w:pPr>
            <w:r>
              <w:rPr>
                <w:rFonts w:ascii="Arial" w:cs="Arial" w:eastAsia="Arial" w:hAnsi="Arial"/>
                <w:sz w:val="14"/>
                <w:szCs w:val="14"/>
                <w:b w:val="1"/>
                <w:bCs w:val="1"/>
                <w:color w:val="auto"/>
              </w:rPr>
              <w:t>Ratio</w:t>
            </w:r>
          </w:p>
        </w:tc>
        <w:tc>
          <w:tcPr>
            <w:tcW w:w="140" w:type="dxa"/>
            <w:vAlign w:val="bottom"/>
          </w:tcPr>
          <w:p>
            <w:pPr>
              <w:spacing w:after="0"/>
              <w:rPr>
                <w:sz w:val="13"/>
                <w:szCs w:val="13"/>
                <w:color w:val="auto"/>
              </w:rPr>
            </w:pPr>
          </w:p>
        </w:tc>
        <w:tc>
          <w:tcPr>
            <w:tcW w:w="940" w:type="dxa"/>
            <w:vAlign w:val="bottom"/>
          </w:tcPr>
          <w:p>
            <w:pPr>
              <w:jc w:val="right"/>
              <w:ind w:right="314"/>
              <w:spacing w:after="0" w:line="157" w:lineRule="exact"/>
              <w:rPr>
                <w:sz w:val="20"/>
                <w:szCs w:val="20"/>
                <w:color w:val="auto"/>
              </w:rPr>
            </w:pPr>
            <w:r>
              <w:rPr>
                <w:rFonts w:ascii="Arial" w:cs="Arial" w:eastAsia="Arial" w:hAnsi="Arial"/>
                <w:sz w:val="14"/>
                <w:szCs w:val="14"/>
                <w:b w:val="1"/>
                <w:bCs w:val="1"/>
                <w:color w:val="auto"/>
              </w:rPr>
              <w:t>Amount</w:t>
            </w:r>
          </w:p>
        </w:tc>
        <w:tc>
          <w:tcPr>
            <w:tcW w:w="720" w:type="dxa"/>
            <w:vAlign w:val="bottom"/>
          </w:tcPr>
          <w:p>
            <w:pPr>
              <w:jc w:val="right"/>
              <w:ind w:right="53"/>
              <w:spacing w:after="0" w:line="157" w:lineRule="exact"/>
              <w:rPr>
                <w:sz w:val="20"/>
                <w:szCs w:val="20"/>
                <w:color w:val="auto"/>
              </w:rPr>
            </w:pPr>
            <w:r>
              <w:rPr>
                <w:rFonts w:ascii="Arial" w:cs="Arial" w:eastAsia="Arial" w:hAnsi="Arial"/>
                <w:sz w:val="14"/>
                <w:szCs w:val="14"/>
                <w:b w:val="1"/>
                <w:bCs w:val="1"/>
                <w:color w:val="auto"/>
              </w:rPr>
              <w:t>Ratio</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5120" w:type="dxa"/>
            <w:vAlign w:val="bottom"/>
            <w:gridSpan w:val="3"/>
            <w:shd w:val="clear" w:color="auto" w:fill="CCEEFF"/>
          </w:tcPr>
          <w:p>
            <w:pPr>
              <w:spacing w:after="0"/>
              <w:rPr>
                <w:sz w:val="20"/>
                <w:szCs w:val="20"/>
                <w:color w:val="auto"/>
              </w:rPr>
            </w:pPr>
            <w:r>
              <w:rPr>
                <w:rFonts w:ascii="Arial" w:cs="Arial" w:eastAsia="Arial" w:hAnsi="Arial"/>
                <w:sz w:val="13"/>
                <w:szCs w:val="13"/>
                <w:b w:val="1"/>
                <w:bCs w:val="1"/>
                <w:color w:val="auto"/>
              </w:rPr>
              <w:t>The Company</w:t>
            </w: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120" w:type="dxa"/>
            <w:vAlign w:val="bottom"/>
            <w:gridSpan w:val="3"/>
          </w:tcPr>
          <w:p>
            <w:pPr>
              <w:ind w:left="120"/>
              <w:spacing w:after="0"/>
              <w:rPr>
                <w:sz w:val="20"/>
                <w:szCs w:val="20"/>
                <w:color w:val="auto"/>
              </w:rPr>
            </w:pPr>
            <w:r>
              <w:rPr>
                <w:rFonts w:ascii="Arial" w:cs="Arial" w:eastAsia="Arial" w:hAnsi="Arial"/>
                <w:sz w:val="13"/>
                <w:szCs w:val="13"/>
                <w:color w:val="auto"/>
              </w:rPr>
              <w:t>Tier 1 leverage ratio (to average assets)</w:t>
            </w: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00" w:type="dxa"/>
            <w:vAlign w:val="bottom"/>
          </w:tcPr>
          <w:p>
            <w:pPr>
              <w:jc w:val="right"/>
              <w:ind w:right="374"/>
              <w:spacing w:after="0"/>
              <w:rPr>
                <w:sz w:val="20"/>
                <w:szCs w:val="20"/>
                <w:color w:val="auto"/>
              </w:rPr>
            </w:pPr>
            <w:r>
              <w:rPr>
                <w:rFonts w:ascii="Arial" w:cs="Arial" w:eastAsia="Arial" w:hAnsi="Arial"/>
                <w:sz w:val="13"/>
                <w:szCs w:val="13"/>
                <w:b w:val="1"/>
                <w:bCs w:val="1"/>
                <w:color w:val="auto"/>
              </w:rPr>
              <w:t>211,377</w:t>
            </w: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10.25 %</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920" w:type="dxa"/>
            <w:vAlign w:val="bottom"/>
          </w:tcPr>
          <w:p>
            <w:pPr>
              <w:jc w:val="right"/>
              <w:ind w:right="174"/>
              <w:spacing w:after="0"/>
              <w:rPr>
                <w:sz w:val="20"/>
                <w:szCs w:val="20"/>
                <w:color w:val="auto"/>
              </w:rPr>
            </w:pPr>
            <w:r>
              <w:rPr>
                <w:rFonts w:ascii="Arial" w:cs="Arial" w:eastAsia="Arial" w:hAnsi="Arial"/>
                <w:sz w:val="13"/>
                <w:szCs w:val="13"/>
                <w:b w:val="1"/>
                <w:bCs w:val="1"/>
                <w:color w:val="auto"/>
              </w:rPr>
              <w:t>82,460</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4.00 %</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ind w:right="174"/>
              <w:spacing w:after="0"/>
              <w:rPr>
                <w:sz w:val="20"/>
                <w:szCs w:val="20"/>
                <w:color w:val="auto"/>
              </w:rPr>
            </w:pPr>
            <w:r>
              <w:rPr>
                <w:rFonts w:ascii="Arial" w:cs="Arial" w:eastAsia="Arial" w:hAnsi="Arial"/>
                <w:sz w:val="13"/>
                <w:szCs w:val="13"/>
                <w:color w:val="auto"/>
              </w:rPr>
              <w:t>N/A</w:t>
            </w: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shd w:val="clear" w:color="auto" w:fill="CCEEFF"/>
          </w:tcPr>
          <w:p>
            <w:pPr>
              <w:spacing w:after="0"/>
              <w:rPr>
                <w:sz w:val="16"/>
                <w:szCs w:val="16"/>
                <w:color w:val="auto"/>
              </w:rPr>
            </w:pPr>
          </w:p>
        </w:tc>
        <w:tc>
          <w:tcPr>
            <w:tcW w:w="5120" w:type="dxa"/>
            <w:vAlign w:val="bottom"/>
            <w:gridSpan w:val="3"/>
            <w:shd w:val="clear" w:color="auto" w:fill="CCEEFF"/>
          </w:tcPr>
          <w:p>
            <w:pPr>
              <w:ind w:left="120"/>
              <w:spacing w:after="0"/>
              <w:rPr>
                <w:sz w:val="20"/>
                <w:szCs w:val="20"/>
                <w:color w:val="auto"/>
              </w:rPr>
            </w:pPr>
            <w:r>
              <w:rPr>
                <w:rFonts w:ascii="Arial" w:cs="Arial" w:eastAsia="Arial" w:hAnsi="Arial"/>
                <w:sz w:val="13"/>
                <w:szCs w:val="13"/>
                <w:color w:val="auto"/>
              </w:rPr>
              <w:t>Tier 1 capital (to risk-weighted assets)</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374"/>
              <w:spacing w:after="0"/>
              <w:rPr>
                <w:sz w:val="20"/>
                <w:szCs w:val="20"/>
                <w:color w:val="auto"/>
              </w:rPr>
            </w:pPr>
            <w:r>
              <w:rPr>
                <w:rFonts w:ascii="Arial" w:cs="Arial" w:eastAsia="Arial" w:hAnsi="Arial"/>
                <w:sz w:val="13"/>
                <w:szCs w:val="13"/>
                <w:b w:val="1"/>
                <w:bCs w:val="1"/>
                <w:color w:val="auto"/>
              </w:rPr>
              <w:t>211,377</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15.19 %</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74"/>
              <w:spacing w:after="0"/>
              <w:rPr>
                <w:sz w:val="20"/>
                <w:szCs w:val="20"/>
                <w:color w:val="auto"/>
              </w:rPr>
            </w:pPr>
            <w:r>
              <w:rPr>
                <w:rFonts w:ascii="Arial" w:cs="Arial" w:eastAsia="Arial" w:hAnsi="Arial"/>
                <w:sz w:val="13"/>
                <w:szCs w:val="13"/>
                <w:b w:val="1"/>
                <w:bCs w:val="1"/>
                <w:color w:val="auto"/>
              </w:rPr>
              <w:t>83,507</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6.00 %</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74"/>
              <w:spacing w:after="0"/>
              <w:rPr>
                <w:sz w:val="20"/>
                <w:szCs w:val="20"/>
                <w:color w:val="auto"/>
              </w:rPr>
            </w:pPr>
            <w:r>
              <w:rPr>
                <w:rFonts w:ascii="Arial" w:cs="Arial" w:eastAsia="Arial" w:hAnsi="Arial"/>
                <w:sz w:val="13"/>
                <w:szCs w:val="13"/>
                <w:color w:val="auto"/>
              </w:rPr>
              <w:t>N/A</w:t>
            </w: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120" w:type="dxa"/>
            <w:vAlign w:val="bottom"/>
            <w:gridSpan w:val="3"/>
          </w:tcPr>
          <w:p>
            <w:pPr>
              <w:ind w:left="120"/>
              <w:spacing w:after="0"/>
              <w:rPr>
                <w:sz w:val="20"/>
                <w:szCs w:val="20"/>
                <w:color w:val="auto"/>
              </w:rPr>
            </w:pPr>
            <w:r>
              <w:rPr>
                <w:rFonts w:ascii="Arial" w:cs="Arial" w:eastAsia="Arial" w:hAnsi="Arial"/>
                <w:sz w:val="13"/>
                <w:szCs w:val="13"/>
                <w:color w:val="auto"/>
              </w:rPr>
              <w:t>Common equity tier 1 capital ratio (to risk-weighted assets)</w:t>
            </w:r>
          </w:p>
        </w:tc>
        <w:tc>
          <w:tcPr>
            <w:tcW w:w="120" w:type="dxa"/>
            <w:vAlign w:val="bottom"/>
          </w:tcPr>
          <w:p>
            <w:pPr>
              <w:spacing w:after="0"/>
              <w:rPr>
                <w:sz w:val="15"/>
                <w:szCs w:val="15"/>
                <w:color w:val="auto"/>
              </w:rPr>
            </w:pPr>
          </w:p>
        </w:tc>
        <w:tc>
          <w:tcPr>
            <w:tcW w:w="1100" w:type="dxa"/>
            <w:vAlign w:val="bottom"/>
          </w:tcPr>
          <w:p>
            <w:pPr>
              <w:jc w:val="right"/>
              <w:ind w:right="374"/>
              <w:spacing w:after="0"/>
              <w:rPr>
                <w:sz w:val="20"/>
                <w:szCs w:val="20"/>
                <w:color w:val="auto"/>
              </w:rPr>
            </w:pPr>
            <w:r>
              <w:rPr>
                <w:rFonts w:ascii="Arial" w:cs="Arial" w:eastAsia="Arial" w:hAnsi="Arial"/>
                <w:sz w:val="13"/>
                <w:szCs w:val="13"/>
                <w:b w:val="1"/>
                <w:bCs w:val="1"/>
                <w:color w:val="auto"/>
              </w:rPr>
              <w:t>209,315</w:t>
            </w: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15.04 %</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174"/>
              <w:spacing w:after="0"/>
              <w:rPr>
                <w:sz w:val="20"/>
                <w:szCs w:val="20"/>
                <w:color w:val="auto"/>
              </w:rPr>
            </w:pPr>
            <w:r>
              <w:rPr>
                <w:rFonts w:ascii="Arial" w:cs="Arial" w:eastAsia="Arial" w:hAnsi="Arial"/>
                <w:sz w:val="13"/>
                <w:szCs w:val="13"/>
                <w:b w:val="1"/>
                <w:bCs w:val="1"/>
                <w:color w:val="auto"/>
              </w:rPr>
              <w:t>62,630</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4.50 %</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ind w:right="174"/>
              <w:spacing w:after="0"/>
              <w:rPr>
                <w:sz w:val="20"/>
                <w:szCs w:val="20"/>
                <w:color w:val="auto"/>
              </w:rPr>
            </w:pPr>
            <w:r>
              <w:rPr>
                <w:rFonts w:ascii="Arial" w:cs="Arial" w:eastAsia="Arial" w:hAnsi="Arial"/>
                <w:sz w:val="13"/>
                <w:szCs w:val="13"/>
                <w:color w:val="auto"/>
              </w:rPr>
              <w:t>N/A</w:t>
            </w: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shd w:val="clear" w:color="auto" w:fill="CCEEFF"/>
          </w:tcPr>
          <w:p>
            <w:pPr>
              <w:spacing w:after="0"/>
              <w:rPr>
                <w:sz w:val="16"/>
                <w:szCs w:val="16"/>
                <w:color w:val="auto"/>
              </w:rPr>
            </w:pPr>
          </w:p>
        </w:tc>
        <w:tc>
          <w:tcPr>
            <w:tcW w:w="5120" w:type="dxa"/>
            <w:vAlign w:val="bottom"/>
            <w:gridSpan w:val="3"/>
            <w:shd w:val="clear" w:color="auto" w:fill="CCEEFF"/>
          </w:tcPr>
          <w:p>
            <w:pPr>
              <w:ind w:left="120"/>
              <w:spacing w:after="0"/>
              <w:rPr>
                <w:sz w:val="20"/>
                <w:szCs w:val="20"/>
                <w:color w:val="auto"/>
              </w:rPr>
            </w:pPr>
            <w:r>
              <w:rPr>
                <w:rFonts w:ascii="Arial" w:cs="Arial" w:eastAsia="Arial" w:hAnsi="Arial"/>
                <w:sz w:val="13"/>
                <w:szCs w:val="13"/>
                <w:color w:val="auto"/>
              </w:rPr>
              <w:t>Total capital ratio (to risk-weighted assets)</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374"/>
              <w:spacing w:after="0"/>
              <w:rPr>
                <w:sz w:val="20"/>
                <w:szCs w:val="20"/>
                <w:color w:val="auto"/>
              </w:rPr>
            </w:pPr>
            <w:r>
              <w:rPr>
                <w:rFonts w:ascii="Arial" w:cs="Arial" w:eastAsia="Arial" w:hAnsi="Arial"/>
                <w:sz w:val="13"/>
                <w:szCs w:val="13"/>
                <w:b w:val="1"/>
                <w:bCs w:val="1"/>
                <w:color w:val="auto"/>
              </w:rPr>
              <w:t>238,891</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17.16 %</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74"/>
              <w:spacing w:after="0"/>
              <w:rPr>
                <w:sz w:val="20"/>
                <w:szCs w:val="20"/>
                <w:color w:val="auto"/>
              </w:rPr>
            </w:pPr>
            <w:r>
              <w:rPr>
                <w:rFonts w:ascii="Arial" w:cs="Arial" w:eastAsia="Arial" w:hAnsi="Arial"/>
                <w:sz w:val="13"/>
                <w:szCs w:val="13"/>
                <w:b w:val="1"/>
                <w:bCs w:val="1"/>
                <w:color w:val="auto"/>
              </w:rPr>
              <w:t>111,343</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8.00 %</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74"/>
              <w:spacing w:after="0"/>
              <w:rPr>
                <w:sz w:val="20"/>
                <w:szCs w:val="20"/>
                <w:color w:val="auto"/>
              </w:rPr>
            </w:pPr>
            <w:r>
              <w:rPr>
                <w:rFonts w:ascii="Arial" w:cs="Arial" w:eastAsia="Arial" w:hAnsi="Arial"/>
                <w:sz w:val="13"/>
                <w:szCs w:val="13"/>
                <w:color w:val="auto"/>
              </w:rPr>
              <w:t>N/A</w:t>
            </w: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0" w:type="dxa"/>
            <w:vAlign w:val="bottom"/>
            <w:shd w:val="clear" w:color="auto" w:fill="CCEEFF"/>
          </w:tcPr>
          <w:p>
            <w:pPr>
              <w:spacing w:after="0"/>
              <w:rPr>
                <w:sz w:val="16"/>
                <w:szCs w:val="16"/>
                <w:color w:val="auto"/>
              </w:rPr>
            </w:pPr>
          </w:p>
        </w:tc>
        <w:tc>
          <w:tcPr>
            <w:tcW w:w="5120" w:type="dxa"/>
            <w:vAlign w:val="bottom"/>
            <w:gridSpan w:val="3"/>
            <w:shd w:val="clear" w:color="auto" w:fill="CCEEFF"/>
          </w:tcPr>
          <w:p>
            <w:pPr>
              <w:spacing w:after="0"/>
              <w:rPr>
                <w:sz w:val="20"/>
                <w:szCs w:val="20"/>
                <w:color w:val="auto"/>
              </w:rPr>
            </w:pPr>
            <w:r>
              <w:rPr>
                <w:rFonts w:ascii="Arial" w:cs="Arial" w:eastAsia="Arial" w:hAnsi="Arial"/>
                <w:sz w:val="13"/>
                <w:szCs w:val="13"/>
                <w:b w:val="1"/>
                <w:bCs w:val="1"/>
                <w:color w:val="auto"/>
              </w:rPr>
              <w:t>The Bank</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120" w:type="dxa"/>
            <w:vAlign w:val="bottom"/>
            <w:gridSpan w:val="3"/>
          </w:tcPr>
          <w:p>
            <w:pPr>
              <w:ind w:left="120"/>
              <w:spacing w:after="0"/>
              <w:rPr>
                <w:sz w:val="20"/>
                <w:szCs w:val="20"/>
                <w:color w:val="auto"/>
              </w:rPr>
            </w:pPr>
            <w:r>
              <w:rPr>
                <w:rFonts w:ascii="Arial" w:cs="Arial" w:eastAsia="Arial" w:hAnsi="Arial"/>
                <w:sz w:val="13"/>
                <w:szCs w:val="13"/>
                <w:color w:val="auto"/>
              </w:rPr>
              <w:t>Tier 1 leverage ratio (to average assets)</w:t>
            </w: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00" w:type="dxa"/>
            <w:vAlign w:val="bottom"/>
          </w:tcPr>
          <w:p>
            <w:pPr>
              <w:jc w:val="right"/>
              <w:ind w:right="374"/>
              <w:spacing w:after="0"/>
              <w:rPr>
                <w:sz w:val="20"/>
                <w:szCs w:val="20"/>
                <w:color w:val="auto"/>
              </w:rPr>
            </w:pPr>
            <w:r>
              <w:rPr>
                <w:rFonts w:ascii="Arial" w:cs="Arial" w:eastAsia="Arial" w:hAnsi="Arial"/>
                <w:sz w:val="13"/>
                <w:szCs w:val="13"/>
                <w:b w:val="1"/>
                <w:bCs w:val="1"/>
                <w:color w:val="auto"/>
              </w:rPr>
              <w:t>176,496</w:t>
            </w: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8.74 %</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920" w:type="dxa"/>
            <w:vAlign w:val="bottom"/>
          </w:tcPr>
          <w:p>
            <w:pPr>
              <w:jc w:val="right"/>
              <w:ind w:right="174"/>
              <w:spacing w:after="0"/>
              <w:rPr>
                <w:sz w:val="20"/>
                <w:szCs w:val="20"/>
                <w:color w:val="auto"/>
              </w:rPr>
            </w:pPr>
            <w:r>
              <w:rPr>
                <w:rFonts w:ascii="Arial" w:cs="Arial" w:eastAsia="Arial" w:hAnsi="Arial"/>
                <w:sz w:val="13"/>
                <w:szCs w:val="13"/>
                <w:b w:val="1"/>
                <w:bCs w:val="1"/>
                <w:color w:val="auto"/>
              </w:rPr>
              <w:t>80,816</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4.00 %</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940" w:type="dxa"/>
            <w:vAlign w:val="bottom"/>
          </w:tcPr>
          <w:p>
            <w:pPr>
              <w:jc w:val="right"/>
              <w:ind w:right="214"/>
              <w:spacing w:after="0"/>
              <w:rPr>
                <w:sz w:val="20"/>
                <w:szCs w:val="20"/>
                <w:color w:val="auto"/>
              </w:rPr>
            </w:pPr>
            <w:r>
              <w:rPr>
                <w:rFonts w:ascii="Arial" w:cs="Arial" w:eastAsia="Arial" w:hAnsi="Arial"/>
                <w:sz w:val="13"/>
                <w:szCs w:val="13"/>
                <w:b w:val="1"/>
                <w:bCs w:val="1"/>
                <w:color w:val="auto"/>
              </w:rPr>
              <w:t>101,020</w:t>
            </w: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5.0</w:t>
            </w:r>
          </w:p>
        </w:tc>
        <w:tc>
          <w:tcPr>
            <w:tcW w:w="0" w:type="dxa"/>
            <w:vAlign w:val="bottom"/>
          </w:tcPr>
          <w:p>
            <w:pPr>
              <w:spacing w:after="0"/>
              <w:rPr>
                <w:sz w:val="1"/>
                <w:szCs w:val="1"/>
                <w:color w:val="auto"/>
              </w:rPr>
            </w:pPr>
          </w:p>
        </w:tc>
      </w:tr>
      <w:tr>
        <w:trPr>
          <w:trHeight w:val="188"/>
        </w:trPr>
        <w:tc>
          <w:tcPr>
            <w:tcW w:w="20" w:type="dxa"/>
            <w:vAlign w:val="bottom"/>
            <w:shd w:val="clear" w:color="auto" w:fill="CCEEFF"/>
          </w:tcPr>
          <w:p>
            <w:pPr>
              <w:spacing w:after="0"/>
              <w:rPr>
                <w:sz w:val="16"/>
                <w:szCs w:val="16"/>
                <w:color w:val="auto"/>
              </w:rPr>
            </w:pPr>
          </w:p>
        </w:tc>
        <w:tc>
          <w:tcPr>
            <w:tcW w:w="5120" w:type="dxa"/>
            <w:vAlign w:val="bottom"/>
            <w:gridSpan w:val="3"/>
            <w:shd w:val="clear" w:color="auto" w:fill="CCEEFF"/>
          </w:tcPr>
          <w:p>
            <w:pPr>
              <w:ind w:left="120"/>
              <w:spacing w:after="0"/>
              <w:rPr>
                <w:sz w:val="20"/>
                <w:szCs w:val="20"/>
                <w:color w:val="auto"/>
              </w:rPr>
            </w:pPr>
            <w:r>
              <w:rPr>
                <w:rFonts w:ascii="Arial" w:cs="Arial" w:eastAsia="Arial" w:hAnsi="Arial"/>
                <w:sz w:val="13"/>
                <w:szCs w:val="13"/>
                <w:color w:val="auto"/>
              </w:rPr>
              <w:t>Tier 1 capital (to risk-weighted assets)</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374"/>
              <w:spacing w:after="0"/>
              <w:rPr>
                <w:sz w:val="20"/>
                <w:szCs w:val="20"/>
                <w:color w:val="auto"/>
              </w:rPr>
            </w:pPr>
            <w:r>
              <w:rPr>
                <w:rFonts w:ascii="Arial" w:cs="Arial" w:eastAsia="Arial" w:hAnsi="Arial"/>
                <w:sz w:val="13"/>
                <w:szCs w:val="13"/>
                <w:b w:val="1"/>
                <w:bCs w:val="1"/>
                <w:color w:val="auto"/>
              </w:rPr>
              <w:t>176,496</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13.10 %</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74"/>
              <w:spacing w:after="0"/>
              <w:rPr>
                <w:sz w:val="20"/>
                <w:szCs w:val="20"/>
                <w:color w:val="auto"/>
              </w:rPr>
            </w:pPr>
            <w:r>
              <w:rPr>
                <w:rFonts w:ascii="Arial" w:cs="Arial" w:eastAsia="Arial" w:hAnsi="Arial"/>
                <w:sz w:val="13"/>
                <w:szCs w:val="13"/>
                <w:b w:val="1"/>
                <w:bCs w:val="1"/>
                <w:color w:val="auto"/>
              </w:rPr>
              <w:t>80,851</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6.00 %</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14"/>
              <w:spacing w:after="0"/>
              <w:rPr>
                <w:sz w:val="20"/>
                <w:szCs w:val="20"/>
                <w:color w:val="auto"/>
              </w:rPr>
            </w:pPr>
            <w:r>
              <w:rPr>
                <w:rFonts w:ascii="Arial" w:cs="Arial" w:eastAsia="Arial" w:hAnsi="Arial"/>
                <w:sz w:val="13"/>
                <w:szCs w:val="13"/>
                <w:b w:val="1"/>
                <w:bCs w:val="1"/>
                <w:color w:val="auto"/>
              </w:rPr>
              <w:t>107,802</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8.0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120" w:type="dxa"/>
            <w:vAlign w:val="bottom"/>
            <w:gridSpan w:val="3"/>
          </w:tcPr>
          <w:p>
            <w:pPr>
              <w:ind w:left="120"/>
              <w:spacing w:after="0"/>
              <w:rPr>
                <w:sz w:val="20"/>
                <w:szCs w:val="20"/>
                <w:color w:val="auto"/>
              </w:rPr>
            </w:pPr>
            <w:r>
              <w:rPr>
                <w:rFonts w:ascii="Arial" w:cs="Arial" w:eastAsia="Arial" w:hAnsi="Arial"/>
                <w:sz w:val="13"/>
                <w:szCs w:val="13"/>
                <w:color w:val="auto"/>
              </w:rPr>
              <w:t>Common equity tier 1 capital ratio (to risk-weighted assets)</w:t>
            </w:r>
          </w:p>
        </w:tc>
        <w:tc>
          <w:tcPr>
            <w:tcW w:w="120" w:type="dxa"/>
            <w:vAlign w:val="bottom"/>
          </w:tcPr>
          <w:p>
            <w:pPr>
              <w:spacing w:after="0"/>
              <w:rPr>
                <w:sz w:val="15"/>
                <w:szCs w:val="15"/>
                <w:color w:val="auto"/>
              </w:rPr>
            </w:pPr>
          </w:p>
        </w:tc>
        <w:tc>
          <w:tcPr>
            <w:tcW w:w="1100" w:type="dxa"/>
            <w:vAlign w:val="bottom"/>
          </w:tcPr>
          <w:p>
            <w:pPr>
              <w:jc w:val="right"/>
              <w:ind w:right="374"/>
              <w:spacing w:after="0"/>
              <w:rPr>
                <w:sz w:val="20"/>
                <w:szCs w:val="20"/>
                <w:color w:val="auto"/>
              </w:rPr>
            </w:pPr>
            <w:r>
              <w:rPr>
                <w:rFonts w:ascii="Arial" w:cs="Arial" w:eastAsia="Arial" w:hAnsi="Arial"/>
                <w:sz w:val="13"/>
                <w:szCs w:val="13"/>
                <w:b w:val="1"/>
                <w:bCs w:val="1"/>
                <w:color w:val="auto"/>
              </w:rPr>
              <w:t>176,496</w:t>
            </w: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13.10 %</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174"/>
              <w:spacing w:after="0"/>
              <w:rPr>
                <w:sz w:val="20"/>
                <w:szCs w:val="20"/>
                <w:color w:val="auto"/>
              </w:rPr>
            </w:pPr>
            <w:r>
              <w:rPr>
                <w:rFonts w:ascii="Arial" w:cs="Arial" w:eastAsia="Arial" w:hAnsi="Arial"/>
                <w:sz w:val="13"/>
                <w:szCs w:val="13"/>
                <w:b w:val="1"/>
                <w:bCs w:val="1"/>
                <w:color w:val="auto"/>
              </w:rPr>
              <w:t>60,639</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4.50 %</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ind w:right="214"/>
              <w:spacing w:after="0"/>
              <w:rPr>
                <w:sz w:val="20"/>
                <w:szCs w:val="20"/>
                <w:color w:val="auto"/>
              </w:rPr>
            </w:pPr>
            <w:r>
              <w:rPr>
                <w:rFonts w:ascii="Arial" w:cs="Arial" w:eastAsia="Arial" w:hAnsi="Arial"/>
                <w:sz w:val="13"/>
                <w:szCs w:val="13"/>
                <w:b w:val="1"/>
                <w:bCs w:val="1"/>
                <w:color w:val="auto"/>
              </w:rPr>
              <w:t>87,589</w:t>
            </w: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6.5</w:t>
            </w:r>
          </w:p>
        </w:tc>
        <w:tc>
          <w:tcPr>
            <w:tcW w:w="0" w:type="dxa"/>
            <w:vAlign w:val="bottom"/>
          </w:tcPr>
          <w:p>
            <w:pPr>
              <w:spacing w:after="0"/>
              <w:rPr>
                <w:sz w:val="1"/>
                <w:szCs w:val="1"/>
                <w:color w:val="auto"/>
              </w:rPr>
            </w:pPr>
          </w:p>
        </w:tc>
      </w:tr>
      <w:tr>
        <w:trPr>
          <w:trHeight w:val="188"/>
        </w:trPr>
        <w:tc>
          <w:tcPr>
            <w:tcW w:w="20" w:type="dxa"/>
            <w:vAlign w:val="bottom"/>
            <w:shd w:val="clear" w:color="auto" w:fill="CCEEFF"/>
          </w:tcPr>
          <w:p>
            <w:pPr>
              <w:spacing w:after="0"/>
              <w:rPr>
                <w:sz w:val="16"/>
                <w:szCs w:val="16"/>
                <w:color w:val="auto"/>
              </w:rPr>
            </w:pPr>
          </w:p>
        </w:tc>
        <w:tc>
          <w:tcPr>
            <w:tcW w:w="5120" w:type="dxa"/>
            <w:vAlign w:val="bottom"/>
            <w:gridSpan w:val="3"/>
            <w:shd w:val="clear" w:color="auto" w:fill="CCEEFF"/>
          </w:tcPr>
          <w:p>
            <w:pPr>
              <w:ind w:left="120"/>
              <w:spacing w:after="0"/>
              <w:rPr>
                <w:sz w:val="20"/>
                <w:szCs w:val="20"/>
                <w:color w:val="auto"/>
              </w:rPr>
            </w:pPr>
            <w:r>
              <w:rPr>
                <w:rFonts w:ascii="Arial" w:cs="Arial" w:eastAsia="Arial" w:hAnsi="Arial"/>
                <w:sz w:val="13"/>
                <w:szCs w:val="13"/>
                <w:color w:val="auto"/>
              </w:rPr>
              <w:t>Total capital ratio (to risk-weighted assets)</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374"/>
              <w:spacing w:after="0"/>
              <w:rPr>
                <w:sz w:val="20"/>
                <w:szCs w:val="20"/>
                <w:color w:val="auto"/>
              </w:rPr>
            </w:pPr>
            <w:r>
              <w:rPr>
                <w:rFonts w:ascii="Arial" w:cs="Arial" w:eastAsia="Arial" w:hAnsi="Arial"/>
                <w:sz w:val="13"/>
                <w:szCs w:val="13"/>
                <w:b w:val="1"/>
                <w:bCs w:val="1"/>
                <w:color w:val="auto"/>
              </w:rPr>
              <w:t>193,457</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14.36 %</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74"/>
              <w:spacing w:after="0"/>
              <w:rPr>
                <w:sz w:val="20"/>
                <w:szCs w:val="20"/>
                <w:color w:val="auto"/>
              </w:rPr>
            </w:pPr>
            <w:r>
              <w:rPr>
                <w:rFonts w:ascii="Arial" w:cs="Arial" w:eastAsia="Arial" w:hAnsi="Arial"/>
                <w:sz w:val="13"/>
                <w:szCs w:val="13"/>
                <w:b w:val="1"/>
                <w:bCs w:val="1"/>
                <w:color w:val="auto"/>
              </w:rPr>
              <w:t>107,802</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8.00 %</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14"/>
              <w:spacing w:after="0"/>
              <w:rPr>
                <w:sz w:val="20"/>
                <w:szCs w:val="20"/>
                <w:color w:val="auto"/>
              </w:rPr>
            </w:pPr>
            <w:r>
              <w:rPr>
                <w:rFonts w:ascii="Arial" w:cs="Arial" w:eastAsia="Arial" w:hAnsi="Arial"/>
                <w:sz w:val="13"/>
                <w:szCs w:val="13"/>
                <w:b w:val="1"/>
                <w:bCs w:val="1"/>
                <w:color w:val="auto"/>
              </w:rPr>
              <w:t>134,752</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auto"/>
            </w:tcBorders>
            <w:gridSpan w:val="2"/>
            <w:shd w:val="clear" w:color="auto" w:fill="CCEEFF"/>
          </w:tcPr>
          <w:p>
            <w:pPr>
              <w:spacing w:after="0" w:line="146" w:lineRule="exact"/>
              <w:rPr>
                <w:sz w:val="20"/>
                <w:szCs w:val="20"/>
                <w:color w:val="auto"/>
              </w:rPr>
            </w:pPr>
            <w:r>
              <w:rPr>
                <w:rFonts w:ascii="Arial" w:cs="Arial" w:eastAsia="Arial" w:hAnsi="Arial"/>
                <w:sz w:val="13"/>
                <w:szCs w:val="13"/>
                <w:b w:val="1"/>
                <w:bCs w:val="1"/>
                <w:color w:val="auto"/>
              </w:rPr>
              <w:t>December 31, 2021</w:t>
            </w:r>
          </w:p>
        </w:tc>
        <w:tc>
          <w:tcPr>
            <w:tcW w:w="39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120" w:type="dxa"/>
            <w:vAlign w:val="bottom"/>
            <w:gridSpan w:val="3"/>
          </w:tcPr>
          <w:p>
            <w:pPr>
              <w:spacing w:after="0"/>
              <w:rPr>
                <w:sz w:val="20"/>
                <w:szCs w:val="20"/>
                <w:color w:val="auto"/>
              </w:rPr>
            </w:pPr>
            <w:r>
              <w:rPr>
                <w:rFonts w:ascii="Arial" w:cs="Arial" w:eastAsia="Arial" w:hAnsi="Arial"/>
                <w:sz w:val="13"/>
                <w:szCs w:val="13"/>
                <w:b w:val="1"/>
                <w:bCs w:val="1"/>
                <w:color w:val="auto"/>
              </w:rPr>
              <w:t>The Company</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shd w:val="clear" w:color="auto" w:fill="CCEEFF"/>
          </w:tcPr>
          <w:p>
            <w:pPr>
              <w:spacing w:after="0"/>
              <w:rPr>
                <w:sz w:val="16"/>
                <w:szCs w:val="16"/>
                <w:color w:val="auto"/>
              </w:rPr>
            </w:pPr>
          </w:p>
        </w:tc>
        <w:tc>
          <w:tcPr>
            <w:tcW w:w="5120" w:type="dxa"/>
            <w:vAlign w:val="bottom"/>
            <w:gridSpan w:val="3"/>
            <w:shd w:val="clear" w:color="auto" w:fill="CCEEFF"/>
          </w:tcPr>
          <w:p>
            <w:pPr>
              <w:ind w:left="120"/>
              <w:spacing w:after="0"/>
              <w:rPr>
                <w:sz w:val="20"/>
                <w:szCs w:val="20"/>
                <w:color w:val="auto"/>
              </w:rPr>
            </w:pPr>
            <w:r>
              <w:rPr>
                <w:rFonts w:ascii="Arial" w:cs="Arial" w:eastAsia="Arial" w:hAnsi="Arial"/>
                <w:sz w:val="13"/>
                <w:szCs w:val="13"/>
                <w:color w:val="auto"/>
              </w:rPr>
              <w:t>Tier 1 leverage ratio (to average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374"/>
              <w:spacing w:after="0"/>
              <w:rPr>
                <w:sz w:val="20"/>
                <w:szCs w:val="20"/>
                <w:color w:val="auto"/>
              </w:rPr>
            </w:pPr>
            <w:r>
              <w:rPr>
                <w:rFonts w:ascii="Arial" w:cs="Arial" w:eastAsia="Arial" w:hAnsi="Arial"/>
                <w:sz w:val="13"/>
                <w:szCs w:val="13"/>
                <w:color w:val="auto"/>
              </w:rPr>
              <w:t>201,040</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9.73 %</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174"/>
              <w:spacing w:after="0"/>
              <w:rPr>
                <w:sz w:val="20"/>
                <w:szCs w:val="20"/>
                <w:color w:val="auto"/>
              </w:rPr>
            </w:pPr>
            <w:r>
              <w:rPr>
                <w:rFonts w:ascii="Arial" w:cs="Arial" w:eastAsia="Arial" w:hAnsi="Arial"/>
                <w:sz w:val="13"/>
                <w:szCs w:val="13"/>
                <w:color w:val="auto"/>
              </w:rPr>
              <w:t>82,683</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4.00 %</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74"/>
              <w:spacing w:after="0"/>
              <w:rPr>
                <w:sz w:val="20"/>
                <w:szCs w:val="20"/>
                <w:color w:val="auto"/>
              </w:rPr>
            </w:pPr>
            <w:r>
              <w:rPr>
                <w:rFonts w:ascii="Arial" w:cs="Arial" w:eastAsia="Arial" w:hAnsi="Arial"/>
                <w:sz w:val="13"/>
                <w:szCs w:val="13"/>
                <w:color w:val="auto"/>
              </w:rPr>
              <w:t>N/A</w:t>
            </w: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20" w:type="dxa"/>
            <w:vAlign w:val="bottom"/>
            <w:gridSpan w:val="3"/>
          </w:tcPr>
          <w:p>
            <w:pPr>
              <w:ind w:left="120"/>
              <w:spacing w:after="0"/>
              <w:rPr>
                <w:sz w:val="20"/>
                <w:szCs w:val="20"/>
                <w:color w:val="auto"/>
              </w:rPr>
            </w:pPr>
            <w:r>
              <w:rPr>
                <w:rFonts w:ascii="Arial" w:cs="Arial" w:eastAsia="Arial" w:hAnsi="Arial"/>
                <w:sz w:val="13"/>
                <w:szCs w:val="13"/>
                <w:color w:val="auto"/>
              </w:rPr>
              <w:t>Tier 1 capital (to risk-weighted assets)</w:t>
            </w:r>
          </w:p>
        </w:tc>
        <w:tc>
          <w:tcPr>
            <w:tcW w:w="120" w:type="dxa"/>
            <w:vAlign w:val="bottom"/>
          </w:tcPr>
          <w:p>
            <w:pPr>
              <w:spacing w:after="0"/>
              <w:rPr>
                <w:sz w:val="15"/>
                <w:szCs w:val="15"/>
                <w:color w:val="auto"/>
              </w:rPr>
            </w:pPr>
          </w:p>
        </w:tc>
        <w:tc>
          <w:tcPr>
            <w:tcW w:w="1100" w:type="dxa"/>
            <w:vAlign w:val="bottom"/>
          </w:tcPr>
          <w:p>
            <w:pPr>
              <w:jc w:val="right"/>
              <w:ind w:right="374"/>
              <w:spacing w:after="0"/>
              <w:rPr>
                <w:sz w:val="20"/>
                <w:szCs w:val="20"/>
                <w:color w:val="auto"/>
              </w:rPr>
            </w:pPr>
            <w:r>
              <w:rPr>
                <w:rFonts w:ascii="Arial" w:cs="Arial" w:eastAsia="Arial" w:hAnsi="Arial"/>
                <w:sz w:val="13"/>
                <w:szCs w:val="13"/>
                <w:color w:val="auto"/>
              </w:rPr>
              <w:t>201,040</w:t>
            </w:r>
          </w:p>
        </w:tc>
        <w:tc>
          <w:tcPr>
            <w:tcW w:w="700" w:type="dxa"/>
            <w:vAlign w:val="bottom"/>
          </w:tcPr>
          <w:p>
            <w:pPr>
              <w:jc w:val="right"/>
              <w:spacing w:after="0"/>
              <w:rPr>
                <w:sz w:val="20"/>
                <w:szCs w:val="20"/>
                <w:color w:val="auto"/>
              </w:rPr>
            </w:pPr>
            <w:r>
              <w:rPr>
                <w:rFonts w:ascii="Arial" w:cs="Arial" w:eastAsia="Arial" w:hAnsi="Arial"/>
                <w:sz w:val="13"/>
                <w:szCs w:val="13"/>
                <w:color w:val="auto"/>
              </w:rPr>
              <w:t>14.43 %</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174"/>
              <w:spacing w:after="0"/>
              <w:rPr>
                <w:sz w:val="20"/>
                <w:szCs w:val="20"/>
                <w:color w:val="auto"/>
              </w:rPr>
            </w:pPr>
            <w:r>
              <w:rPr>
                <w:rFonts w:ascii="Arial" w:cs="Arial" w:eastAsia="Arial" w:hAnsi="Arial"/>
                <w:sz w:val="13"/>
                <w:szCs w:val="13"/>
                <w:color w:val="auto"/>
              </w:rPr>
              <w:t>83,596</w:t>
            </w:r>
          </w:p>
        </w:tc>
        <w:tc>
          <w:tcPr>
            <w:tcW w:w="880" w:type="dxa"/>
            <w:vAlign w:val="bottom"/>
          </w:tcPr>
          <w:p>
            <w:pPr>
              <w:jc w:val="right"/>
              <w:spacing w:after="0"/>
              <w:rPr>
                <w:sz w:val="20"/>
                <w:szCs w:val="20"/>
                <w:color w:val="auto"/>
              </w:rPr>
            </w:pPr>
            <w:r>
              <w:rPr>
                <w:rFonts w:ascii="Arial" w:cs="Arial" w:eastAsia="Arial" w:hAnsi="Arial"/>
                <w:sz w:val="13"/>
                <w:szCs w:val="13"/>
                <w:color w:val="auto"/>
              </w:rPr>
              <w:t>6.00 %</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ind w:right="174"/>
              <w:spacing w:after="0"/>
              <w:rPr>
                <w:sz w:val="20"/>
                <w:szCs w:val="20"/>
                <w:color w:val="auto"/>
              </w:rPr>
            </w:pPr>
            <w:r>
              <w:rPr>
                <w:rFonts w:ascii="Arial" w:cs="Arial" w:eastAsia="Arial" w:hAnsi="Arial"/>
                <w:sz w:val="13"/>
                <w:szCs w:val="13"/>
                <w:color w:val="auto"/>
              </w:rPr>
              <w:t>N/A</w:t>
            </w: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shd w:val="clear" w:color="auto" w:fill="CCEEFF"/>
          </w:tcPr>
          <w:p>
            <w:pPr>
              <w:spacing w:after="0"/>
              <w:rPr>
                <w:sz w:val="16"/>
                <w:szCs w:val="16"/>
                <w:color w:val="auto"/>
              </w:rPr>
            </w:pPr>
          </w:p>
        </w:tc>
        <w:tc>
          <w:tcPr>
            <w:tcW w:w="5120" w:type="dxa"/>
            <w:vAlign w:val="bottom"/>
            <w:gridSpan w:val="3"/>
            <w:shd w:val="clear" w:color="auto" w:fill="CCEEFF"/>
          </w:tcPr>
          <w:p>
            <w:pPr>
              <w:ind w:left="120"/>
              <w:spacing w:after="0"/>
              <w:rPr>
                <w:sz w:val="20"/>
                <w:szCs w:val="20"/>
                <w:color w:val="auto"/>
              </w:rPr>
            </w:pPr>
            <w:r>
              <w:rPr>
                <w:rFonts w:ascii="Arial" w:cs="Arial" w:eastAsia="Arial" w:hAnsi="Arial"/>
                <w:sz w:val="13"/>
                <w:szCs w:val="13"/>
                <w:color w:val="auto"/>
              </w:rPr>
              <w:t>Common equity tier 1 capital ratio (to risk-weighted assets)</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374"/>
              <w:spacing w:after="0"/>
              <w:rPr>
                <w:sz w:val="20"/>
                <w:szCs w:val="20"/>
                <w:color w:val="auto"/>
              </w:rPr>
            </w:pPr>
            <w:r>
              <w:rPr>
                <w:rFonts w:ascii="Arial" w:cs="Arial" w:eastAsia="Arial" w:hAnsi="Arial"/>
                <w:sz w:val="13"/>
                <w:szCs w:val="13"/>
                <w:color w:val="auto"/>
              </w:rPr>
              <w:t>198,978</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14.28 %</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74"/>
              <w:spacing w:after="0"/>
              <w:rPr>
                <w:sz w:val="20"/>
                <w:szCs w:val="20"/>
                <w:color w:val="auto"/>
              </w:rPr>
            </w:pPr>
            <w:r>
              <w:rPr>
                <w:rFonts w:ascii="Arial" w:cs="Arial" w:eastAsia="Arial" w:hAnsi="Arial"/>
                <w:sz w:val="13"/>
                <w:szCs w:val="13"/>
                <w:color w:val="auto"/>
              </w:rPr>
              <w:t>62,697</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4.50 %</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74"/>
              <w:spacing w:after="0"/>
              <w:rPr>
                <w:sz w:val="20"/>
                <w:szCs w:val="20"/>
                <w:color w:val="auto"/>
              </w:rPr>
            </w:pPr>
            <w:r>
              <w:rPr>
                <w:rFonts w:ascii="Arial" w:cs="Arial" w:eastAsia="Arial" w:hAnsi="Arial"/>
                <w:sz w:val="13"/>
                <w:szCs w:val="13"/>
                <w:color w:val="auto"/>
              </w:rPr>
              <w:t>N/A</w:t>
            </w: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20" w:type="dxa"/>
            <w:vAlign w:val="bottom"/>
            <w:gridSpan w:val="3"/>
          </w:tcPr>
          <w:p>
            <w:pPr>
              <w:ind w:left="120"/>
              <w:spacing w:after="0"/>
              <w:rPr>
                <w:sz w:val="20"/>
                <w:szCs w:val="20"/>
                <w:color w:val="auto"/>
              </w:rPr>
            </w:pPr>
            <w:r>
              <w:rPr>
                <w:rFonts w:ascii="Arial" w:cs="Arial" w:eastAsia="Arial" w:hAnsi="Arial"/>
                <w:sz w:val="13"/>
                <w:szCs w:val="13"/>
                <w:color w:val="auto"/>
              </w:rPr>
              <w:t>Total capital ratio (to risk-weighted assets)</w:t>
            </w:r>
          </w:p>
        </w:tc>
        <w:tc>
          <w:tcPr>
            <w:tcW w:w="120" w:type="dxa"/>
            <w:vAlign w:val="bottom"/>
          </w:tcPr>
          <w:p>
            <w:pPr>
              <w:spacing w:after="0"/>
              <w:rPr>
                <w:sz w:val="15"/>
                <w:szCs w:val="15"/>
                <w:color w:val="auto"/>
              </w:rPr>
            </w:pPr>
          </w:p>
        </w:tc>
        <w:tc>
          <w:tcPr>
            <w:tcW w:w="1100" w:type="dxa"/>
            <w:vAlign w:val="bottom"/>
          </w:tcPr>
          <w:p>
            <w:pPr>
              <w:jc w:val="right"/>
              <w:ind w:right="374"/>
              <w:spacing w:after="0"/>
              <w:rPr>
                <w:sz w:val="20"/>
                <w:szCs w:val="20"/>
                <w:color w:val="auto"/>
              </w:rPr>
            </w:pPr>
            <w:r>
              <w:rPr>
                <w:rFonts w:ascii="Arial" w:cs="Arial" w:eastAsia="Arial" w:hAnsi="Arial"/>
                <w:sz w:val="13"/>
                <w:szCs w:val="13"/>
                <w:color w:val="auto"/>
              </w:rPr>
              <w:t>228,574</w:t>
            </w:r>
          </w:p>
        </w:tc>
        <w:tc>
          <w:tcPr>
            <w:tcW w:w="700" w:type="dxa"/>
            <w:vAlign w:val="bottom"/>
          </w:tcPr>
          <w:p>
            <w:pPr>
              <w:jc w:val="right"/>
              <w:spacing w:after="0"/>
              <w:rPr>
                <w:sz w:val="20"/>
                <w:szCs w:val="20"/>
                <w:color w:val="auto"/>
              </w:rPr>
            </w:pPr>
            <w:r>
              <w:rPr>
                <w:rFonts w:ascii="Arial" w:cs="Arial" w:eastAsia="Arial" w:hAnsi="Arial"/>
                <w:sz w:val="13"/>
                <w:szCs w:val="13"/>
                <w:color w:val="auto"/>
              </w:rPr>
              <w:t>16.41 %</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174"/>
              <w:spacing w:after="0"/>
              <w:rPr>
                <w:sz w:val="20"/>
                <w:szCs w:val="20"/>
                <w:color w:val="auto"/>
              </w:rPr>
            </w:pPr>
            <w:r>
              <w:rPr>
                <w:rFonts w:ascii="Arial" w:cs="Arial" w:eastAsia="Arial" w:hAnsi="Arial"/>
                <w:sz w:val="13"/>
                <w:szCs w:val="13"/>
                <w:color w:val="auto"/>
              </w:rPr>
              <w:t>111,462</w:t>
            </w:r>
          </w:p>
        </w:tc>
        <w:tc>
          <w:tcPr>
            <w:tcW w:w="880" w:type="dxa"/>
            <w:vAlign w:val="bottom"/>
          </w:tcPr>
          <w:p>
            <w:pPr>
              <w:jc w:val="right"/>
              <w:spacing w:after="0"/>
              <w:rPr>
                <w:sz w:val="20"/>
                <w:szCs w:val="20"/>
                <w:color w:val="auto"/>
              </w:rPr>
            </w:pPr>
            <w:r>
              <w:rPr>
                <w:rFonts w:ascii="Arial" w:cs="Arial" w:eastAsia="Arial" w:hAnsi="Arial"/>
                <w:sz w:val="13"/>
                <w:szCs w:val="13"/>
                <w:color w:val="auto"/>
              </w:rPr>
              <w:t>8.00 %</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ind w:right="174"/>
              <w:spacing w:after="0"/>
              <w:rPr>
                <w:sz w:val="20"/>
                <w:szCs w:val="20"/>
                <w:color w:val="auto"/>
              </w:rPr>
            </w:pPr>
            <w:r>
              <w:rPr>
                <w:rFonts w:ascii="Arial" w:cs="Arial" w:eastAsia="Arial" w:hAnsi="Arial"/>
                <w:sz w:val="13"/>
                <w:szCs w:val="13"/>
                <w:color w:val="auto"/>
              </w:rPr>
              <w:t>N/A</w:t>
            </w: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120" w:type="dxa"/>
            <w:vAlign w:val="bottom"/>
            <w:gridSpan w:val="3"/>
          </w:tcPr>
          <w:p>
            <w:pPr>
              <w:spacing w:after="0"/>
              <w:rPr>
                <w:sz w:val="20"/>
                <w:szCs w:val="20"/>
                <w:color w:val="auto"/>
              </w:rPr>
            </w:pPr>
            <w:r>
              <w:rPr>
                <w:rFonts w:ascii="Arial" w:cs="Arial" w:eastAsia="Arial" w:hAnsi="Arial"/>
                <w:sz w:val="13"/>
                <w:szCs w:val="13"/>
                <w:b w:val="1"/>
                <w:bCs w:val="1"/>
                <w:color w:val="auto"/>
              </w:rPr>
              <w:t>The Bank</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shd w:val="clear" w:color="auto" w:fill="CCEEFF"/>
          </w:tcPr>
          <w:p>
            <w:pPr>
              <w:spacing w:after="0"/>
              <w:rPr>
                <w:sz w:val="16"/>
                <w:szCs w:val="16"/>
                <w:color w:val="auto"/>
              </w:rPr>
            </w:pPr>
          </w:p>
        </w:tc>
        <w:tc>
          <w:tcPr>
            <w:tcW w:w="5120" w:type="dxa"/>
            <w:vAlign w:val="bottom"/>
            <w:gridSpan w:val="3"/>
            <w:shd w:val="clear" w:color="auto" w:fill="CCEEFF"/>
          </w:tcPr>
          <w:p>
            <w:pPr>
              <w:ind w:left="120"/>
              <w:spacing w:after="0"/>
              <w:rPr>
                <w:sz w:val="20"/>
                <w:szCs w:val="20"/>
                <w:color w:val="auto"/>
              </w:rPr>
            </w:pPr>
            <w:r>
              <w:rPr>
                <w:rFonts w:ascii="Arial" w:cs="Arial" w:eastAsia="Arial" w:hAnsi="Arial"/>
                <w:sz w:val="13"/>
                <w:szCs w:val="13"/>
                <w:color w:val="auto"/>
              </w:rPr>
              <w:t>Tier 1 leverage ratio (to average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374"/>
              <w:spacing w:after="0"/>
              <w:rPr>
                <w:sz w:val="20"/>
                <w:szCs w:val="20"/>
                <w:color w:val="auto"/>
              </w:rPr>
            </w:pPr>
            <w:r>
              <w:rPr>
                <w:rFonts w:ascii="Arial" w:cs="Arial" w:eastAsia="Arial" w:hAnsi="Arial"/>
                <w:sz w:val="13"/>
                <w:szCs w:val="13"/>
                <w:color w:val="auto"/>
              </w:rPr>
              <w:t>169,384</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8.36 %</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174"/>
              <w:spacing w:after="0"/>
              <w:rPr>
                <w:sz w:val="20"/>
                <w:szCs w:val="20"/>
                <w:color w:val="auto"/>
              </w:rPr>
            </w:pPr>
            <w:r>
              <w:rPr>
                <w:rFonts w:ascii="Arial" w:cs="Arial" w:eastAsia="Arial" w:hAnsi="Arial"/>
                <w:sz w:val="13"/>
                <w:szCs w:val="13"/>
                <w:color w:val="auto"/>
              </w:rPr>
              <w:t>81,070</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4.00 %</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101,338</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20" w:type="dxa"/>
            <w:vAlign w:val="bottom"/>
            <w:gridSpan w:val="3"/>
          </w:tcPr>
          <w:p>
            <w:pPr>
              <w:ind w:left="120"/>
              <w:spacing w:after="0"/>
              <w:rPr>
                <w:sz w:val="20"/>
                <w:szCs w:val="20"/>
                <w:color w:val="auto"/>
              </w:rPr>
            </w:pPr>
            <w:r>
              <w:rPr>
                <w:rFonts w:ascii="Arial" w:cs="Arial" w:eastAsia="Arial" w:hAnsi="Arial"/>
                <w:sz w:val="13"/>
                <w:szCs w:val="13"/>
                <w:color w:val="auto"/>
              </w:rPr>
              <w:t>Tier 1 capital (to risk-weighted assets)</w:t>
            </w:r>
          </w:p>
        </w:tc>
        <w:tc>
          <w:tcPr>
            <w:tcW w:w="120" w:type="dxa"/>
            <w:vAlign w:val="bottom"/>
          </w:tcPr>
          <w:p>
            <w:pPr>
              <w:spacing w:after="0"/>
              <w:rPr>
                <w:sz w:val="15"/>
                <w:szCs w:val="15"/>
                <w:color w:val="auto"/>
              </w:rPr>
            </w:pPr>
          </w:p>
        </w:tc>
        <w:tc>
          <w:tcPr>
            <w:tcW w:w="1100" w:type="dxa"/>
            <w:vAlign w:val="bottom"/>
          </w:tcPr>
          <w:p>
            <w:pPr>
              <w:jc w:val="right"/>
              <w:ind w:right="374"/>
              <w:spacing w:after="0"/>
              <w:rPr>
                <w:sz w:val="20"/>
                <w:szCs w:val="20"/>
                <w:color w:val="auto"/>
              </w:rPr>
            </w:pPr>
            <w:r>
              <w:rPr>
                <w:rFonts w:ascii="Arial" w:cs="Arial" w:eastAsia="Arial" w:hAnsi="Arial"/>
                <w:sz w:val="13"/>
                <w:szCs w:val="13"/>
                <w:color w:val="auto"/>
              </w:rPr>
              <w:t>169,384</w:t>
            </w:r>
          </w:p>
        </w:tc>
        <w:tc>
          <w:tcPr>
            <w:tcW w:w="700" w:type="dxa"/>
            <w:vAlign w:val="bottom"/>
          </w:tcPr>
          <w:p>
            <w:pPr>
              <w:jc w:val="right"/>
              <w:spacing w:after="0"/>
              <w:rPr>
                <w:sz w:val="20"/>
                <w:szCs w:val="20"/>
                <w:color w:val="auto"/>
              </w:rPr>
            </w:pPr>
            <w:r>
              <w:rPr>
                <w:rFonts w:ascii="Arial" w:cs="Arial" w:eastAsia="Arial" w:hAnsi="Arial"/>
                <w:sz w:val="13"/>
                <w:szCs w:val="13"/>
                <w:color w:val="auto"/>
              </w:rPr>
              <w:t>12.53 %</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174"/>
              <w:spacing w:after="0"/>
              <w:rPr>
                <w:sz w:val="20"/>
                <w:szCs w:val="20"/>
                <w:color w:val="auto"/>
              </w:rPr>
            </w:pPr>
            <w:r>
              <w:rPr>
                <w:rFonts w:ascii="Arial" w:cs="Arial" w:eastAsia="Arial" w:hAnsi="Arial"/>
                <w:sz w:val="13"/>
                <w:szCs w:val="13"/>
                <w:color w:val="auto"/>
              </w:rPr>
              <w:t>81,097</w:t>
            </w:r>
          </w:p>
        </w:tc>
        <w:tc>
          <w:tcPr>
            <w:tcW w:w="880" w:type="dxa"/>
            <w:vAlign w:val="bottom"/>
          </w:tcPr>
          <w:p>
            <w:pPr>
              <w:jc w:val="right"/>
              <w:spacing w:after="0"/>
              <w:rPr>
                <w:sz w:val="20"/>
                <w:szCs w:val="20"/>
                <w:color w:val="auto"/>
              </w:rPr>
            </w:pPr>
            <w:r>
              <w:rPr>
                <w:rFonts w:ascii="Arial" w:cs="Arial" w:eastAsia="Arial" w:hAnsi="Arial"/>
                <w:sz w:val="13"/>
                <w:szCs w:val="13"/>
                <w:color w:val="auto"/>
              </w:rPr>
              <w:t>6.00 %</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ind w:right="214"/>
              <w:spacing w:after="0"/>
              <w:rPr>
                <w:sz w:val="20"/>
                <w:szCs w:val="20"/>
                <w:color w:val="auto"/>
              </w:rPr>
            </w:pPr>
            <w:r>
              <w:rPr>
                <w:rFonts w:ascii="Arial" w:cs="Arial" w:eastAsia="Arial" w:hAnsi="Arial"/>
                <w:sz w:val="13"/>
                <w:szCs w:val="13"/>
                <w:color w:val="auto"/>
              </w:rPr>
              <w:t>108,130</w:t>
            </w:r>
          </w:p>
        </w:tc>
        <w:tc>
          <w:tcPr>
            <w:tcW w:w="720" w:type="dxa"/>
            <w:vAlign w:val="bottom"/>
          </w:tcPr>
          <w:p>
            <w:pPr>
              <w:jc w:val="right"/>
              <w:spacing w:after="0"/>
              <w:rPr>
                <w:sz w:val="20"/>
                <w:szCs w:val="20"/>
                <w:color w:val="auto"/>
              </w:rPr>
            </w:pPr>
            <w:r>
              <w:rPr>
                <w:rFonts w:ascii="Arial" w:cs="Arial" w:eastAsia="Arial" w:hAnsi="Arial"/>
                <w:sz w:val="13"/>
                <w:szCs w:val="13"/>
                <w:color w:val="auto"/>
              </w:rPr>
              <w:t>8.0</w:t>
            </w:r>
          </w:p>
        </w:tc>
        <w:tc>
          <w:tcPr>
            <w:tcW w:w="0" w:type="dxa"/>
            <w:vAlign w:val="bottom"/>
          </w:tcPr>
          <w:p>
            <w:pPr>
              <w:spacing w:after="0"/>
              <w:rPr>
                <w:sz w:val="1"/>
                <w:szCs w:val="1"/>
                <w:color w:val="auto"/>
              </w:rPr>
            </w:pPr>
          </w:p>
        </w:tc>
      </w:tr>
      <w:tr>
        <w:trPr>
          <w:trHeight w:val="191"/>
        </w:trPr>
        <w:tc>
          <w:tcPr>
            <w:tcW w:w="20" w:type="dxa"/>
            <w:vAlign w:val="bottom"/>
            <w:shd w:val="clear" w:color="auto" w:fill="CCEEFF"/>
          </w:tcPr>
          <w:p>
            <w:pPr>
              <w:spacing w:after="0"/>
              <w:rPr>
                <w:sz w:val="16"/>
                <w:szCs w:val="16"/>
                <w:color w:val="auto"/>
              </w:rPr>
            </w:pPr>
          </w:p>
        </w:tc>
        <w:tc>
          <w:tcPr>
            <w:tcW w:w="5120" w:type="dxa"/>
            <w:vAlign w:val="bottom"/>
            <w:gridSpan w:val="3"/>
            <w:shd w:val="clear" w:color="auto" w:fill="CCEEFF"/>
          </w:tcPr>
          <w:p>
            <w:pPr>
              <w:ind w:left="120"/>
              <w:spacing w:after="0"/>
              <w:rPr>
                <w:sz w:val="20"/>
                <w:szCs w:val="20"/>
                <w:color w:val="auto"/>
              </w:rPr>
            </w:pPr>
            <w:r>
              <w:rPr>
                <w:rFonts w:ascii="Arial" w:cs="Arial" w:eastAsia="Arial" w:hAnsi="Arial"/>
                <w:sz w:val="13"/>
                <w:szCs w:val="13"/>
                <w:color w:val="auto"/>
              </w:rPr>
              <w:t>Common equity tier 1 capital ratio (to risk-weighted assets)</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374"/>
              <w:spacing w:after="0"/>
              <w:rPr>
                <w:sz w:val="20"/>
                <w:szCs w:val="20"/>
                <w:color w:val="auto"/>
              </w:rPr>
            </w:pPr>
            <w:r>
              <w:rPr>
                <w:rFonts w:ascii="Arial" w:cs="Arial" w:eastAsia="Arial" w:hAnsi="Arial"/>
                <w:sz w:val="13"/>
                <w:szCs w:val="13"/>
                <w:color w:val="auto"/>
              </w:rPr>
              <w:t>169,384</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12.53 %</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74"/>
              <w:spacing w:after="0"/>
              <w:rPr>
                <w:sz w:val="20"/>
                <w:szCs w:val="20"/>
                <w:color w:val="auto"/>
              </w:rPr>
            </w:pPr>
            <w:r>
              <w:rPr>
                <w:rFonts w:ascii="Arial" w:cs="Arial" w:eastAsia="Arial" w:hAnsi="Arial"/>
                <w:sz w:val="13"/>
                <w:szCs w:val="13"/>
                <w:color w:val="auto"/>
              </w:rPr>
              <w:t>60,823</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4.50 %</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87,856</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120" w:type="dxa"/>
            <w:vAlign w:val="bottom"/>
            <w:gridSpan w:val="3"/>
          </w:tcPr>
          <w:p>
            <w:pPr>
              <w:ind w:left="120"/>
              <w:spacing w:after="0"/>
              <w:rPr>
                <w:sz w:val="20"/>
                <w:szCs w:val="20"/>
                <w:color w:val="auto"/>
              </w:rPr>
            </w:pPr>
            <w:r>
              <w:rPr>
                <w:rFonts w:ascii="Arial" w:cs="Arial" w:eastAsia="Arial" w:hAnsi="Arial"/>
                <w:sz w:val="13"/>
                <w:szCs w:val="13"/>
                <w:color w:val="auto"/>
              </w:rPr>
              <w:t>Total capital ratio (to risk-weighted assets)</w:t>
            </w:r>
          </w:p>
        </w:tc>
        <w:tc>
          <w:tcPr>
            <w:tcW w:w="120" w:type="dxa"/>
            <w:vAlign w:val="bottom"/>
          </w:tcPr>
          <w:p>
            <w:pPr>
              <w:spacing w:after="0"/>
              <w:rPr>
                <w:sz w:val="15"/>
                <w:szCs w:val="15"/>
                <w:color w:val="auto"/>
              </w:rPr>
            </w:pPr>
          </w:p>
        </w:tc>
        <w:tc>
          <w:tcPr>
            <w:tcW w:w="1100" w:type="dxa"/>
            <w:vAlign w:val="bottom"/>
          </w:tcPr>
          <w:p>
            <w:pPr>
              <w:jc w:val="right"/>
              <w:ind w:right="374"/>
              <w:spacing w:after="0"/>
              <w:rPr>
                <w:sz w:val="20"/>
                <w:szCs w:val="20"/>
                <w:color w:val="auto"/>
              </w:rPr>
            </w:pPr>
            <w:r>
              <w:rPr>
                <w:rFonts w:ascii="Arial" w:cs="Arial" w:eastAsia="Arial" w:hAnsi="Arial"/>
                <w:sz w:val="13"/>
                <w:szCs w:val="13"/>
                <w:color w:val="auto"/>
              </w:rPr>
              <w:t>186,397</w:t>
            </w:r>
          </w:p>
        </w:tc>
        <w:tc>
          <w:tcPr>
            <w:tcW w:w="700" w:type="dxa"/>
            <w:vAlign w:val="bottom"/>
          </w:tcPr>
          <w:p>
            <w:pPr>
              <w:jc w:val="right"/>
              <w:spacing w:after="0"/>
              <w:rPr>
                <w:sz w:val="20"/>
                <w:szCs w:val="20"/>
                <w:color w:val="auto"/>
              </w:rPr>
            </w:pPr>
            <w:r>
              <w:rPr>
                <w:rFonts w:ascii="Arial" w:cs="Arial" w:eastAsia="Arial" w:hAnsi="Arial"/>
                <w:sz w:val="13"/>
                <w:szCs w:val="13"/>
                <w:color w:val="auto"/>
              </w:rPr>
              <w:t>13.79 %</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174"/>
              <w:spacing w:after="0"/>
              <w:rPr>
                <w:sz w:val="20"/>
                <w:szCs w:val="20"/>
                <w:color w:val="auto"/>
              </w:rPr>
            </w:pPr>
            <w:r>
              <w:rPr>
                <w:rFonts w:ascii="Arial" w:cs="Arial" w:eastAsia="Arial" w:hAnsi="Arial"/>
                <w:sz w:val="13"/>
                <w:szCs w:val="13"/>
                <w:color w:val="auto"/>
              </w:rPr>
              <w:t>108,130</w:t>
            </w:r>
          </w:p>
        </w:tc>
        <w:tc>
          <w:tcPr>
            <w:tcW w:w="880" w:type="dxa"/>
            <w:vAlign w:val="bottom"/>
          </w:tcPr>
          <w:p>
            <w:pPr>
              <w:jc w:val="right"/>
              <w:spacing w:after="0"/>
              <w:rPr>
                <w:sz w:val="20"/>
                <w:szCs w:val="20"/>
                <w:color w:val="auto"/>
              </w:rPr>
            </w:pPr>
            <w:r>
              <w:rPr>
                <w:rFonts w:ascii="Arial" w:cs="Arial" w:eastAsia="Arial" w:hAnsi="Arial"/>
                <w:sz w:val="13"/>
                <w:szCs w:val="13"/>
                <w:color w:val="auto"/>
              </w:rPr>
              <w:t>8.00 %</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ind w:right="214"/>
              <w:spacing w:after="0"/>
              <w:rPr>
                <w:sz w:val="20"/>
                <w:szCs w:val="20"/>
                <w:color w:val="auto"/>
              </w:rPr>
            </w:pPr>
            <w:r>
              <w:rPr>
                <w:rFonts w:ascii="Arial" w:cs="Arial" w:eastAsia="Arial" w:hAnsi="Arial"/>
                <w:sz w:val="13"/>
                <w:szCs w:val="13"/>
                <w:color w:val="auto"/>
              </w:rPr>
              <w:t>135,162</w:t>
            </w:r>
          </w:p>
        </w:tc>
        <w:tc>
          <w:tcPr>
            <w:tcW w:w="720" w:type="dxa"/>
            <w:vAlign w:val="bottom"/>
          </w:tcPr>
          <w:p>
            <w:pPr>
              <w:jc w:val="right"/>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19" w:lineRule="exact"/>
        <w:rPr>
          <w:sz w:val="20"/>
          <w:szCs w:val="20"/>
          <w:color w:val="auto"/>
        </w:rPr>
      </w:pPr>
    </w:p>
    <w:p>
      <w:pPr>
        <w:jc w:val="both"/>
        <w:ind w:right="100" w:firstLine="318"/>
        <w:spacing w:after="0" w:line="274" w:lineRule="auto"/>
        <w:rPr>
          <w:sz w:val="20"/>
          <w:szCs w:val="20"/>
          <w:color w:val="auto"/>
        </w:rPr>
      </w:pPr>
      <w:r>
        <w:rPr>
          <w:rFonts w:ascii="Arial" w:cs="Arial" w:eastAsia="Arial" w:hAnsi="Arial"/>
          <w:sz w:val="18"/>
          <w:szCs w:val="18"/>
          <w:color w:val="auto"/>
        </w:rPr>
        <w:t>We have contractual obligations to make future payments on debt agreements. Our liquidity monitoring and management consider both present and future demands for and sources of liquidity.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Items</w:t>
      </w:r>
    </w:p>
    <w:p>
      <w:pPr>
        <w:spacing w:after="0" w:line="217" w:lineRule="exact"/>
        <w:rPr>
          <w:sz w:val="20"/>
          <w:szCs w:val="20"/>
          <w:color w:val="auto"/>
        </w:rPr>
      </w:pPr>
    </w:p>
    <w:p>
      <w:pPr>
        <w:jc w:val="both"/>
        <w:ind w:right="100" w:firstLine="318"/>
        <w:spacing w:after="0" w:line="250" w:lineRule="auto"/>
        <w:rPr>
          <w:sz w:val="20"/>
          <w:szCs w:val="20"/>
          <w:color w:val="auto"/>
        </w:rPr>
      </w:pPr>
      <w:r>
        <w:rPr>
          <w:rFonts w:ascii="Arial" w:cs="Arial" w:eastAsia="Arial" w:hAnsi="Arial"/>
          <w:sz w:val="18"/>
          <w:szCs w:val="18"/>
          <w:color w:val="auto"/>
        </w:rPr>
        <w:t>In the normal course of business, we enter into various transactions that, in accordance with GAAP, are not included in our consolidated balance sheets. We enter into these transactions to meet the financing needs of our customers. These transactions include commitments to extend credit and issue letters of credit, which involve, to varying degrees, elements of credit risk and interest rate risk in excess of the amounts recognized in our consolidated balance sheets. Our exposure to credit loss is represented by the contractual amounts of these commitments. The same credit policies and procedures are generally used in making these commitments as for on-balance sheet instruments. We are not aware of any accounting loss to be incurred by funding these commitments; however, we maintain an allowance for off-balance sheet credit risk which is recorded in other liabilities on the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262255</wp:posOffset>
            </wp:positionV>
            <wp:extent cx="716026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58" w:name="page59"/>
    <w:bookmarkEnd w:id="58"/>
    <w:p>
      <w:pPr>
        <w:spacing w:after="0" w:line="167" w:lineRule="exact"/>
        <w:rPr>
          <w:sz w:val="20"/>
          <w:szCs w:val="20"/>
          <w:color w:val="auto"/>
        </w:rPr>
      </w:pPr>
    </w:p>
    <w:p>
      <w:pPr>
        <w:jc w:val="both"/>
        <w:ind w:right="100" w:firstLine="318"/>
        <w:spacing w:after="0" w:line="260" w:lineRule="auto"/>
        <w:rPr>
          <w:sz w:val="20"/>
          <w:szCs w:val="20"/>
          <w:color w:val="auto"/>
        </w:rPr>
      </w:pPr>
      <w:r>
        <w:rPr>
          <w:rFonts w:ascii="Arial" w:cs="Arial" w:eastAsia="Arial" w:hAnsi="Arial"/>
          <w:sz w:val="18"/>
          <w:szCs w:val="18"/>
          <w:color w:val="auto"/>
        </w:rPr>
        <w:t>Our commitments associated with outstanding letters of credit and commitments to extend credit expiring by period as of the date indicated are summarized below. Since commitments associated with letters of credit and commitments to extend credit may expire unused, the amounts shown do not necessarily reflect actual future cash funding requirements.</w:t>
      </w:r>
    </w:p>
    <w:p>
      <w:pPr>
        <w:spacing w:after="0" w:line="173"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CREDIT EXTENSION COMMITMENTS</w:t>
      </w:r>
    </w:p>
    <w:p>
      <w:pPr>
        <w:spacing w:after="0" w:line="266" w:lineRule="exact"/>
        <w:rPr>
          <w:sz w:val="20"/>
          <w:szCs w:val="20"/>
          <w:color w:val="auto"/>
        </w:rPr>
      </w:pPr>
    </w:p>
    <w:tbl>
      <w:tblPr>
        <w:tblLayout w:type="fixed"/>
        <w:tblInd w:w="320" w:type="dxa"/>
        <w:tblCellMar>
          <w:top w:w="0" w:type="dxa"/>
          <w:left w:w="0" w:type="dxa"/>
          <w:bottom w:w="0" w:type="dxa"/>
          <w:right w:w="0" w:type="dxa"/>
        </w:tblCellMar>
      </w:tblPr>
      <w:tr>
        <w:trPr>
          <w:trHeight w:val="194"/>
        </w:trPr>
        <w:tc>
          <w:tcPr>
            <w:tcW w:w="58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As of March 31, 2022</w:t>
            </w:r>
          </w:p>
        </w:tc>
        <w:tc>
          <w:tcPr>
            <w:tcW w:w="3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As of March 31, 2021</w:t>
            </w:r>
          </w:p>
        </w:tc>
      </w:tr>
      <w:tr>
        <w:trPr>
          <w:trHeight w:val="121"/>
        </w:trPr>
        <w:tc>
          <w:tcPr>
            <w:tcW w:w="5820" w:type="dxa"/>
            <w:vAlign w:val="bottom"/>
          </w:tcPr>
          <w:p>
            <w:pPr>
              <w:ind w:left="20"/>
              <w:spacing w:after="0" w:line="121" w:lineRule="exact"/>
              <w:rPr>
                <w:sz w:val="20"/>
                <w:szCs w:val="20"/>
                <w:color w:val="auto"/>
              </w:rPr>
            </w:pPr>
            <w:r>
              <w:rPr>
                <w:rFonts w:ascii="Arial" w:cs="Arial" w:eastAsia="Arial" w:hAnsi="Arial"/>
                <w:sz w:val="11"/>
                <w:szCs w:val="11"/>
                <w:color w:val="auto"/>
              </w:rPr>
              <w:t>(in thousands)</w:t>
            </w:r>
          </w:p>
        </w:tc>
        <w:tc>
          <w:tcPr>
            <w:tcW w:w="36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60" w:type="dxa"/>
            <w:vAlign w:val="bottom"/>
          </w:tcPr>
          <w:p>
            <w:pPr>
              <w:spacing w:after="0"/>
              <w:rPr>
                <w:sz w:val="10"/>
                <w:szCs w:val="10"/>
                <w:color w:val="auto"/>
              </w:rPr>
            </w:pPr>
          </w:p>
        </w:tc>
      </w:tr>
      <w:tr>
        <w:trPr>
          <w:trHeight w:val="231"/>
        </w:trPr>
        <w:tc>
          <w:tcPr>
            <w:tcW w:w="5820" w:type="dxa"/>
            <w:vAlign w:val="bottom"/>
          </w:tcPr>
          <w:p>
            <w:pPr>
              <w:ind w:left="20"/>
              <w:spacing w:after="0"/>
              <w:rPr>
                <w:sz w:val="20"/>
                <w:szCs w:val="20"/>
                <w:color w:val="auto"/>
              </w:rPr>
            </w:pPr>
            <w:r>
              <w:rPr>
                <w:rFonts w:ascii="Arial" w:cs="Arial" w:eastAsia="Arial" w:hAnsi="Arial"/>
                <w:sz w:val="16"/>
                <w:szCs w:val="16"/>
                <w:color w:val="auto"/>
              </w:rPr>
              <w:t>Unfunded lines of credit</w:t>
            </w:r>
          </w:p>
        </w:tc>
        <w:tc>
          <w:tcPr>
            <w:tcW w:w="360" w:type="dxa"/>
            <w:vAlign w:val="bottom"/>
          </w:tcPr>
          <w:p>
            <w:pPr>
              <w:jc w:val="right"/>
              <w:ind w:right="181"/>
              <w:spacing w:after="0"/>
              <w:rPr>
                <w:sz w:val="20"/>
                <w:szCs w:val="20"/>
                <w:color w:val="auto"/>
              </w:rPr>
            </w:pPr>
            <w:r>
              <w:rPr>
                <w:rFonts w:ascii="Arial" w:cs="Arial" w:eastAsia="Arial" w:hAnsi="Arial"/>
                <w:sz w:val="16"/>
                <w:szCs w:val="16"/>
                <w:b w:val="1"/>
                <w:bCs w:val="1"/>
                <w:color w:val="auto"/>
                <w:w w:val="89"/>
              </w:rPr>
              <w:t>$</w:t>
            </w:r>
          </w:p>
        </w:tc>
        <w:tc>
          <w:tcPr>
            <w:tcW w:w="2300" w:type="dxa"/>
            <w:vAlign w:val="bottom"/>
          </w:tcPr>
          <w:p>
            <w:pPr>
              <w:jc w:val="right"/>
              <w:ind w:right="2"/>
              <w:spacing w:after="0"/>
              <w:rPr>
                <w:sz w:val="20"/>
                <w:szCs w:val="20"/>
                <w:color w:val="auto"/>
              </w:rPr>
            </w:pPr>
            <w:r>
              <w:rPr>
                <w:rFonts w:ascii="Arial" w:cs="Arial" w:eastAsia="Arial" w:hAnsi="Arial"/>
                <w:sz w:val="16"/>
                <w:szCs w:val="16"/>
                <w:b w:val="1"/>
                <w:bCs w:val="1"/>
                <w:color w:val="auto"/>
              </w:rPr>
              <w:t>359,775</w:t>
            </w:r>
          </w:p>
        </w:tc>
        <w:tc>
          <w:tcPr>
            <w:tcW w:w="100" w:type="dxa"/>
            <w:vAlign w:val="bottom"/>
          </w:tcPr>
          <w:p>
            <w:pPr>
              <w:spacing w:after="0"/>
              <w:rPr>
                <w:sz w:val="20"/>
                <w:szCs w:val="20"/>
                <w:color w:val="auto"/>
              </w:rPr>
            </w:pPr>
          </w:p>
        </w:tc>
        <w:tc>
          <w:tcPr>
            <w:tcW w:w="38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2060" w:type="dxa"/>
            <w:vAlign w:val="bottom"/>
          </w:tcPr>
          <w:p>
            <w:pPr>
              <w:jc w:val="right"/>
              <w:spacing w:after="0"/>
              <w:rPr>
                <w:sz w:val="20"/>
                <w:szCs w:val="20"/>
                <w:color w:val="auto"/>
              </w:rPr>
            </w:pPr>
            <w:r>
              <w:rPr>
                <w:rFonts w:ascii="Arial" w:cs="Arial" w:eastAsia="Arial" w:hAnsi="Arial"/>
                <w:sz w:val="16"/>
                <w:szCs w:val="16"/>
                <w:color w:val="auto"/>
              </w:rPr>
              <w:t>376,3</w:t>
            </w:r>
          </w:p>
        </w:tc>
      </w:tr>
      <w:tr>
        <w:trPr>
          <w:trHeight w:val="212"/>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to originate residential loans held for sale</w:t>
            </w:r>
          </w:p>
        </w:tc>
        <w:tc>
          <w:tcPr>
            <w:tcW w:w="360" w:type="dxa"/>
            <w:vAlign w:val="bottom"/>
            <w:shd w:val="clear" w:color="auto" w:fill="CCEEFF"/>
          </w:tcPr>
          <w:p>
            <w:pPr>
              <w:spacing w:after="0"/>
              <w:rPr>
                <w:sz w:val="18"/>
                <w:szCs w:val="18"/>
                <w:color w:val="auto"/>
              </w:rPr>
            </w:pPr>
          </w:p>
        </w:tc>
        <w:tc>
          <w:tcPr>
            <w:tcW w:w="230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1,303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r>
      <w:tr>
        <w:trPr>
          <w:trHeight w:val="212"/>
        </w:trPr>
        <w:tc>
          <w:tcPr>
            <w:tcW w:w="5820" w:type="dxa"/>
            <w:vAlign w:val="bottom"/>
          </w:tcPr>
          <w:p>
            <w:pPr>
              <w:ind w:left="20"/>
              <w:spacing w:after="0"/>
              <w:rPr>
                <w:sz w:val="20"/>
                <w:szCs w:val="20"/>
                <w:color w:val="auto"/>
              </w:rPr>
            </w:pPr>
            <w:r>
              <w:rPr>
                <w:rFonts w:ascii="Arial" w:cs="Arial" w:eastAsia="Arial" w:hAnsi="Arial"/>
                <w:sz w:val="16"/>
                <w:szCs w:val="16"/>
                <w:color w:val="auto"/>
              </w:rPr>
              <w:t>Letters of credit</w:t>
            </w:r>
          </w:p>
        </w:tc>
        <w:tc>
          <w:tcPr>
            <w:tcW w:w="360" w:type="dxa"/>
            <w:vAlign w:val="bottom"/>
          </w:tcPr>
          <w:p>
            <w:pPr>
              <w:spacing w:after="0"/>
              <w:rPr>
                <w:sz w:val="18"/>
                <w:szCs w:val="18"/>
                <w:color w:val="auto"/>
              </w:rPr>
            </w:pPr>
          </w:p>
        </w:tc>
        <w:tc>
          <w:tcPr>
            <w:tcW w:w="2300" w:type="dxa"/>
            <w:vAlign w:val="bottom"/>
          </w:tcPr>
          <w:p>
            <w:pPr>
              <w:jc w:val="right"/>
              <w:ind w:right="2"/>
              <w:spacing w:after="0"/>
              <w:rPr>
                <w:sz w:val="20"/>
                <w:szCs w:val="20"/>
                <w:color w:val="auto"/>
              </w:rPr>
            </w:pPr>
            <w:r>
              <w:rPr>
                <w:rFonts w:ascii="Arial" w:cs="Arial" w:eastAsia="Arial" w:hAnsi="Arial"/>
                <w:sz w:val="16"/>
                <w:szCs w:val="16"/>
                <w:b w:val="1"/>
                <w:bCs w:val="1"/>
                <w:color w:val="auto"/>
              </w:rPr>
              <w:t>5,085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212"/>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 to fund other investments</w:t>
            </w:r>
          </w:p>
        </w:tc>
        <w:tc>
          <w:tcPr>
            <w:tcW w:w="360" w:type="dxa"/>
            <w:vAlign w:val="bottom"/>
            <w:tcBorders>
              <w:bottom w:val="single" w:sz="8" w:color="auto"/>
            </w:tcBorders>
            <w:shd w:val="clear" w:color="auto" w:fill="CCEEFF"/>
          </w:tcPr>
          <w:p>
            <w:pPr>
              <w:spacing w:after="0"/>
              <w:rPr>
                <w:sz w:val="18"/>
                <w:szCs w:val="18"/>
                <w:color w:val="auto"/>
              </w:rPr>
            </w:pPr>
          </w:p>
        </w:tc>
        <w:tc>
          <w:tcPr>
            <w:tcW w:w="23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5,763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2060" w:type="dxa"/>
            <w:vAlign w:val="bottom"/>
            <w:tcBorders>
              <w:bottom w:val="single" w:sz="8" w:color="auto"/>
            </w:tcBorders>
            <w:shd w:val="clear" w:color="auto" w:fill="CCEEFF"/>
          </w:tcPr>
          <w:p>
            <w:pPr>
              <w:spacing w:after="0"/>
              <w:rPr>
                <w:sz w:val="18"/>
                <w:szCs w:val="18"/>
                <w:color w:val="auto"/>
              </w:rPr>
            </w:pPr>
          </w:p>
        </w:tc>
      </w:tr>
      <w:tr>
        <w:trPr>
          <w:trHeight w:val="205"/>
        </w:trPr>
        <w:tc>
          <w:tcPr>
            <w:tcW w:w="5820" w:type="dxa"/>
            <w:vAlign w:val="bottom"/>
          </w:tcPr>
          <w:p>
            <w:pPr>
              <w:ind w:left="140"/>
              <w:spacing w:after="0"/>
              <w:rPr>
                <w:sz w:val="20"/>
                <w:szCs w:val="20"/>
                <w:color w:val="auto"/>
              </w:rPr>
            </w:pPr>
            <w:r>
              <w:rPr>
                <w:rFonts w:ascii="Arial" w:cs="Arial" w:eastAsia="Arial" w:hAnsi="Arial"/>
                <w:sz w:val="16"/>
                <w:szCs w:val="16"/>
                <w:color w:val="auto"/>
              </w:rPr>
              <w:t>Total credit extension commitments</w:t>
            </w:r>
          </w:p>
        </w:tc>
        <w:tc>
          <w:tcPr>
            <w:tcW w:w="36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w w:val="89"/>
              </w:rPr>
              <w:t>$</w:t>
            </w:r>
          </w:p>
        </w:tc>
        <w:tc>
          <w:tcPr>
            <w:tcW w:w="23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371,926</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390,2</w:t>
            </w:r>
          </w:p>
        </w:tc>
      </w:tr>
      <w:tr>
        <w:trPr>
          <w:trHeight w:val="20"/>
        </w:trPr>
        <w:tc>
          <w:tcPr>
            <w:tcW w:w="5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both"/>
        <w:ind w:right="100" w:firstLine="318"/>
        <w:spacing w:after="0" w:line="250" w:lineRule="auto"/>
        <w:rPr>
          <w:sz w:val="20"/>
          <w:szCs w:val="20"/>
          <w:color w:val="auto"/>
        </w:rPr>
      </w:pPr>
      <w:r>
        <w:rPr>
          <w:rFonts w:ascii="Arial" w:cs="Arial" w:eastAsia="Arial" w:hAnsi="Arial"/>
          <w:sz w:val="18"/>
          <w:szCs w:val="18"/>
          <w:color w:val="auto"/>
        </w:rPr>
        <w:t>Unfunded lines of credit represent unused credit facilities to our current borrowers. Lines of credit generally have variable interest rates. Letters of credit are conditional commitments issued by us to guarantee the performance of a customer to a third party. In the event of nonperformance by the customer in accordance with the terms of the agreement with the third party, we would be required to fund the commitment. The maximum potential amount of future payments we could be required to make is represented by the contractual amount of the commitment. If the commitment is funded, we would be entitled to seek recovery from the client from the underlying collateral, which can include commercial real estate, physical plant and property, inventory, receivables, cash and/or marketable securities. Our policies generally require that letter of credit arrangements contain security and debt covenants similar to those contained in loan agreements.</w:t>
      </w:r>
    </w:p>
    <w:p>
      <w:pPr>
        <w:spacing w:after="0" w:line="187" w:lineRule="exact"/>
        <w:rPr>
          <w:sz w:val="20"/>
          <w:szCs w:val="20"/>
          <w:color w:val="auto"/>
        </w:rPr>
      </w:pPr>
    </w:p>
    <w:p>
      <w:pPr>
        <w:jc w:val="both"/>
        <w:ind w:right="100" w:firstLine="318"/>
        <w:spacing w:after="0" w:line="255" w:lineRule="auto"/>
        <w:rPr>
          <w:sz w:val="20"/>
          <w:szCs w:val="20"/>
          <w:color w:val="auto"/>
        </w:rPr>
      </w:pPr>
      <w:r>
        <w:rPr>
          <w:rFonts w:ascii="Arial" w:cs="Arial" w:eastAsia="Arial" w:hAnsi="Arial"/>
          <w:sz w:val="18"/>
          <w:szCs w:val="18"/>
          <w:color w:val="auto"/>
        </w:rPr>
        <w:t>We seek to minimize our exposure to loss under letters of credit and credit commitments by subjecting them to the same credit approval and monitoring procedures as we do for on-balance sheet instruments. The effect on our revenue, expenses, cash flows and liquidity of the unused portions of these letters of credit commitments cannot be precisely predicted because we do not control the extent to which the lines of credit may be used.</w:t>
      </w:r>
    </w:p>
    <w:p>
      <w:pPr>
        <w:spacing w:after="0" w:line="180" w:lineRule="exact"/>
        <w:rPr>
          <w:sz w:val="20"/>
          <w:szCs w:val="20"/>
          <w:color w:val="auto"/>
        </w:rPr>
      </w:pPr>
    </w:p>
    <w:p>
      <w:pPr>
        <w:jc w:val="both"/>
        <w:ind w:right="100" w:firstLine="318"/>
        <w:spacing w:after="0" w:line="271" w:lineRule="auto"/>
        <w:rPr>
          <w:sz w:val="20"/>
          <w:szCs w:val="20"/>
          <w:color w:val="auto"/>
        </w:rPr>
      </w:pPr>
      <w:r>
        <w:rPr>
          <w:rFonts w:ascii="Arial" w:cs="Arial" w:eastAsia="Arial" w:hAnsi="Arial"/>
          <w:sz w:val="17"/>
          <w:szCs w:val="17"/>
          <w:color w:val="auto"/>
        </w:rPr>
        <w:t>Commitments to extend credit are agreements to lend funds to a customer, as long as there is no violation of any condition established in the contract. Commitments generally have variable interest rates, fixed expiration dates or other termination clauses and may require payment of a fee. Since many of the commitments are expected to expire without being fully drawn, the total commitment amounts disclosed above do not necessarily represent future cash requirements. We evaluate each customer’s creditworthiness on a case-by-case basis. The amount of collateral obtained, if considered necessary by us, upon extension of credit is based on management’s credit evaluation of the customer.</w:t>
      </w:r>
    </w:p>
    <w:p>
      <w:pPr>
        <w:spacing w:after="0" w:line="168" w:lineRule="exact"/>
        <w:rPr>
          <w:sz w:val="20"/>
          <w:szCs w:val="20"/>
          <w:color w:val="auto"/>
        </w:rPr>
      </w:pPr>
    </w:p>
    <w:p>
      <w:pPr>
        <w:jc w:val="both"/>
        <w:ind w:right="100" w:firstLine="318"/>
        <w:spacing w:after="0" w:line="255" w:lineRule="auto"/>
        <w:rPr>
          <w:sz w:val="20"/>
          <w:szCs w:val="20"/>
          <w:color w:val="auto"/>
        </w:rPr>
      </w:pPr>
      <w:r>
        <w:rPr>
          <w:rFonts w:ascii="Arial" w:cs="Arial" w:eastAsia="Arial" w:hAnsi="Arial"/>
          <w:sz w:val="18"/>
          <w:szCs w:val="18"/>
          <w:color w:val="auto"/>
        </w:rPr>
        <w:t>We enter into forward commitments for the delivery of mortgage loans in our current pipeline. Interest rate lock commitments are entered into in order to economically hedge the effect of changes in interest rates resulting from our commitments to fund the loans. These commitments to fund mortgage loans to be sold into the secondary market, along with the interest rate lock commitments and forward commitments for the future delivery of mortgage loans to third party investors, are considered derivatives.</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commitment to fund other investments reflects an obligation to make an investment in a Small Business Investment Company.</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Impact of Inflation</w:t>
      </w:r>
    </w:p>
    <w:p>
      <w:pPr>
        <w:spacing w:after="0" w:line="219" w:lineRule="exact"/>
        <w:rPr>
          <w:sz w:val="20"/>
          <w:szCs w:val="20"/>
          <w:color w:val="auto"/>
        </w:rPr>
      </w:pPr>
    </w:p>
    <w:p>
      <w:pPr>
        <w:jc w:val="both"/>
        <w:ind w:right="100" w:firstLine="318"/>
        <w:spacing w:after="0" w:line="274" w:lineRule="auto"/>
        <w:rPr>
          <w:sz w:val="20"/>
          <w:szCs w:val="20"/>
          <w:color w:val="auto"/>
        </w:rPr>
      </w:pPr>
      <w:r>
        <w:rPr>
          <w:rFonts w:ascii="Arial" w:cs="Arial" w:eastAsia="Arial" w:hAnsi="Arial"/>
          <w:sz w:val="18"/>
          <w:szCs w:val="18"/>
          <w:color w:val="auto"/>
        </w:rPr>
        <w:t>Our consolidated financial statements and related notes included elsewhere in this report have been prepared in accordance with GAAP. GAAP requires the measurement of financial position and operating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262255</wp:posOffset>
            </wp:positionV>
            <wp:extent cx="716026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59" w:name="page60"/>
    <w:bookmarkEnd w:id="59"/>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results in terms of historical dollars, without considering changes in the relative value of money over time due to inflation or recession.</w:t>
      </w:r>
    </w:p>
    <w:p>
      <w:pPr>
        <w:spacing w:after="0" w:line="217" w:lineRule="exact"/>
        <w:rPr>
          <w:sz w:val="20"/>
          <w:szCs w:val="20"/>
          <w:color w:val="auto"/>
        </w:rPr>
      </w:pPr>
    </w:p>
    <w:p>
      <w:pPr>
        <w:jc w:val="both"/>
        <w:ind w:firstLine="318"/>
        <w:spacing w:after="0" w:line="282" w:lineRule="auto"/>
        <w:rPr>
          <w:sz w:val="20"/>
          <w:szCs w:val="20"/>
          <w:color w:val="auto"/>
        </w:rPr>
      </w:pPr>
      <w:r>
        <w:rPr>
          <w:rFonts w:ascii="Arial" w:cs="Arial" w:eastAsia="Arial" w:hAnsi="Arial"/>
          <w:sz w:val="17"/>
          <w:szCs w:val="17"/>
          <w:color w:val="auto"/>
        </w:rPr>
        <w:t>Unlike many industrial companies, substantially all of our assets and liabilities are monetary in nature. As a result, interest rates have a more significant impact on our performance than the effects of general levels of inflation. Interest rates may not necessarily move in the same direction or in the same magnitude as the prices of goods and services. However, other operating expenses do reflect general levels of inflation.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262255</wp:posOffset>
            </wp:positionV>
            <wp:extent cx="716026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Sensitivity and Market Risk</w:t>
      </w:r>
    </w:p>
    <w:p>
      <w:pPr>
        <w:spacing w:after="0" w:line="219"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8"/>
          <w:szCs w:val="18"/>
          <w:color w:val="auto"/>
        </w:rPr>
        <w:t>As a financial institution, our primary component of market risk is interest rate volatility. Our asset liability and funds management policy provides management with the guidelines for funds management, and we have established a measurement system for monitoring our net interest rate sensitivity position</w:t>
      </w:r>
      <w:r>
        <w:rPr>
          <w:rFonts w:ascii="Arial" w:cs="Arial" w:eastAsia="Arial" w:hAnsi="Arial"/>
          <w:sz w:val="18"/>
          <w:szCs w:val="18"/>
          <w:b w:val="1"/>
          <w:bCs w:val="1"/>
          <w:color w:val="auto"/>
        </w:rPr>
        <w:t>.</w:t>
      </w:r>
      <w:r>
        <w:rPr>
          <w:rFonts w:ascii="Arial" w:cs="Arial" w:eastAsia="Arial" w:hAnsi="Arial"/>
          <w:sz w:val="18"/>
          <w:szCs w:val="18"/>
          <w:color w:val="auto"/>
        </w:rPr>
        <w:t xml:space="preserve"> We endeavor to manage our sensitivity position within our established guidelines.</w:t>
      </w:r>
    </w:p>
    <w:p>
      <w:pPr>
        <w:spacing w:after="0" w:line="160"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8"/>
          <w:szCs w:val="18"/>
          <w:color w:val="auto"/>
        </w:rPr>
        <w:t>Fluctuations in interest rates will ultimately impact both the level of income and expense recorded on most of our assets and liabilities, and the market value of all interest earning assets and interest bearing liabilities, other than those that have a short term to maturity. Interest rate risk is the potential of economic losses due to future interest rate changes. These economic losses can be reflected as a loss of future net interest income and/or a loss of current fair market values. The objective is to measure the effect on net interest income and to adjust the balance sheet to minimize the inherent risk while at the same time maximizing income.</w:t>
      </w:r>
    </w:p>
    <w:p>
      <w:pPr>
        <w:spacing w:after="0" w:line="181" w:lineRule="exact"/>
        <w:rPr>
          <w:sz w:val="20"/>
          <w:szCs w:val="20"/>
          <w:color w:val="auto"/>
        </w:rPr>
      </w:pPr>
    </w:p>
    <w:p>
      <w:pPr>
        <w:jc w:val="both"/>
        <w:ind w:firstLine="318"/>
        <w:spacing w:after="0" w:line="275" w:lineRule="auto"/>
        <w:rPr>
          <w:sz w:val="20"/>
          <w:szCs w:val="20"/>
          <w:color w:val="auto"/>
        </w:rPr>
      </w:pPr>
      <w:r>
        <w:rPr>
          <w:rFonts w:ascii="Arial" w:cs="Arial" w:eastAsia="Arial" w:hAnsi="Arial"/>
          <w:sz w:val="17"/>
          <w:szCs w:val="17"/>
          <w:color w:val="auto"/>
        </w:rPr>
        <w:t>We endeavor to manage our exposure to interest rates by structuring our balance sheet in the ordinary course of business. We do not enter into instruments such as leveraged derivatives, financial options or financial futures contracts for the purpose of reducing interest rate risk. We endeavor to hedge the interest rate risks of our available for sale mortgage pipeline by using mortgage-backed securities, and short positions. Based on the nature of our operations, we are not subject to foreign exchange or commodity price risk. We do not own any trading assets.</w:t>
      </w:r>
    </w:p>
    <w:p>
      <w:pPr>
        <w:spacing w:after="0" w:line="16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Our exposure to interest rate risk is managed by the Bank’s Asset/Liability Management Committee (“ALCO”) in accordance with policies approved by our board of directors. The committee formulates strategies based on perceived levels of interest rate risk. In determining the appropriate level of interest rate risk, the committee considers the impact on earnings and capital of the current outlook on interest rates, potential changes in interest rates, regional economies, liquidity, business strategies and other factors. The committee meets regularly to review, among other things, the sensitivity of assets and liabilities to interest rate changes, the book and market values of assets and liabilities, unrealized gains and losses, purchase and sale activities, commitments to originate loans and the maturities of investments and borrowings. Additionally, the committee reviews liquidity, cash flow flexibility, maturities of deposits and consumer and commercial deposit activity. Management employs methodologies to manage interest rate risk, which include an analysis of relationships between interest earning assets and interest bearing liabilities and an interest rate shock simulation model.</w:t>
      </w:r>
    </w:p>
    <w:p>
      <w:pPr>
        <w:spacing w:after="0" w:line="187"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8"/>
          <w:szCs w:val="18"/>
          <w:color w:val="auto"/>
        </w:rPr>
        <w:t>The following table indicates that, for periods less than one year, rate-sensitive assets exceeded rate-sensitive liabilities, resulting in an asset-sensitive position. For a bank with an asset-sensitive position, or positive gap, rising interest rates would generally be expected to have a positive effect on net interest income, and falling interest rates would generally be expected to have the opposite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262255</wp:posOffset>
            </wp:positionV>
            <wp:extent cx="716026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INTEREST SENSITIVITY GAP</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After One Month</w:t>
            </w:r>
          </w:p>
        </w:tc>
        <w:tc>
          <w:tcPr>
            <w:tcW w:w="12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After Three</w:t>
            </w: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9"/>
              </w:rPr>
              <w:t>Greater Than One</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March 31, 2022</w:t>
            </w:r>
          </w:p>
        </w:tc>
        <w:tc>
          <w:tcPr>
            <w:tcW w:w="14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Within One Month</w:t>
            </w:r>
          </w:p>
        </w:tc>
        <w:tc>
          <w:tcPr>
            <w:tcW w:w="140" w:type="dxa"/>
            <w:vAlign w:val="bottom"/>
          </w:tcPr>
          <w:p>
            <w:pPr>
              <w:spacing w:after="0"/>
              <w:rPr>
                <w:sz w:val="12"/>
                <w:szCs w:val="12"/>
                <w:color w:val="auto"/>
              </w:rPr>
            </w:pPr>
          </w:p>
        </w:tc>
        <w:tc>
          <w:tcPr>
            <w:tcW w:w="144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99"/>
              </w:rPr>
              <w:t>Through Three</w:t>
            </w:r>
          </w:p>
        </w:tc>
        <w:tc>
          <w:tcPr>
            <w:tcW w:w="120" w:type="dxa"/>
            <w:vAlign w:val="bottom"/>
          </w:tcPr>
          <w:p>
            <w:pPr>
              <w:spacing w:after="0"/>
              <w:rPr>
                <w:sz w:val="12"/>
                <w:szCs w:val="12"/>
                <w:color w:val="auto"/>
              </w:rPr>
            </w:pPr>
          </w:p>
        </w:tc>
        <w:tc>
          <w:tcPr>
            <w:tcW w:w="134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8"/>
              </w:rPr>
              <w:t>Through Twelve</w:t>
            </w:r>
          </w:p>
        </w:tc>
        <w:tc>
          <w:tcPr>
            <w:tcW w:w="120" w:type="dxa"/>
            <w:vAlign w:val="bottom"/>
          </w:tcPr>
          <w:p>
            <w:pPr>
              <w:spacing w:after="0"/>
              <w:rPr>
                <w:sz w:val="12"/>
                <w:szCs w:val="12"/>
                <w:color w:val="auto"/>
              </w:rPr>
            </w:pPr>
          </w:p>
        </w:tc>
        <w:tc>
          <w:tcPr>
            <w:tcW w:w="1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Within One Year</w:t>
            </w:r>
          </w:p>
        </w:tc>
        <w:tc>
          <w:tcPr>
            <w:tcW w:w="160" w:type="dxa"/>
            <w:vAlign w:val="bottom"/>
          </w:tcPr>
          <w:p>
            <w:pPr>
              <w:spacing w:after="0"/>
              <w:rPr>
                <w:sz w:val="12"/>
                <w:szCs w:val="12"/>
                <w:color w:val="auto"/>
              </w:rPr>
            </w:pPr>
          </w:p>
        </w:tc>
        <w:tc>
          <w:tcPr>
            <w:tcW w:w="130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w w:val="99"/>
              </w:rPr>
              <w:t>Year or Non-</w:t>
            </w:r>
          </w:p>
        </w:tc>
        <w:tc>
          <w:tcPr>
            <w:tcW w:w="280" w:type="dxa"/>
            <w:vAlign w:val="bottom"/>
          </w:tcPr>
          <w:p>
            <w:pPr>
              <w:spacing w:after="0"/>
              <w:rPr>
                <w:sz w:val="12"/>
                <w:szCs w:val="12"/>
                <w:color w:val="auto"/>
              </w:rPr>
            </w:pPr>
          </w:p>
        </w:tc>
        <w:tc>
          <w:tcPr>
            <w:tcW w:w="980" w:type="dxa"/>
            <w:vAlign w:val="bottom"/>
            <w:vMerge w:val="restart"/>
          </w:tcPr>
          <w:p>
            <w:pPr>
              <w:jc w:val="right"/>
              <w:ind w:right="38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2600" w:type="dxa"/>
            <w:vAlign w:val="bottom"/>
            <w:vMerge w:val="continue"/>
          </w:tcPr>
          <w:p>
            <w:pPr>
              <w:spacing w:after="0"/>
              <w:rPr>
                <w:sz w:val="16"/>
                <w:szCs w:val="16"/>
                <w:color w:val="auto"/>
              </w:rPr>
            </w:pPr>
          </w:p>
        </w:tc>
        <w:tc>
          <w:tcPr>
            <w:tcW w:w="1420" w:type="dxa"/>
            <w:vAlign w:val="bottom"/>
            <w:tcBorders>
              <w:bottom w:val="single" w:sz="8" w:color="auto"/>
            </w:tcBorders>
            <w:gridSpan w:val="3"/>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Months</w:t>
            </w: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Months</w:t>
            </w: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Sensitive</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600" w:type="dxa"/>
            <w:vAlign w:val="bottom"/>
          </w:tcPr>
          <w:p>
            <w:pPr>
              <w:ind w:left="20"/>
              <w:spacing w:after="0" w:line="120" w:lineRule="exact"/>
              <w:rPr>
                <w:sz w:val="20"/>
                <w:szCs w:val="20"/>
                <w:color w:val="auto"/>
              </w:rPr>
            </w:pPr>
            <w:r>
              <w:rPr>
                <w:rFonts w:ascii="Arial" w:cs="Arial" w:eastAsia="Arial" w:hAnsi="Arial"/>
                <w:sz w:val="11"/>
                <w:szCs w:val="11"/>
                <w:color w:val="auto"/>
              </w:rPr>
              <w:t>(in thousands)</w:t>
            </w: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600" w:type="dxa"/>
            <w:vAlign w:val="bottom"/>
          </w:tcPr>
          <w:p>
            <w:pPr>
              <w:ind w:left="20"/>
              <w:spacing w:after="0"/>
              <w:rPr>
                <w:sz w:val="20"/>
                <w:szCs w:val="20"/>
                <w:color w:val="auto"/>
              </w:rPr>
            </w:pPr>
            <w:r>
              <w:rPr>
                <w:rFonts w:ascii="Arial" w:cs="Arial" w:eastAsia="Arial" w:hAnsi="Arial"/>
                <w:sz w:val="14"/>
                <w:szCs w:val="14"/>
                <w:color w:val="auto"/>
              </w:rPr>
              <w:t>Interest earning assets</w:t>
            </w: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00" w:type="dxa"/>
            <w:vAlign w:val="bottom"/>
            <w:shd w:val="clear" w:color="auto" w:fill="CCEEFF"/>
          </w:tcPr>
          <w:p>
            <w:pPr>
              <w:ind w:left="140"/>
              <w:spacing w:after="0" w:line="203" w:lineRule="exact"/>
              <w:rPr>
                <w:sz w:val="20"/>
                <w:szCs w:val="20"/>
                <w:color w:val="auto"/>
              </w:rPr>
            </w:pPr>
            <w:r>
              <w:rPr>
                <w:rFonts w:ascii="Arial" w:cs="Arial" w:eastAsia="Arial" w:hAnsi="Arial"/>
                <w:sz w:val="14"/>
                <w:szCs w:val="14"/>
                <w:color w:val="auto"/>
              </w:rPr>
              <w:t xml:space="preserve">Loans </w:t>
            </w:r>
            <w:r>
              <w:rPr>
                <w:rFonts w:ascii="Arial" w:cs="Arial" w:eastAsia="Arial" w:hAnsi="Arial"/>
                <w:sz w:val="18"/>
                <w:szCs w:val="18"/>
                <w:color w:val="auto"/>
                <w:vertAlign w:val="superscript"/>
              </w:rPr>
              <w:t>(1)</w:t>
            </w:r>
          </w:p>
        </w:tc>
        <w:tc>
          <w:tcPr>
            <w:tcW w:w="36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408,277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152,405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392,003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952,685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644,506</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1,597,191</w:t>
            </w:r>
          </w:p>
        </w:tc>
        <w:tc>
          <w:tcPr>
            <w:tcW w:w="0" w:type="dxa"/>
            <w:vAlign w:val="bottom"/>
          </w:tcPr>
          <w:p>
            <w:pPr>
              <w:spacing w:after="0"/>
              <w:rPr>
                <w:sz w:val="1"/>
                <w:szCs w:val="1"/>
                <w:color w:val="auto"/>
              </w:rPr>
            </w:pPr>
          </w:p>
        </w:tc>
      </w:tr>
      <w:tr>
        <w:trPr>
          <w:trHeight w:val="194"/>
        </w:trPr>
        <w:tc>
          <w:tcPr>
            <w:tcW w:w="2600" w:type="dxa"/>
            <w:vAlign w:val="bottom"/>
          </w:tcPr>
          <w:p>
            <w:pPr>
              <w:ind w:left="140"/>
              <w:spacing w:after="0"/>
              <w:rPr>
                <w:sz w:val="20"/>
                <w:szCs w:val="20"/>
                <w:color w:val="auto"/>
              </w:rPr>
            </w:pPr>
            <w:r>
              <w:rPr>
                <w:rFonts w:ascii="Arial" w:cs="Arial" w:eastAsia="Arial" w:hAnsi="Arial"/>
                <w:sz w:val="14"/>
                <w:szCs w:val="14"/>
                <w:color w:val="auto"/>
              </w:rPr>
              <w:t>Securities</w:t>
            </w:r>
          </w:p>
        </w:tc>
        <w:tc>
          <w:tcPr>
            <w:tcW w:w="360" w:type="dxa"/>
            <w:vAlign w:val="bottom"/>
          </w:tcPr>
          <w:p>
            <w:pPr>
              <w:spacing w:after="0"/>
              <w:rPr>
                <w:sz w:val="16"/>
                <w:szCs w:val="16"/>
                <w:color w:val="auto"/>
              </w:rPr>
            </w:pPr>
          </w:p>
        </w:tc>
        <w:tc>
          <w:tcPr>
            <w:tcW w:w="940" w:type="dxa"/>
            <w:vAlign w:val="bottom"/>
          </w:tcPr>
          <w:p>
            <w:pPr>
              <w:jc w:val="right"/>
              <w:ind w:right="109"/>
              <w:spacing w:after="0"/>
              <w:rPr>
                <w:sz w:val="20"/>
                <w:szCs w:val="20"/>
                <w:color w:val="auto"/>
              </w:rPr>
            </w:pPr>
            <w:r>
              <w:rPr>
                <w:rFonts w:ascii="Arial" w:cs="Arial" w:eastAsia="Arial" w:hAnsi="Arial"/>
                <w:sz w:val="14"/>
                <w:szCs w:val="14"/>
                <w:color w:val="auto"/>
              </w:rPr>
              <w:t>15,977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right"/>
              <w:ind w:right="109"/>
              <w:spacing w:after="0"/>
              <w:rPr>
                <w:sz w:val="20"/>
                <w:szCs w:val="20"/>
                <w:color w:val="auto"/>
              </w:rPr>
            </w:pPr>
            <w:r>
              <w:rPr>
                <w:rFonts w:ascii="Arial" w:cs="Arial" w:eastAsia="Arial" w:hAnsi="Arial"/>
                <w:sz w:val="14"/>
                <w:szCs w:val="14"/>
                <w:color w:val="auto"/>
              </w:rPr>
              <w:t>8,255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ind w:right="109"/>
              <w:spacing w:after="0"/>
              <w:rPr>
                <w:sz w:val="20"/>
                <w:szCs w:val="20"/>
                <w:color w:val="auto"/>
              </w:rPr>
            </w:pPr>
            <w:r>
              <w:rPr>
                <w:rFonts w:ascii="Arial" w:cs="Arial" w:eastAsia="Arial" w:hAnsi="Arial"/>
                <w:sz w:val="14"/>
                <w:szCs w:val="14"/>
                <w:color w:val="auto"/>
              </w:rPr>
              <w:t>1,825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ind w:right="129"/>
              <w:spacing w:after="0"/>
              <w:rPr>
                <w:sz w:val="20"/>
                <w:szCs w:val="20"/>
                <w:color w:val="auto"/>
              </w:rPr>
            </w:pPr>
            <w:r>
              <w:rPr>
                <w:rFonts w:ascii="Arial" w:cs="Arial" w:eastAsia="Arial" w:hAnsi="Arial"/>
                <w:sz w:val="14"/>
                <w:szCs w:val="14"/>
                <w:color w:val="auto"/>
              </w:rPr>
              <w:t>26,057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color w:val="auto"/>
              </w:rPr>
              <w:t>161,288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187,345</w:t>
            </w:r>
          </w:p>
        </w:tc>
        <w:tc>
          <w:tcPr>
            <w:tcW w:w="0" w:type="dxa"/>
            <w:vAlign w:val="bottom"/>
          </w:tcPr>
          <w:p>
            <w:pPr>
              <w:spacing w:after="0"/>
              <w:rPr>
                <w:sz w:val="1"/>
                <w:szCs w:val="1"/>
                <w:color w:val="auto"/>
              </w:rPr>
            </w:pPr>
          </w:p>
        </w:tc>
      </w:tr>
      <w:tr>
        <w:trPr>
          <w:trHeight w:val="154"/>
        </w:trPr>
        <w:tc>
          <w:tcPr>
            <w:tcW w:w="2600" w:type="dxa"/>
            <w:vAlign w:val="bottom"/>
            <w:shd w:val="clear" w:color="auto" w:fill="CCEEFF"/>
          </w:tcPr>
          <w:p>
            <w:pPr>
              <w:ind w:left="140"/>
              <w:spacing w:after="0" w:line="154" w:lineRule="exact"/>
              <w:rPr>
                <w:sz w:val="20"/>
                <w:szCs w:val="20"/>
                <w:color w:val="auto"/>
              </w:rPr>
            </w:pPr>
            <w:r>
              <w:rPr>
                <w:rFonts w:ascii="Arial" w:cs="Arial" w:eastAsia="Arial" w:hAnsi="Arial"/>
                <w:sz w:val="14"/>
                <w:szCs w:val="14"/>
                <w:color w:val="auto"/>
              </w:rPr>
              <w:t>Interest bearing deposits at other</w:t>
            </w:r>
          </w:p>
        </w:tc>
        <w:tc>
          <w:tcPr>
            <w:tcW w:w="36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ind w:right="109"/>
              <w:spacing w:after="0"/>
              <w:rPr>
                <w:sz w:val="20"/>
                <w:szCs w:val="20"/>
                <w:color w:val="auto"/>
              </w:rPr>
            </w:pPr>
            <w:r>
              <w:rPr>
                <w:rFonts w:ascii="Arial" w:cs="Arial" w:eastAsia="Arial" w:hAnsi="Arial"/>
                <w:sz w:val="14"/>
                <w:szCs w:val="14"/>
                <w:color w:val="auto"/>
              </w:rPr>
              <w:t>299</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4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34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ind w:right="129"/>
              <w:spacing w:after="0"/>
              <w:rPr>
                <w:sz w:val="20"/>
                <w:szCs w:val="20"/>
                <w:color w:val="auto"/>
              </w:rPr>
            </w:pPr>
            <w:r>
              <w:rPr>
                <w:rFonts w:ascii="Arial" w:cs="Arial" w:eastAsia="Arial" w:hAnsi="Arial"/>
                <w:sz w:val="14"/>
                <w:szCs w:val="14"/>
                <w:color w:val="auto"/>
              </w:rPr>
              <w:t>299</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0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299</w:t>
            </w:r>
          </w:p>
        </w:tc>
        <w:tc>
          <w:tcPr>
            <w:tcW w:w="0" w:type="dxa"/>
            <w:vAlign w:val="bottom"/>
          </w:tcPr>
          <w:p>
            <w:pPr>
              <w:spacing w:after="0"/>
              <w:rPr>
                <w:sz w:val="1"/>
                <w:szCs w:val="1"/>
                <w:color w:val="auto"/>
              </w:rPr>
            </w:pPr>
          </w:p>
        </w:tc>
      </w:tr>
      <w:tr>
        <w:trPr>
          <w:trHeight w:val="182"/>
        </w:trPr>
        <w:tc>
          <w:tcPr>
            <w:tcW w:w="2600" w:type="dxa"/>
            <w:vAlign w:val="bottom"/>
            <w:shd w:val="clear" w:color="auto" w:fill="CCEEFF"/>
          </w:tcPr>
          <w:p>
            <w:pPr>
              <w:ind w:left="300"/>
              <w:spacing w:after="0"/>
              <w:rPr>
                <w:sz w:val="20"/>
                <w:szCs w:val="20"/>
                <w:color w:val="auto"/>
              </w:rPr>
            </w:pPr>
            <w:r>
              <w:rPr>
                <w:rFonts w:ascii="Arial" w:cs="Arial" w:eastAsia="Arial" w:hAnsi="Arial"/>
                <w:sz w:val="14"/>
                <w:szCs w:val="14"/>
                <w:color w:val="auto"/>
              </w:rPr>
              <w:t>financial institutions</w:t>
            </w:r>
          </w:p>
        </w:tc>
        <w:tc>
          <w:tcPr>
            <w:tcW w:w="360" w:type="dxa"/>
            <w:vAlign w:val="bottom"/>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gridSpan w:val="2"/>
            <w:vMerge w:val="continue"/>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600" w:type="dxa"/>
            <w:vAlign w:val="bottom"/>
          </w:tcPr>
          <w:p>
            <w:pPr>
              <w:ind w:left="140"/>
              <w:spacing w:after="0"/>
              <w:rPr>
                <w:sz w:val="20"/>
                <w:szCs w:val="20"/>
                <w:color w:val="auto"/>
              </w:rPr>
            </w:pPr>
            <w:r>
              <w:rPr>
                <w:rFonts w:ascii="Arial" w:cs="Arial" w:eastAsia="Arial" w:hAnsi="Arial"/>
                <w:sz w:val="14"/>
                <w:szCs w:val="14"/>
                <w:color w:val="auto"/>
              </w:rPr>
              <w:t>Federal funds sold</w:t>
            </w:r>
          </w:p>
        </w:tc>
        <w:tc>
          <w:tcPr>
            <w:tcW w:w="360" w:type="dxa"/>
            <w:vAlign w:val="bottom"/>
          </w:tcPr>
          <w:p>
            <w:pPr>
              <w:spacing w:after="0"/>
              <w:rPr>
                <w:sz w:val="16"/>
                <w:szCs w:val="16"/>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26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Total earning assets</w:t>
            </w:r>
          </w:p>
        </w:tc>
        <w:tc>
          <w:tcPr>
            <w:tcW w:w="36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424,553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160,660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393,828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979,041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805,794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1,784,835</w:t>
            </w: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w:t>
            </w: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600" w:type="dxa"/>
            <w:vAlign w:val="bottom"/>
          </w:tcPr>
          <w:p>
            <w:pPr>
              <w:ind w:left="20"/>
              <w:spacing w:after="0"/>
              <w:rPr>
                <w:sz w:val="20"/>
                <w:szCs w:val="20"/>
                <w:color w:val="auto"/>
              </w:rPr>
            </w:pPr>
            <w:r>
              <w:rPr>
                <w:rFonts w:ascii="Arial" w:cs="Arial" w:eastAsia="Arial" w:hAnsi="Arial"/>
                <w:sz w:val="14"/>
                <w:szCs w:val="14"/>
                <w:color w:val="auto"/>
              </w:rPr>
              <w:t>Interest bearing liabilities</w:t>
            </w: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 bearing deposits</w:t>
            </w:r>
          </w:p>
        </w:tc>
        <w:tc>
          <w:tcPr>
            <w:tcW w:w="36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12,685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25,369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114,159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152,213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723,192</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875,405</w:t>
            </w:r>
          </w:p>
        </w:tc>
        <w:tc>
          <w:tcPr>
            <w:tcW w:w="0" w:type="dxa"/>
            <w:vAlign w:val="bottom"/>
          </w:tcPr>
          <w:p>
            <w:pPr>
              <w:spacing w:after="0"/>
              <w:rPr>
                <w:sz w:val="1"/>
                <w:szCs w:val="1"/>
                <w:color w:val="auto"/>
              </w:rPr>
            </w:pPr>
          </w:p>
        </w:tc>
      </w:tr>
      <w:tr>
        <w:trPr>
          <w:trHeight w:val="194"/>
        </w:trPr>
        <w:tc>
          <w:tcPr>
            <w:tcW w:w="26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Time deposits</w:t>
            </w: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4,759</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16,761</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130,881</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152,401</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9,742</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162,143</w:t>
            </w:r>
          </w:p>
        </w:tc>
        <w:tc>
          <w:tcPr>
            <w:tcW w:w="0" w:type="dxa"/>
            <w:vAlign w:val="bottom"/>
          </w:tcPr>
          <w:p>
            <w:pPr>
              <w:spacing w:after="0"/>
              <w:rPr>
                <w:sz w:val="1"/>
                <w:szCs w:val="1"/>
                <w:color w:val="auto"/>
              </w:rPr>
            </w:pPr>
          </w:p>
        </w:tc>
      </w:tr>
      <w:tr>
        <w:trPr>
          <w:trHeight w:val="197"/>
        </w:trPr>
        <w:tc>
          <w:tcPr>
            <w:tcW w:w="26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interest bearing deposits</w:t>
            </w: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17,444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42,130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245,040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304,614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732,934</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1,037,548</w:t>
            </w:r>
          </w:p>
        </w:tc>
        <w:tc>
          <w:tcPr>
            <w:tcW w:w="0" w:type="dxa"/>
            <w:vAlign w:val="bottom"/>
          </w:tcPr>
          <w:p>
            <w:pPr>
              <w:spacing w:after="0"/>
              <w:rPr>
                <w:sz w:val="1"/>
                <w:szCs w:val="1"/>
                <w:color w:val="auto"/>
              </w:rPr>
            </w:pPr>
          </w:p>
        </w:tc>
      </w:tr>
      <w:tr>
        <w:trPr>
          <w:trHeight w:val="194"/>
        </w:trPr>
        <w:tc>
          <w:tcPr>
            <w:tcW w:w="2600" w:type="dxa"/>
            <w:vAlign w:val="bottom"/>
          </w:tcPr>
          <w:p>
            <w:pPr>
              <w:ind w:left="140"/>
              <w:spacing w:after="0"/>
              <w:rPr>
                <w:sz w:val="20"/>
                <w:szCs w:val="20"/>
                <w:color w:val="auto"/>
              </w:rPr>
            </w:pPr>
            <w:r>
              <w:rPr>
                <w:rFonts w:ascii="Arial" w:cs="Arial" w:eastAsia="Arial" w:hAnsi="Arial"/>
                <w:sz w:val="14"/>
                <w:szCs w:val="14"/>
                <w:color w:val="auto"/>
              </w:rPr>
              <w:t>FHLB Advances</w:t>
            </w:r>
          </w:p>
        </w:tc>
        <w:tc>
          <w:tcPr>
            <w:tcW w:w="360" w:type="dxa"/>
            <w:vAlign w:val="bottom"/>
          </w:tcPr>
          <w:p>
            <w:pPr>
              <w:spacing w:after="0"/>
              <w:rPr>
                <w:sz w:val="16"/>
                <w:szCs w:val="16"/>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color w:val="auto"/>
              </w:rPr>
              <w:t>22,000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22,000</w:t>
            </w:r>
          </w:p>
        </w:tc>
        <w:tc>
          <w:tcPr>
            <w:tcW w:w="0" w:type="dxa"/>
            <w:vAlign w:val="bottom"/>
          </w:tcPr>
          <w:p>
            <w:pPr>
              <w:spacing w:after="0"/>
              <w:rPr>
                <w:sz w:val="1"/>
                <w:szCs w:val="1"/>
                <w:color w:val="auto"/>
              </w:rPr>
            </w:pPr>
          </w:p>
        </w:tc>
      </w:tr>
      <w:tr>
        <w:trPr>
          <w:trHeight w:val="199"/>
        </w:trPr>
        <w:tc>
          <w:tcPr>
            <w:tcW w:w="2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borrowed funds</w:t>
            </w:r>
          </w:p>
        </w:tc>
        <w:tc>
          <w:tcPr>
            <w:tcW w:w="3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12,062</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12,062</w:t>
            </w:r>
          </w:p>
        </w:tc>
        <w:tc>
          <w:tcPr>
            <w:tcW w:w="0" w:type="dxa"/>
            <w:vAlign w:val="bottom"/>
          </w:tcPr>
          <w:p>
            <w:pPr>
              <w:spacing w:after="0"/>
              <w:rPr>
                <w:sz w:val="1"/>
                <w:szCs w:val="1"/>
                <w:color w:val="auto"/>
              </w:rPr>
            </w:pPr>
          </w:p>
        </w:tc>
      </w:tr>
      <w:tr>
        <w:trPr>
          <w:trHeight w:val="197"/>
        </w:trPr>
        <w:tc>
          <w:tcPr>
            <w:tcW w:w="2600" w:type="dxa"/>
            <w:vAlign w:val="bottom"/>
          </w:tcPr>
          <w:p>
            <w:pPr>
              <w:ind w:left="340"/>
              <w:spacing w:after="0"/>
              <w:rPr>
                <w:sz w:val="20"/>
                <w:szCs w:val="20"/>
                <w:color w:val="auto"/>
              </w:rPr>
            </w:pPr>
            <w:r>
              <w:rPr>
                <w:rFonts w:ascii="Arial" w:cs="Arial" w:eastAsia="Arial" w:hAnsi="Arial"/>
                <w:sz w:val="14"/>
                <w:szCs w:val="14"/>
                <w:color w:val="auto"/>
              </w:rPr>
              <w:t>Total interest bearing liabilities</w:t>
            </w:r>
          </w:p>
        </w:tc>
        <w:tc>
          <w:tcPr>
            <w:tcW w:w="360" w:type="dxa"/>
            <w:vAlign w:val="bottom"/>
            <w:tcBorders>
              <w:top w:val="single" w:sz="8" w:color="auto"/>
              <w:bottom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rPr>
              <w:t>17,444</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rPr>
              <w:t>42,130</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rPr>
              <w:t>245,040</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4"/>
                <w:szCs w:val="14"/>
                <w:color w:val="auto"/>
              </w:rPr>
              <w:t>304,614</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rPr>
              <w:t>766,996</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1,071,610</w:t>
            </w:r>
          </w:p>
        </w:tc>
        <w:tc>
          <w:tcPr>
            <w:tcW w:w="0" w:type="dxa"/>
            <w:vAlign w:val="bottom"/>
          </w:tcPr>
          <w:p>
            <w:pPr>
              <w:spacing w:after="0"/>
              <w:rPr>
                <w:sz w:val="1"/>
                <w:szCs w:val="1"/>
                <w:color w:val="auto"/>
              </w:rPr>
            </w:pPr>
          </w:p>
        </w:tc>
      </w:tr>
      <w:tr>
        <w:trPr>
          <w:trHeight w:val="20"/>
        </w:trPr>
        <w:tc>
          <w:tcPr>
            <w:tcW w:w="26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6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600" w:type="dxa"/>
            <w:vAlign w:val="bottom"/>
          </w:tcPr>
          <w:p>
            <w:pPr>
              <w:ind w:left="20"/>
              <w:spacing w:after="0"/>
              <w:rPr>
                <w:sz w:val="20"/>
                <w:szCs w:val="20"/>
                <w:color w:val="auto"/>
              </w:rPr>
            </w:pPr>
            <w:r>
              <w:rPr>
                <w:rFonts w:ascii="Arial" w:cs="Arial" w:eastAsia="Arial" w:hAnsi="Arial"/>
                <w:sz w:val="14"/>
                <w:szCs w:val="14"/>
                <w:color w:val="auto"/>
              </w:rPr>
              <w:t>Period gap</w:t>
            </w:r>
          </w:p>
        </w:tc>
        <w:tc>
          <w:tcPr>
            <w:tcW w:w="36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9"/>
              <w:spacing w:after="0"/>
              <w:rPr>
                <w:sz w:val="20"/>
                <w:szCs w:val="20"/>
                <w:color w:val="auto"/>
              </w:rPr>
            </w:pPr>
            <w:r>
              <w:rPr>
                <w:rFonts w:ascii="Arial" w:cs="Arial" w:eastAsia="Arial" w:hAnsi="Arial"/>
                <w:sz w:val="14"/>
                <w:szCs w:val="14"/>
                <w:color w:val="auto"/>
              </w:rPr>
              <w:t>407,109</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109"/>
              <w:spacing w:after="0"/>
              <w:rPr>
                <w:sz w:val="20"/>
                <w:szCs w:val="20"/>
                <w:color w:val="auto"/>
              </w:rPr>
            </w:pPr>
            <w:r>
              <w:rPr>
                <w:rFonts w:ascii="Arial" w:cs="Arial" w:eastAsia="Arial" w:hAnsi="Arial"/>
                <w:sz w:val="14"/>
                <w:szCs w:val="14"/>
                <w:color w:val="auto"/>
              </w:rPr>
              <w:t>118,530</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09"/>
              <w:spacing w:after="0"/>
              <w:rPr>
                <w:sz w:val="20"/>
                <w:szCs w:val="20"/>
                <w:color w:val="auto"/>
              </w:rPr>
            </w:pPr>
            <w:r>
              <w:rPr>
                <w:rFonts w:ascii="Arial" w:cs="Arial" w:eastAsia="Arial" w:hAnsi="Arial"/>
                <w:sz w:val="14"/>
                <w:szCs w:val="14"/>
                <w:color w:val="auto"/>
              </w:rPr>
              <w:t>148,788</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29"/>
              <w:spacing w:after="0"/>
              <w:rPr>
                <w:sz w:val="20"/>
                <w:szCs w:val="20"/>
                <w:color w:val="auto"/>
              </w:rPr>
            </w:pPr>
            <w:r>
              <w:rPr>
                <w:rFonts w:ascii="Arial" w:cs="Arial" w:eastAsia="Arial" w:hAnsi="Arial"/>
                <w:sz w:val="14"/>
                <w:szCs w:val="14"/>
                <w:color w:val="auto"/>
              </w:rPr>
              <w:t>674,427</w:t>
            </w:r>
          </w:p>
        </w:tc>
        <w:tc>
          <w:tcPr>
            <w:tcW w:w="12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ind w:right="109"/>
              <w:spacing w:after="0"/>
              <w:rPr>
                <w:sz w:val="20"/>
                <w:szCs w:val="20"/>
                <w:color w:val="auto"/>
              </w:rPr>
            </w:pPr>
            <w:r>
              <w:rPr>
                <w:rFonts w:ascii="Arial" w:cs="Arial" w:eastAsia="Arial" w:hAnsi="Arial"/>
                <w:sz w:val="14"/>
                <w:szCs w:val="14"/>
                <w:color w:val="auto"/>
              </w:rPr>
              <w:t>38,798</w:t>
            </w:r>
          </w:p>
        </w:tc>
        <w:tc>
          <w:tcPr>
            <w:tcW w:w="120" w:type="dxa"/>
            <w:vAlign w:val="bottom"/>
          </w:tcPr>
          <w:p>
            <w:pPr>
              <w:spacing w:after="0"/>
              <w:rPr>
                <w:sz w:val="16"/>
                <w:szCs w:val="16"/>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713,225</w:t>
            </w:r>
          </w:p>
        </w:tc>
        <w:tc>
          <w:tcPr>
            <w:tcW w:w="0" w:type="dxa"/>
            <w:vAlign w:val="bottom"/>
          </w:tcPr>
          <w:p>
            <w:pPr>
              <w:spacing w:after="0"/>
              <w:rPr>
                <w:sz w:val="1"/>
                <w:szCs w:val="1"/>
                <w:color w:val="auto"/>
              </w:rPr>
            </w:pPr>
          </w:p>
        </w:tc>
      </w:tr>
      <w:tr>
        <w:trPr>
          <w:trHeight w:val="203"/>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Cumulative gap</w:t>
            </w:r>
          </w:p>
        </w:tc>
        <w:tc>
          <w:tcPr>
            <w:tcW w:w="36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407,109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525,639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674,427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674,427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713,225</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600" w:type="dxa"/>
            <w:vAlign w:val="bottom"/>
          </w:tcPr>
          <w:p>
            <w:pPr>
              <w:ind w:left="20"/>
              <w:spacing w:after="0" w:line="150" w:lineRule="exact"/>
              <w:rPr>
                <w:sz w:val="20"/>
                <w:szCs w:val="20"/>
                <w:color w:val="auto"/>
              </w:rPr>
            </w:pPr>
            <w:r>
              <w:rPr>
                <w:rFonts w:ascii="Arial" w:cs="Arial" w:eastAsia="Arial" w:hAnsi="Arial"/>
                <w:sz w:val="14"/>
                <w:szCs w:val="14"/>
                <w:color w:val="auto"/>
              </w:rPr>
              <w:t>Ratio of cumulative gap to total earning</w:t>
            </w:r>
          </w:p>
        </w:tc>
        <w:tc>
          <w:tcPr>
            <w:tcW w:w="36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22.81 %</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29.45 %</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37.79 %</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37.79 %</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39.96 %</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600" w:type="dxa"/>
            <w:vAlign w:val="bottom"/>
          </w:tcPr>
          <w:p>
            <w:pPr>
              <w:ind w:left="180"/>
              <w:spacing w:after="0"/>
              <w:rPr>
                <w:sz w:val="20"/>
                <w:szCs w:val="20"/>
                <w:color w:val="auto"/>
              </w:rPr>
            </w:pPr>
            <w:r>
              <w:rPr>
                <w:rFonts w:ascii="Arial" w:cs="Arial" w:eastAsia="Arial" w:hAnsi="Arial"/>
                <w:sz w:val="14"/>
                <w:szCs w:val="14"/>
                <w:color w:val="auto"/>
              </w:rPr>
              <w:t>assets</w:t>
            </w:r>
          </w:p>
        </w:tc>
        <w:tc>
          <w:tcPr>
            <w:tcW w:w="3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ind w:left="320" w:hanging="314"/>
        <w:spacing w:after="0" w:line="221" w:lineRule="auto"/>
        <w:tabs>
          <w:tab w:leader="none" w:pos="320" w:val="left"/>
        </w:tabs>
        <w:numPr>
          <w:ilvl w:val="0"/>
          <w:numId w:val="16"/>
        </w:numPr>
        <w:rPr>
          <w:rFonts w:ascii="Times New Roman" w:cs="Times New Roman" w:eastAsia="Times New Roman" w:hAnsi="Times New Roman"/>
          <w:sz w:val="14"/>
          <w:szCs w:val="14"/>
          <w:color w:val="auto"/>
          <w:vertAlign w:val="superscript"/>
        </w:rPr>
      </w:pPr>
      <w:r>
        <w:rPr>
          <w:rFonts w:ascii="Arial" w:cs="Arial" w:eastAsia="Arial" w:hAnsi="Arial"/>
          <w:sz w:val="11"/>
          <w:szCs w:val="11"/>
          <w:color w:val="auto"/>
        </w:rPr>
        <w:t>Includes loans held for sale and loans made under the SBA-PPP loan program.</w:t>
      </w:r>
    </w:p>
    <w:p>
      <w:pPr>
        <w:spacing w:after="0" w:line="200" w:lineRule="exact"/>
        <w:rPr>
          <w:sz w:val="20"/>
          <w:szCs w:val="20"/>
          <w:color w:val="auto"/>
        </w:rPr>
      </w:pPr>
    </w:p>
    <w:p>
      <w:pPr>
        <w:spacing w:after="0" w:line="227"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8"/>
          <w:szCs w:val="18"/>
          <w:color w:val="auto"/>
        </w:rPr>
        <w:t>We use quarterly Earnings at Risk (“EAR”) simulations to assess the impact of changing interest rates on our earnings under a variety of scenarios and time horizons. These simulations utilize both instantaneous and parallel changes in the level of interest rates, as well as non-parallel changes such as changing slopes and twists of the yield curve. Static simulation models are based on current exposures and assume a constant balance sheet with no new growth. Dynamic simulation models are also utilized that rely on assumptions regarding changes in existing lines of business, new business, and changes in management and client behavior.</w:t>
      </w:r>
    </w:p>
    <w:p>
      <w:pPr>
        <w:spacing w:after="0" w:line="18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also use economic value-based methodologies to measure the degree to which the economic values of the Bank’s positions change under different interest rate scenarios. The economic-value approach focuses on a longer-term time horizon and endeavors to capture all future cash flows expected from existing assets and liabilities. The economic value model utilizes a static approach in that the analysis does not incorporate new business; rather, the analysis shows a snapshot in time of the risk inherent in the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253365</wp:posOffset>
            </wp:positionV>
            <wp:extent cx="716026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167" w:lineRule="exact"/>
        <w:rPr>
          <w:sz w:val="20"/>
          <w:szCs w:val="20"/>
          <w:color w:val="auto"/>
        </w:rPr>
      </w:pPr>
    </w:p>
    <w:p>
      <w:pPr>
        <w:jc w:val="both"/>
        <w:ind w:right="100" w:firstLine="318"/>
        <w:spacing w:after="0" w:line="251" w:lineRule="auto"/>
        <w:rPr>
          <w:sz w:val="20"/>
          <w:szCs w:val="20"/>
          <w:color w:val="auto"/>
        </w:rPr>
      </w:pPr>
      <w:r>
        <w:rPr>
          <w:rFonts w:ascii="Arial" w:cs="Arial" w:eastAsia="Arial" w:hAnsi="Arial"/>
          <w:sz w:val="18"/>
          <w:szCs w:val="18"/>
          <w:color w:val="auto"/>
        </w:rPr>
        <w:t>Many assumptions are used to calculate the impact of interest rate fluctuations on our net interest income, such as asset prepayments, non-maturity deposit price sensitivity and decay rates, and key rate drivers. Because of the inherent use of these estimates and assumptions in the model, our actual results may, and very likely will, differ from our static EAR results. In addition, static EAR results do not include actions that our management may undertake to manage the risks in response to anticipated changes in interest rates or client behavior. For example, as part of our asset/liability management strategy, management has the ability to increase asset duration and decrease liability duration in order to reduce asset sensitivity, or to decrease asset duration and increase liability duration in order to increase asset sensitivity.</w:t>
      </w:r>
    </w:p>
    <w:p>
      <w:pPr>
        <w:spacing w:after="0" w:line="185" w:lineRule="exact"/>
        <w:rPr>
          <w:sz w:val="20"/>
          <w:szCs w:val="20"/>
          <w:color w:val="auto"/>
        </w:rPr>
      </w:pPr>
    </w:p>
    <w:p>
      <w:pPr>
        <w:jc w:val="both"/>
        <w:ind w:right="100" w:firstLine="318"/>
        <w:spacing w:after="0" w:line="274" w:lineRule="auto"/>
        <w:rPr>
          <w:sz w:val="20"/>
          <w:szCs w:val="20"/>
          <w:color w:val="auto"/>
        </w:rPr>
      </w:pPr>
      <w:r>
        <w:rPr>
          <w:rFonts w:ascii="Arial" w:cs="Arial" w:eastAsia="Arial" w:hAnsi="Arial"/>
          <w:sz w:val="18"/>
          <w:szCs w:val="18"/>
          <w:color w:val="auto"/>
        </w:rPr>
        <w:t>The following table summarizes the results of our EAR analysis in simulating the change in net interest income and fair value of equity over a 12-month horizon as of March 31, 2022:</w:t>
      </w:r>
    </w:p>
    <w:p>
      <w:pPr>
        <w:spacing w:after="0" w:line="161"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IMPACT ON NET INTEREST INCOME UNDER A STATIC BALANCE SHEET, PARALLEL INTEREST RATE SHOCK</w:t>
      </w:r>
    </w:p>
    <w:p>
      <w:pPr>
        <w:spacing w:after="0" w:line="26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980" w:type="dxa"/>
            <w:vAlign w:val="bottom"/>
            <w:gridSpan w:val="2"/>
          </w:tcPr>
          <w:p>
            <w:pPr>
              <w:spacing w:after="0"/>
              <w:rPr>
                <w:sz w:val="20"/>
                <w:szCs w:val="20"/>
                <w:color w:val="auto"/>
              </w:rPr>
            </w:pPr>
            <w:r>
              <w:rPr>
                <w:rFonts w:ascii="Arial" w:cs="Arial" w:eastAsia="Arial" w:hAnsi="Arial"/>
                <w:sz w:val="14"/>
                <w:szCs w:val="14"/>
                <w:b w:val="1"/>
                <w:bCs w:val="1"/>
                <w:color w:val="auto"/>
              </w:rPr>
              <w:t>Earnings at Risk</w:t>
            </w:r>
          </w:p>
        </w:tc>
        <w:tc>
          <w:tcPr>
            <w:tcW w:w="1560" w:type="dxa"/>
            <w:vAlign w:val="bottom"/>
            <w:gridSpan w:val="2"/>
          </w:tcPr>
          <w:p>
            <w:pPr>
              <w:ind w:left="500"/>
              <w:spacing w:after="0"/>
              <w:rPr>
                <w:sz w:val="20"/>
                <w:szCs w:val="20"/>
                <w:color w:val="auto"/>
              </w:rPr>
            </w:pPr>
            <w:r>
              <w:rPr>
                <w:rFonts w:ascii="Arial" w:cs="Arial" w:eastAsia="Arial" w:hAnsi="Arial"/>
                <w:sz w:val="14"/>
                <w:szCs w:val="14"/>
                <w:b w:val="1"/>
                <w:bCs w:val="1"/>
                <w:color w:val="auto"/>
              </w:rPr>
              <w:t>-100 bps</w:t>
            </w:r>
          </w:p>
        </w:tc>
        <w:tc>
          <w:tcPr>
            <w:tcW w:w="1460" w:type="dxa"/>
            <w:vAlign w:val="bottom"/>
            <w:gridSpan w:val="2"/>
          </w:tcPr>
          <w:p>
            <w:pPr>
              <w:ind w:left="540"/>
              <w:spacing w:after="0"/>
              <w:rPr>
                <w:sz w:val="20"/>
                <w:szCs w:val="20"/>
                <w:color w:val="auto"/>
              </w:rPr>
            </w:pPr>
            <w:r>
              <w:rPr>
                <w:rFonts w:ascii="Arial" w:cs="Arial" w:eastAsia="Arial" w:hAnsi="Arial"/>
                <w:sz w:val="14"/>
                <w:szCs w:val="14"/>
                <w:b w:val="1"/>
                <w:bCs w:val="1"/>
                <w:color w:val="auto"/>
              </w:rPr>
              <w:t>Flat</w:t>
            </w:r>
          </w:p>
        </w:tc>
        <w:tc>
          <w:tcPr>
            <w:tcW w:w="1440" w:type="dxa"/>
            <w:vAlign w:val="bottom"/>
            <w:gridSpan w:val="2"/>
          </w:tcPr>
          <w:p>
            <w:pPr>
              <w:ind w:left="360"/>
              <w:spacing w:after="0"/>
              <w:rPr>
                <w:sz w:val="20"/>
                <w:szCs w:val="20"/>
                <w:color w:val="auto"/>
              </w:rPr>
            </w:pPr>
            <w:r>
              <w:rPr>
                <w:rFonts w:ascii="Arial" w:cs="Arial" w:eastAsia="Arial" w:hAnsi="Arial"/>
                <w:sz w:val="14"/>
                <w:szCs w:val="14"/>
                <w:b w:val="1"/>
                <w:bCs w:val="1"/>
                <w:color w:val="auto"/>
              </w:rPr>
              <w:t>+100 bps</w:t>
            </w:r>
          </w:p>
        </w:tc>
        <w:tc>
          <w:tcPr>
            <w:tcW w:w="1440" w:type="dxa"/>
            <w:vAlign w:val="bottom"/>
            <w:gridSpan w:val="2"/>
          </w:tcPr>
          <w:p>
            <w:pPr>
              <w:ind w:left="360"/>
              <w:spacing w:after="0"/>
              <w:rPr>
                <w:sz w:val="20"/>
                <w:szCs w:val="20"/>
                <w:color w:val="auto"/>
              </w:rPr>
            </w:pPr>
            <w:r>
              <w:rPr>
                <w:rFonts w:ascii="Arial" w:cs="Arial" w:eastAsia="Arial" w:hAnsi="Arial"/>
                <w:sz w:val="14"/>
                <w:szCs w:val="14"/>
                <w:b w:val="1"/>
                <w:bCs w:val="1"/>
                <w:color w:val="auto"/>
              </w:rPr>
              <w:t>+200 bps</w:t>
            </w:r>
          </w:p>
        </w:tc>
        <w:tc>
          <w:tcPr>
            <w:tcW w:w="1120" w:type="dxa"/>
            <w:vAlign w:val="bottom"/>
          </w:tcPr>
          <w:p>
            <w:pPr>
              <w:jc w:val="right"/>
              <w:ind w:right="69"/>
              <w:spacing w:after="0"/>
              <w:rPr>
                <w:sz w:val="20"/>
                <w:szCs w:val="20"/>
                <w:color w:val="auto"/>
              </w:rPr>
            </w:pPr>
            <w:r>
              <w:rPr>
                <w:rFonts w:ascii="Arial" w:cs="Arial" w:eastAsia="Arial" w:hAnsi="Arial"/>
                <w:sz w:val="14"/>
                <w:szCs w:val="14"/>
                <w:b w:val="1"/>
                <w:bCs w:val="1"/>
                <w:color w:val="auto"/>
              </w:rPr>
              <w:t>+300 bps</w:t>
            </w:r>
          </w:p>
        </w:tc>
        <w:tc>
          <w:tcPr>
            <w:tcW w:w="0" w:type="dxa"/>
            <w:vAlign w:val="bottom"/>
          </w:tcPr>
          <w:p>
            <w:pPr>
              <w:spacing w:after="0"/>
              <w:rPr>
                <w:sz w:val="1"/>
                <w:szCs w:val="1"/>
                <w:color w:val="auto"/>
              </w:rPr>
            </w:pPr>
          </w:p>
        </w:tc>
      </w:tr>
      <w:tr>
        <w:trPr>
          <w:trHeight w:val="20"/>
        </w:trPr>
        <w:tc>
          <w:tcPr>
            <w:tcW w:w="110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4"/>
                <w:szCs w:val="14"/>
                <w:color w:val="auto"/>
              </w:rPr>
              <w:t>March 31, 2022</w:t>
            </w:r>
          </w:p>
        </w:tc>
        <w:tc>
          <w:tcPr>
            <w:tcW w:w="2880" w:type="dxa"/>
            <w:vAlign w:val="bottom"/>
            <w:vMerge w:val="restart"/>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00" w:type="dxa"/>
            <w:vAlign w:val="bottom"/>
            <w:vMerge w:val="continue"/>
          </w:tcPr>
          <w:p>
            <w:pPr>
              <w:spacing w:after="0"/>
              <w:rPr>
                <w:sz w:val="15"/>
                <w:szCs w:val="15"/>
                <w:color w:val="auto"/>
              </w:rPr>
            </w:pPr>
          </w:p>
        </w:tc>
        <w:tc>
          <w:tcPr>
            <w:tcW w:w="2880" w:type="dxa"/>
            <w:vAlign w:val="bottom"/>
            <w:vMerge w:val="continue"/>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0.0 %</w:t>
            </w: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3.6 %</w:t>
            </w: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8.8 %</w:t>
            </w: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bl>
    <w:p>
      <w:pPr>
        <w:spacing w:after="0" w:line="297" w:lineRule="exact"/>
        <w:rPr>
          <w:sz w:val="20"/>
          <w:szCs w:val="20"/>
          <w:color w:val="auto"/>
        </w:rPr>
      </w:pPr>
    </w:p>
    <w:p>
      <w:pPr>
        <w:jc w:val="both"/>
        <w:ind w:right="100" w:firstLine="318"/>
        <w:spacing w:after="0" w:line="255" w:lineRule="auto"/>
        <w:rPr>
          <w:sz w:val="20"/>
          <w:szCs w:val="20"/>
          <w:color w:val="auto"/>
        </w:rPr>
      </w:pPr>
      <w:r>
        <w:rPr>
          <w:rFonts w:ascii="Arial" w:cs="Arial" w:eastAsia="Arial" w:hAnsi="Arial"/>
          <w:sz w:val="18"/>
          <w:szCs w:val="18"/>
          <w:color w:val="auto"/>
        </w:rPr>
        <w:t>Utilizing an economic value of equity (“EVE”) approach, we analyze the risk to capital from the effects of various interest rate scenarios through a long-term discounted cash flow model. This measures the difference between the economic value of our assets and the economic value of our liabilities, which is a proxy for our liquidation value. While this provides some value as a risk measurement tool, management believes EAR is more appropriate in accordance with the going concern principle.</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illustrates the results of our EVE analysis as of March 31, 2022.</w:t>
      </w:r>
    </w:p>
    <w:p>
      <w:pPr>
        <w:spacing w:after="0" w:line="21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ECONOMIC VALUE OF EQUITY ANALYSIS UNDER A STATIC BALANCE SHEET, PARALLEL INTEREST RATE SHOCK</w:t>
      </w:r>
    </w:p>
    <w:p>
      <w:pPr>
        <w:spacing w:after="0" w:line="266" w:lineRule="exact"/>
        <w:rPr>
          <w:sz w:val="20"/>
          <w:szCs w:val="20"/>
          <w:color w:val="auto"/>
        </w:rPr>
      </w:pPr>
    </w:p>
    <w:tbl>
      <w:tblPr>
        <w:tblLayout w:type="fixed"/>
        <w:tblInd w:w="320" w:type="dxa"/>
        <w:tblCellMar>
          <w:top w:w="0" w:type="dxa"/>
          <w:left w:w="0" w:type="dxa"/>
          <w:bottom w:w="0" w:type="dxa"/>
          <w:right w:w="0" w:type="dxa"/>
        </w:tblCellMar>
      </w:tblPr>
      <w:tr>
        <w:trPr>
          <w:trHeight w:val="194"/>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Economic Value of Equity</w:t>
            </w:r>
          </w:p>
        </w:tc>
        <w:tc>
          <w:tcPr>
            <w:tcW w:w="120" w:type="dxa"/>
            <w:vAlign w:val="bottom"/>
          </w:tcPr>
          <w:p>
            <w:pPr>
              <w:spacing w:after="0"/>
              <w:rPr>
                <w:sz w:val="16"/>
                <w:szCs w:val="16"/>
                <w:color w:val="auto"/>
              </w:rPr>
            </w:pPr>
          </w:p>
        </w:tc>
        <w:tc>
          <w:tcPr>
            <w:tcW w:w="132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-100 bps</w:t>
            </w:r>
          </w:p>
        </w:tc>
        <w:tc>
          <w:tcPr>
            <w:tcW w:w="120" w:type="dxa"/>
            <w:vAlign w:val="bottom"/>
          </w:tcPr>
          <w:p>
            <w:pPr>
              <w:spacing w:after="0"/>
              <w:rPr>
                <w:sz w:val="16"/>
                <w:szCs w:val="16"/>
                <w:color w:val="auto"/>
              </w:rPr>
            </w:pPr>
          </w:p>
        </w:tc>
        <w:tc>
          <w:tcPr>
            <w:tcW w:w="132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Flat</w:t>
            </w:r>
          </w:p>
        </w:tc>
        <w:tc>
          <w:tcPr>
            <w:tcW w:w="120" w:type="dxa"/>
            <w:vAlign w:val="bottom"/>
          </w:tcPr>
          <w:p>
            <w:pPr>
              <w:spacing w:after="0"/>
              <w:rPr>
                <w:sz w:val="16"/>
                <w:szCs w:val="16"/>
                <w:color w:val="auto"/>
              </w:rPr>
            </w:pPr>
          </w:p>
        </w:tc>
        <w:tc>
          <w:tcPr>
            <w:tcW w:w="134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+100 bps</w:t>
            </w:r>
          </w:p>
        </w:tc>
        <w:tc>
          <w:tcPr>
            <w:tcW w:w="120" w:type="dxa"/>
            <w:vAlign w:val="bottom"/>
          </w:tcPr>
          <w:p>
            <w:pPr>
              <w:spacing w:after="0"/>
              <w:rPr>
                <w:sz w:val="16"/>
                <w:szCs w:val="16"/>
                <w:color w:val="auto"/>
              </w:rPr>
            </w:pPr>
          </w:p>
        </w:tc>
        <w:tc>
          <w:tcPr>
            <w:tcW w:w="132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+200 bps</w:t>
            </w:r>
          </w:p>
        </w:tc>
        <w:tc>
          <w:tcPr>
            <w:tcW w:w="120" w:type="dxa"/>
            <w:vAlign w:val="bottom"/>
          </w:tcPr>
          <w:p>
            <w:pPr>
              <w:spacing w:after="0"/>
              <w:rPr>
                <w:sz w:val="16"/>
                <w:szCs w:val="16"/>
                <w:color w:val="auto"/>
              </w:rPr>
            </w:pPr>
          </w:p>
        </w:tc>
        <w:tc>
          <w:tcPr>
            <w:tcW w:w="11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+300 bps</w:t>
            </w:r>
          </w:p>
        </w:tc>
      </w:tr>
      <w:tr>
        <w:trPr>
          <w:trHeight w:val="183"/>
        </w:trPr>
        <w:tc>
          <w:tcPr>
            <w:tcW w:w="4140" w:type="dxa"/>
            <w:vAlign w:val="bottom"/>
            <w:gridSpan w:val="2"/>
          </w:tcPr>
          <w:p>
            <w:pPr>
              <w:ind w:left="20"/>
              <w:spacing w:after="0"/>
              <w:rPr>
                <w:sz w:val="20"/>
                <w:szCs w:val="20"/>
                <w:color w:val="auto"/>
              </w:rPr>
            </w:pPr>
            <w:r>
              <w:rPr>
                <w:rFonts w:ascii="Arial" w:cs="Arial" w:eastAsia="Arial" w:hAnsi="Arial"/>
                <w:sz w:val="14"/>
                <w:szCs w:val="14"/>
                <w:color w:val="auto"/>
              </w:rPr>
              <w:t>March 31, 2022</w:t>
            </w:r>
          </w:p>
        </w:tc>
        <w:tc>
          <w:tcPr>
            <w:tcW w:w="1320" w:type="dxa"/>
            <w:vAlign w:val="bottom"/>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0.0 %</w:t>
            </w:r>
          </w:p>
        </w:tc>
        <w:tc>
          <w:tcPr>
            <w:tcW w:w="1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2.4 %</w:t>
            </w: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4.1 %</w:t>
            </w: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253365</wp:posOffset>
            </wp:positionV>
            <wp:extent cx="716026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63" w:name="page64"/>
    <w:bookmarkEnd w:id="63"/>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Company’s management, including our Chief Executive Officer and Chief Financial Officer, have evaluated the effectiveness of our disclosure controls and procedures (as defined in Rule 13a-15(e) under the Securities Exchange Act of 1934, as amended (the “Exchange Act”) as of the end of the period covered by this report. Based upon that evaluation, our Chief Executive Officer and Chief Financial Officer concluded that our disclosure controls and procedures were effective to ensure that information required to be disclosed in the reports we file and submit under the Exchange Act is (i) recorded, processed, summarized and reported as and when required and (ii) accumulated and communicated to our management, including our Chief Executive Officer and the Chief Financial Officer, as appropriate to allow timely decisions regarding required disclosure.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During the first quarter of 2022, changes were made to the Company’s internal control over financial reporting. Additional information technology general controls (“ITGCs”) were put into place or enhanced to improve the design and operational effectiveness of the Company’s ITGCs. These include process controls around user access management, a new patch management program standard, and a revised enterprise change management program. IT Governance enhancements include a new IT Governance Committee Chair and enhanced monthly IT Operations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262255</wp:posOffset>
            </wp:positionV>
            <wp:extent cx="716026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LEGAL PROCEEDINGS.</w:t>
      </w:r>
    </w:p>
    <w:p>
      <w:pPr>
        <w:spacing w:after="0" w:line="246" w:lineRule="exact"/>
        <w:rPr>
          <w:sz w:val="20"/>
          <w:szCs w:val="20"/>
          <w:color w:val="auto"/>
        </w:rPr>
      </w:pPr>
    </w:p>
    <w:p>
      <w:pPr>
        <w:ind w:firstLine="318"/>
        <w:spacing w:after="0" w:line="274" w:lineRule="auto"/>
        <w:rPr>
          <w:sz w:val="20"/>
          <w:szCs w:val="20"/>
          <w:color w:val="auto"/>
        </w:rPr>
      </w:pPr>
      <w:r>
        <w:rPr>
          <w:rFonts w:ascii="Arial" w:cs="Arial" w:eastAsia="Arial" w:hAnsi="Arial"/>
          <w:sz w:val="18"/>
          <w:szCs w:val="18"/>
          <w:color w:val="auto"/>
        </w:rPr>
        <w:t>From time to time, we are a party to various litigation matters incidental to the ordinary conduct of our business. We are not presently a party to any material legal proceedings.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200" w:lineRule="exact"/>
        <w:rPr>
          <w:sz w:val="20"/>
          <w:szCs w:val="20"/>
          <w:color w:val="auto"/>
        </w:rPr>
      </w:pPr>
    </w:p>
    <w:p>
      <w:pPr>
        <w:spacing w:after="0" w:line="258" w:lineRule="exact"/>
        <w:rPr>
          <w:sz w:val="20"/>
          <w:szCs w:val="20"/>
          <w:color w:val="auto"/>
        </w:rPr>
      </w:pPr>
    </w:p>
    <w:p>
      <w:pPr>
        <w:ind w:firstLine="318"/>
        <w:spacing w:after="0" w:line="274" w:lineRule="auto"/>
        <w:rPr>
          <w:sz w:val="20"/>
          <w:szCs w:val="20"/>
          <w:color w:val="auto"/>
        </w:rPr>
      </w:pPr>
      <w:r>
        <w:rPr>
          <w:rFonts w:ascii="Arial" w:cs="Arial" w:eastAsia="Arial" w:hAnsi="Arial"/>
          <w:sz w:val="18"/>
          <w:szCs w:val="18"/>
          <w:color w:val="auto"/>
        </w:rPr>
        <w:t>There are no material changes to the risk factors as previously disclosed under Item 1A in our Annual Report for the year ended December 31, 2021 and those referenced in other reports on file with the SEC.</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p>
    <w:p>
      <w:pPr>
        <w:spacing w:after="0" w:line="246" w:lineRule="exact"/>
        <w:rPr>
          <w:sz w:val="20"/>
          <w:szCs w:val="20"/>
          <w:color w:val="auto"/>
        </w:rPr>
      </w:pPr>
    </w:p>
    <w:p>
      <w:pPr>
        <w:ind w:right="20" w:firstLine="318"/>
        <w:spacing w:after="0" w:line="274" w:lineRule="auto"/>
        <w:rPr>
          <w:sz w:val="20"/>
          <w:szCs w:val="20"/>
          <w:color w:val="auto"/>
        </w:rPr>
      </w:pPr>
      <w:r>
        <w:rPr>
          <w:rFonts w:ascii="Arial" w:cs="Arial" w:eastAsia="Arial" w:hAnsi="Arial"/>
          <w:sz w:val="18"/>
          <w:szCs w:val="18"/>
          <w:color w:val="auto"/>
        </w:rPr>
        <w:t>There were no unregistered sales of the Company’s stock during the first quarter of 2022. The Company did not repurchase any of its shares during the first quarter of 2022. The Company has an authorized share repurchase program pending regulator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262255</wp:posOffset>
            </wp:positionV>
            <wp:extent cx="7160260"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DEFAULTS UPON SENIOR SECURITIES.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5. OTHER INFORMATION.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6. EXHIBITS.</w:t>
      </w:r>
    </w:p>
    <w:p>
      <w:pPr>
        <w:spacing w:after="0" w:line="200" w:lineRule="exact"/>
        <w:rPr>
          <w:sz w:val="20"/>
          <w:szCs w:val="20"/>
          <w:color w:val="auto"/>
        </w:rPr>
      </w:pPr>
    </w:p>
    <w:p>
      <w:pPr>
        <w:spacing w:after="0" w:line="316" w:lineRule="exact"/>
        <w:rPr>
          <w:sz w:val="20"/>
          <w:szCs w:val="20"/>
          <w:color w:val="auto"/>
        </w:rPr>
      </w:pPr>
    </w:p>
    <w:tbl>
      <w:tblPr>
        <w:tblLayout w:type="fixed"/>
        <w:tblInd w:w="540" w:type="dxa"/>
        <w:tblCellMar>
          <w:top w:w="0" w:type="dxa"/>
          <w:left w:w="0" w:type="dxa"/>
          <w:bottom w:w="0" w:type="dxa"/>
          <w:right w:w="0" w:type="dxa"/>
        </w:tblCellMar>
      </w:tblPr>
      <w:tr>
        <w:trPr>
          <w:trHeight w:val="161"/>
        </w:trPr>
        <w:tc>
          <w:tcPr>
            <w:tcW w:w="1080" w:type="dxa"/>
            <w:vAlign w:val="bottom"/>
          </w:tcPr>
          <w:p>
            <w:pPr>
              <w:jc w:val="right"/>
              <w:ind w:right="509"/>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900" w:type="dxa"/>
            <w:vAlign w:val="bottom"/>
            <w:vMerge w:val="restart"/>
          </w:tcPr>
          <w:p>
            <w:pPr>
              <w:ind w:left="7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2"/>
        </w:trPr>
        <w:tc>
          <w:tcPr>
            <w:tcW w:w="1080" w:type="dxa"/>
            <w:vAlign w:val="bottom"/>
          </w:tcPr>
          <w:p>
            <w:pPr>
              <w:jc w:val="right"/>
              <w:ind w:right="469"/>
              <w:spacing w:after="0"/>
              <w:rPr>
                <w:sz w:val="20"/>
                <w:szCs w:val="20"/>
                <w:color w:val="auto"/>
              </w:rPr>
            </w:pPr>
            <w:r>
              <w:rPr>
                <w:rFonts w:ascii="Arial" w:cs="Arial" w:eastAsia="Arial" w:hAnsi="Arial"/>
                <w:sz w:val="14"/>
                <w:szCs w:val="14"/>
                <w:b w:val="1"/>
                <w:bCs w:val="1"/>
                <w:color w:val="auto"/>
                <w:w w:val="98"/>
              </w:rPr>
              <w:t>Number</w:t>
            </w:r>
          </w:p>
        </w:tc>
        <w:tc>
          <w:tcPr>
            <w:tcW w:w="20" w:type="dxa"/>
            <w:vAlign w:val="bottom"/>
            <w:tcBorders>
              <w:bottom w:val="single" w:sz="8" w:color="auto"/>
            </w:tcBorders>
          </w:tcPr>
          <w:p>
            <w:pPr>
              <w:spacing w:after="0"/>
              <w:rPr>
                <w:sz w:val="15"/>
                <w:szCs w:val="15"/>
                <w:color w:val="auto"/>
              </w:rPr>
            </w:pPr>
          </w:p>
        </w:tc>
        <w:tc>
          <w:tcPr>
            <w:tcW w:w="37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59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80" w:type="dxa"/>
            <w:vAlign w:val="bottom"/>
          </w:tcPr>
          <w:p>
            <w:pPr>
              <w:jc w:val="right"/>
              <w:ind w:right="309"/>
              <w:spacing w:after="0"/>
              <w:rPr>
                <w:sz w:val="20"/>
                <w:szCs w:val="20"/>
                <w:color w:val="auto"/>
              </w:rPr>
            </w:pPr>
            <w:r>
              <w:rPr>
                <w:rFonts w:ascii="Arial" w:cs="Arial" w:eastAsia="Arial" w:hAnsi="Arial"/>
                <w:sz w:val="14"/>
                <w:szCs w:val="14"/>
                <w:color w:val="auto"/>
              </w:rPr>
              <w:t>3.1</w:t>
            </w:r>
          </w:p>
        </w:tc>
        <w:tc>
          <w:tcPr>
            <w:tcW w:w="20" w:type="dxa"/>
            <w:vAlign w:val="bottom"/>
          </w:tcPr>
          <w:p>
            <w:pPr>
              <w:spacing w:after="0"/>
              <w:rPr>
                <w:sz w:val="15"/>
                <w:szCs w:val="15"/>
                <w:color w:val="auto"/>
              </w:rPr>
            </w:pPr>
          </w:p>
        </w:tc>
        <w:tc>
          <w:tcPr>
            <w:tcW w:w="9700" w:type="dxa"/>
            <w:vAlign w:val="bottom"/>
            <w:gridSpan w:val="3"/>
          </w:tcPr>
          <w:p>
            <w:pPr>
              <w:spacing w:after="0"/>
              <w:rPr>
                <w:sz w:val="20"/>
                <w:szCs w:val="20"/>
                <w:color w:val="auto"/>
              </w:rPr>
            </w:pPr>
            <w:r>
              <w:rPr>
                <w:rFonts w:ascii="Arial" w:cs="Arial" w:eastAsia="Arial" w:hAnsi="Arial"/>
                <w:sz w:val="14"/>
                <w:szCs w:val="14"/>
                <w:color w:val="auto"/>
              </w:rPr>
              <w:t>Amended and Restated Articles of Incorporation (incorporated by reference to Exhibit 3.1 to the Company’s Form S-1 filed on August 31, 2018).</w:t>
            </w:r>
          </w:p>
        </w:tc>
        <w:tc>
          <w:tcPr>
            <w:tcW w:w="0" w:type="dxa"/>
            <w:vAlign w:val="bottom"/>
          </w:tcPr>
          <w:p>
            <w:pPr>
              <w:spacing w:after="0"/>
              <w:rPr>
                <w:sz w:val="1"/>
                <w:szCs w:val="1"/>
                <w:color w:val="auto"/>
              </w:rPr>
            </w:pPr>
          </w:p>
        </w:tc>
      </w:tr>
      <w:tr>
        <w:trPr>
          <w:trHeight w:val="199"/>
        </w:trPr>
        <w:tc>
          <w:tcPr>
            <w:tcW w:w="1080" w:type="dxa"/>
            <w:vAlign w:val="bottom"/>
          </w:tcPr>
          <w:p>
            <w:pPr>
              <w:jc w:val="right"/>
              <w:ind w:right="309"/>
              <w:spacing w:after="0"/>
              <w:rPr>
                <w:sz w:val="20"/>
                <w:szCs w:val="20"/>
                <w:color w:val="auto"/>
              </w:rPr>
            </w:pPr>
            <w:r>
              <w:rPr>
                <w:rFonts w:ascii="Arial" w:cs="Arial" w:eastAsia="Arial" w:hAnsi="Arial"/>
                <w:sz w:val="14"/>
                <w:szCs w:val="14"/>
                <w:color w:val="auto"/>
              </w:rPr>
              <w:t>3.2</w:t>
            </w:r>
          </w:p>
        </w:tc>
        <w:tc>
          <w:tcPr>
            <w:tcW w:w="20" w:type="dxa"/>
            <w:vAlign w:val="bottom"/>
          </w:tcPr>
          <w:p>
            <w:pPr>
              <w:spacing w:after="0"/>
              <w:rPr>
                <w:sz w:val="17"/>
                <w:szCs w:val="17"/>
                <w:color w:val="auto"/>
              </w:rPr>
            </w:pPr>
          </w:p>
        </w:tc>
        <w:tc>
          <w:tcPr>
            <w:tcW w:w="9700" w:type="dxa"/>
            <w:vAlign w:val="bottom"/>
            <w:gridSpan w:val="3"/>
          </w:tcPr>
          <w:p>
            <w:pPr>
              <w:spacing w:after="0"/>
              <w:rPr>
                <w:sz w:val="20"/>
                <w:szCs w:val="20"/>
                <w:color w:val="auto"/>
              </w:rPr>
            </w:pPr>
            <w:r>
              <w:rPr>
                <w:rFonts w:ascii="Arial" w:cs="Arial" w:eastAsia="Arial" w:hAnsi="Arial"/>
                <w:sz w:val="14"/>
                <w:szCs w:val="14"/>
                <w:color w:val="auto"/>
              </w:rPr>
              <w:t>Amended and Restated Bylaws (incorporated by reference to Exhibit 3.2 to the Company’s Form S-1 filed on August 31, 2018).</w:t>
            </w:r>
          </w:p>
        </w:tc>
        <w:tc>
          <w:tcPr>
            <w:tcW w:w="0" w:type="dxa"/>
            <w:vAlign w:val="bottom"/>
          </w:tcPr>
          <w:p>
            <w:pPr>
              <w:spacing w:after="0"/>
              <w:rPr>
                <w:sz w:val="1"/>
                <w:szCs w:val="1"/>
                <w:color w:val="auto"/>
              </w:rPr>
            </w:pPr>
          </w:p>
        </w:tc>
      </w:tr>
      <w:tr>
        <w:trPr>
          <w:trHeight w:val="168"/>
        </w:trPr>
        <w:tc>
          <w:tcPr>
            <w:tcW w:w="1080" w:type="dxa"/>
            <w:vAlign w:val="bottom"/>
          </w:tcPr>
          <w:p>
            <w:pPr>
              <w:jc w:val="right"/>
              <w:ind w:right="309"/>
              <w:spacing w:after="0"/>
              <w:rPr>
                <w:sz w:val="20"/>
                <w:szCs w:val="20"/>
                <w:color w:val="auto"/>
              </w:rPr>
            </w:pPr>
            <w:r>
              <w:rPr>
                <w:rFonts w:ascii="Arial" w:cs="Arial" w:eastAsia="Arial" w:hAnsi="Arial"/>
                <w:sz w:val="14"/>
                <w:szCs w:val="14"/>
                <w:color w:val="auto"/>
              </w:rPr>
              <w:t>31.1</w:t>
            </w:r>
          </w:p>
        </w:tc>
        <w:tc>
          <w:tcPr>
            <w:tcW w:w="20" w:type="dxa"/>
            <w:vAlign w:val="bottom"/>
          </w:tcPr>
          <w:p>
            <w:pPr>
              <w:spacing w:after="0"/>
              <w:rPr>
                <w:sz w:val="14"/>
                <w:szCs w:val="14"/>
                <w:color w:val="auto"/>
              </w:rPr>
            </w:pPr>
          </w:p>
        </w:tc>
        <w:tc>
          <w:tcPr>
            <w:tcW w:w="9700" w:type="dxa"/>
            <w:vAlign w:val="bottom"/>
            <w:gridSpan w:val="3"/>
          </w:tcPr>
          <w:p>
            <w:pPr>
              <w:spacing w:after="0"/>
              <w:rPr>
                <w:sz w:val="20"/>
                <w:szCs w:val="20"/>
                <w:color w:val="auto"/>
              </w:rPr>
            </w:pPr>
            <w:r>
              <w:rPr>
                <w:rFonts w:ascii="Arial" w:cs="Arial" w:eastAsia="Arial" w:hAnsi="Arial"/>
                <w:sz w:val="14"/>
                <w:szCs w:val="14"/>
                <w:color w:val="0000FF"/>
              </w:rPr>
              <w:t>Rule 13a-14(a) Certification of the Principal Executive Officer</w:t>
            </w:r>
            <w:r>
              <w:rPr>
                <w:rFonts w:ascii="Arial" w:cs="Arial" w:eastAsia="Arial" w:hAnsi="Arial"/>
                <w:sz w:val="14"/>
                <w:szCs w:val="14"/>
                <w:color w:val="000000"/>
              </w:rPr>
              <w:t>.</w:t>
            </w:r>
          </w:p>
        </w:tc>
        <w:tc>
          <w:tcPr>
            <w:tcW w:w="0" w:type="dxa"/>
            <w:vAlign w:val="bottom"/>
          </w:tcPr>
          <w:p>
            <w:pPr>
              <w:spacing w:after="0"/>
              <w:rPr>
                <w:sz w:val="1"/>
                <w:szCs w:val="1"/>
                <w:color w:val="auto"/>
              </w:rPr>
            </w:pPr>
          </w:p>
        </w:tc>
      </w:tr>
      <w:tr>
        <w:trPr>
          <w:trHeight w:val="179"/>
        </w:trPr>
        <w:tc>
          <w:tcPr>
            <w:tcW w:w="1080" w:type="dxa"/>
            <w:vAlign w:val="bottom"/>
          </w:tcPr>
          <w:p>
            <w:pPr>
              <w:jc w:val="right"/>
              <w:ind w:right="309"/>
              <w:spacing w:after="0"/>
              <w:rPr>
                <w:sz w:val="20"/>
                <w:szCs w:val="20"/>
                <w:color w:val="auto"/>
              </w:rPr>
            </w:pPr>
            <w:r>
              <w:rPr>
                <w:rFonts w:ascii="Arial" w:cs="Arial" w:eastAsia="Arial" w:hAnsi="Arial"/>
                <w:sz w:val="14"/>
                <w:szCs w:val="14"/>
                <w:color w:val="auto"/>
              </w:rPr>
              <w:t>31.2</w:t>
            </w:r>
          </w:p>
        </w:tc>
        <w:tc>
          <w:tcPr>
            <w:tcW w:w="20" w:type="dxa"/>
            <w:vAlign w:val="bottom"/>
          </w:tcPr>
          <w:p>
            <w:pPr>
              <w:spacing w:after="0"/>
              <w:rPr>
                <w:sz w:val="15"/>
                <w:szCs w:val="15"/>
                <w:color w:val="auto"/>
              </w:rPr>
            </w:pPr>
          </w:p>
        </w:tc>
        <w:tc>
          <w:tcPr>
            <w:tcW w:w="3800" w:type="dxa"/>
            <w:vAlign w:val="bottom"/>
            <w:tcBorders>
              <w:top w:val="single" w:sz="8" w:color="0000FF"/>
            </w:tcBorders>
            <w:gridSpan w:val="2"/>
          </w:tcPr>
          <w:p>
            <w:pPr>
              <w:spacing w:after="0"/>
              <w:rPr>
                <w:sz w:val="20"/>
                <w:szCs w:val="20"/>
                <w:color w:val="auto"/>
              </w:rPr>
            </w:pPr>
            <w:r>
              <w:rPr>
                <w:rFonts w:ascii="Arial" w:cs="Arial" w:eastAsia="Arial" w:hAnsi="Arial"/>
                <w:sz w:val="14"/>
                <w:szCs w:val="14"/>
                <w:color w:val="0000FF"/>
              </w:rPr>
              <w:t>Rule 13a-14(a) Certification of the Principal Financial Officer</w:t>
            </w:r>
            <w:r>
              <w:rPr>
                <w:rFonts w:ascii="Arial" w:cs="Arial" w:eastAsia="Arial" w:hAnsi="Arial"/>
                <w:sz w:val="14"/>
                <w:szCs w:val="14"/>
                <w:color w:val="000000"/>
              </w:rPr>
              <w:t>.</w:t>
            </w:r>
          </w:p>
        </w:tc>
        <w:tc>
          <w:tcPr>
            <w:tcW w:w="5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 w:lineRule="exact"/>
        <w:rPr>
          <w:sz w:val="20"/>
          <w:szCs w:val="20"/>
          <w:color w:val="auto"/>
        </w:rPr>
      </w:pPr>
    </w:p>
    <w:p>
      <w:pPr>
        <w:ind w:left="1640" w:hanging="558"/>
        <w:spacing w:after="0"/>
        <w:tabs>
          <w:tab w:leader="none" w:pos="1640" w:val="left"/>
        </w:tabs>
        <w:numPr>
          <w:ilvl w:val="0"/>
          <w:numId w:val="17"/>
        </w:numPr>
        <w:rPr>
          <w:rFonts w:ascii="Arial" w:cs="Arial" w:eastAsia="Arial" w:hAnsi="Arial"/>
          <w:sz w:val="14"/>
          <w:szCs w:val="14"/>
          <w:color w:val="auto"/>
        </w:rPr>
      </w:pPr>
      <w:r>
        <w:rPr>
          <w:rFonts w:ascii="Arial" w:cs="Arial" w:eastAsia="Arial" w:hAnsi="Arial"/>
          <w:sz w:val="14"/>
          <w:szCs w:val="14"/>
          <w:u w:val="single" w:color="auto"/>
          <w:color w:val="0000FF"/>
        </w:rPr>
        <w:t>Section 1350 Certification of Chief Executive Officer and Chief Financial Officer</w:t>
      </w:r>
      <w:r>
        <w:rPr>
          <w:rFonts w:ascii="Arial" w:cs="Arial" w:eastAsia="Arial" w:hAnsi="Arial"/>
          <w:sz w:val="14"/>
          <w:szCs w:val="14"/>
          <w:color w:val="000000"/>
        </w:rPr>
        <w:t>.</w:t>
      </w:r>
    </w:p>
    <w:p>
      <w:pPr>
        <w:spacing w:after="0" w:line="38" w:lineRule="exact"/>
        <w:rPr>
          <w:sz w:val="20"/>
          <w:szCs w:val="20"/>
          <w:color w:val="auto"/>
        </w:rPr>
      </w:pPr>
    </w:p>
    <w:p>
      <w:pPr>
        <w:ind w:left="1640" w:right="280" w:hanging="637"/>
        <w:spacing w:after="0" w:line="227" w:lineRule="auto"/>
        <w:tabs>
          <w:tab w:leader="none" w:pos="16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following materials from the Quarterly Report on Form 10-Q of Capital Bancorp, Inc. for the quarter ended March 31, 2022, formatted in eXtensible Business Reporting Language (XBRL): (i) Consolidated Balance Sheets, (ii) Consolidated Statements of Income, (iii) Consolidated Statements of Comprehensive Income, (iv) Consolidated Statement of Changes in Shareholders’ Equity, (v) Consolidated Statements of Cash Flows and (vi) Notes to Unaudited Consolidated Financial Statements.</w:t>
      </w:r>
    </w:p>
    <w:p>
      <w:pPr>
        <w:spacing w:after="0" w:line="14" w:lineRule="exact"/>
        <w:rPr>
          <w:sz w:val="20"/>
          <w:szCs w:val="20"/>
          <w:color w:val="auto"/>
        </w:rPr>
      </w:pPr>
    </w:p>
    <w:p>
      <w:pPr>
        <w:ind w:left="1000"/>
        <w:spacing w:after="0"/>
        <w:tabs>
          <w:tab w:leader="none" w:pos="1620" w:val="left"/>
        </w:tabs>
        <w:rPr>
          <w:sz w:val="20"/>
          <w:szCs w:val="20"/>
          <w:color w:val="auto"/>
        </w:rPr>
      </w:pPr>
      <w:r>
        <w:rPr>
          <w:rFonts w:ascii="Arial" w:cs="Arial" w:eastAsia="Arial" w:hAnsi="Arial"/>
          <w:sz w:val="14"/>
          <w:szCs w:val="14"/>
          <w:color w:val="auto"/>
        </w:rPr>
        <w:t>104</w:t>
      </w:r>
      <w:r>
        <w:rPr>
          <w:sz w:val="20"/>
          <w:szCs w:val="20"/>
          <w:color w:val="auto"/>
        </w:rPr>
        <w:tab/>
      </w:r>
      <w:r>
        <w:rPr>
          <w:rFonts w:ascii="Arial" w:cs="Arial" w:eastAsia="Arial" w:hAnsi="Arial"/>
          <w:sz w:val="14"/>
          <w:szCs w:val="14"/>
          <w:color w:val="auto"/>
        </w:rPr>
        <w:t>Cover Page Interactive Data File (formatted as Inline XBRL and contained in 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262255</wp:posOffset>
            </wp:positionV>
            <wp:extent cx="716026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66" w:name="page67"/>
    <w:bookmarkEnd w:id="66"/>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19" w:lineRule="exact"/>
        <w:rPr>
          <w:sz w:val="20"/>
          <w:szCs w:val="20"/>
          <w:color w:val="auto"/>
        </w:rPr>
      </w:pPr>
    </w:p>
    <w:p>
      <w:pPr>
        <w:ind w:firstLine="318"/>
        <w:spacing w:after="0" w:line="27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CAPITAL BANCORP,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564515</wp:posOffset>
            </wp:positionH>
            <wp:positionV relativeFrom="paragraph">
              <wp:posOffset>-10795</wp:posOffset>
            </wp:positionV>
            <wp:extent cx="144145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441450" cy="8255"/>
                    </a:xfrm>
                    <a:prstGeom prst="rect">
                      <a:avLst/>
                    </a:prstGeom>
                    <a:noFill/>
                  </pic:spPr>
                </pic:pic>
              </a:graphicData>
            </a:graphic>
          </wp:anchor>
        </w:drawing>
      </w:r>
    </w:p>
    <w:p>
      <w:pPr>
        <w:spacing w:after="0" w:line="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Registrant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00" w:type="dxa"/>
            <w:vAlign w:val="bottom"/>
          </w:tcPr>
          <w:p>
            <w:pPr>
              <w:spacing w:after="0"/>
              <w:rPr>
                <w:sz w:val="20"/>
                <w:szCs w:val="20"/>
                <w:color w:val="auto"/>
              </w:rPr>
            </w:pPr>
            <w:r>
              <w:rPr>
                <w:rFonts w:ascii="Arial" w:cs="Arial" w:eastAsia="Arial" w:hAnsi="Arial"/>
                <w:sz w:val="18"/>
                <w:szCs w:val="18"/>
                <w:color w:val="auto"/>
              </w:rPr>
              <w:t>Date: May 10, 2022</w:t>
            </w:r>
          </w:p>
        </w:tc>
        <w:tc>
          <w:tcPr>
            <w:tcW w:w="1660" w:type="dxa"/>
            <w:vAlign w:val="bottom"/>
            <w:gridSpan w:val="2"/>
          </w:tcPr>
          <w:p>
            <w:pPr>
              <w:ind w:left="140"/>
              <w:spacing w:after="0"/>
              <w:rPr>
                <w:sz w:val="20"/>
                <w:szCs w:val="20"/>
                <w:color w:val="auto"/>
              </w:rPr>
            </w:pPr>
            <w:r>
              <w:rPr>
                <w:rFonts w:ascii="Arial" w:cs="Arial" w:eastAsia="Arial" w:hAnsi="Arial"/>
                <w:sz w:val="18"/>
                <w:szCs w:val="18"/>
                <w:color w:val="auto"/>
              </w:rPr>
              <w:t>/s/ Ed Barry</w:t>
            </w:r>
          </w:p>
        </w:tc>
      </w:tr>
      <w:tr>
        <w:trPr>
          <w:trHeight w:val="231"/>
        </w:trPr>
        <w:tc>
          <w:tcPr>
            <w:tcW w:w="1800" w:type="dxa"/>
            <w:vAlign w:val="bottom"/>
          </w:tcPr>
          <w:p>
            <w:pPr>
              <w:ind w:left="980"/>
              <w:spacing w:after="0"/>
              <w:rPr>
                <w:sz w:val="20"/>
                <w:szCs w:val="20"/>
                <w:color w:val="auto"/>
              </w:rPr>
            </w:pPr>
            <w:r>
              <w:rPr>
                <w:rFonts w:ascii="Arial" w:cs="Arial" w:eastAsia="Arial" w:hAnsi="Arial"/>
                <w:sz w:val="18"/>
                <w:szCs w:val="18"/>
                <w:color w:val="auto"/>
              </w:rPr>
              <w:t>Ed Barry</w:t>
            </w:r>
          </w:p>
        </w:tc>
        <w:tc>
          <w:tcPr>
            <w:tcW w:w="140" w:type="dxa"/>
            <w:vAlign w:val="bottom"/>
          </w:tcPr>
          <w:p>
            <w:pPr>
              <w:spacing w:after="0"/>
              <w:rPr>
                <w:sz w:val="20"/>
                <w:szCs w:val="20"/>
                <w:color w:val="auto"/>
              </w:rPr>
            </w:pPr>
          </w:p>
        </w:tc>
        <w:tc>
          <w:tcPr>
            <w:tcW w:w="1520" w:type="dxa"/>
            <w:vAlign w:val="bottom"/>
            <w:tcBorders>
              <w:top w:val="single" w:sz="8" w:color="auto"/>
            </w:tcBorders>
          </w:tcPr>
          <w:p>
            <w:pPr>
              <w:spacing w:after="0"/>
              <w:rPr>
                <w:sz w:val="20"/>
                <w:szCs w:val="20"/>
                <w:color w:val="auto"/>
              </w:rPr>
            </w:pPr>
          </w:p>
        </w:tc>
      </w:tr>
    </w:tbl>
    <w:p>
      <w:pPr>
        <w:ind w:left="3180"/>
        <w:spacing w:after="0"/>
        <w:rPr>
          <w:sz w:val="20"/>
          <w:szCs w:val="20"/>
          <w:color w:val="auto"/>
        </w:rPr>
      </w:pPr>
      <w:r>
        <w:rPr>
          <w:rFonts w:ascii="Arial" w:cs="Arial" w:eastAsia="Arial" w:hAnsi="Arial"/>
          <w:sz w:val="18"/>
          <w:szCs w:val="18"/>
          <w:color w:val="auto"/>
        </w:rPr>
        <w:t>Chief Executive Officer</w:t>
      </w:r>
    </w:p>
    <w:p>
      <w:pPr>
        <w:spacing w:after="0" w:line="5"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(Principal Executive Officer)</w:t>
      </w:r>
    </w:p>
    <w:p>
      <w:pPr>
        <w:spacing w:after="0" w:line="201"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color w:val="auto"/>
        </w:rPr>
        <w:t>Date: May 10, 2022</w:t>
      </w:r>
      <w:r>
        <w:rPr>
          <w:sz w:val="20"/>
          <w:szCs w:val="20"/>
          <w:color w:val="auto"/>
        </w:rPr>
        <w:tab/>
      </w:r>
      <w:r>
        <w:rPr>
          <w:rFonts w:ascii="Arial" w:cs="Arial" w:eastAsia="Arial" w:hAnsi="Arial"/>
          <w:sz w:val="17"/>
          <w:szCs w:val="17"/>
          <w:color w:val="auto"/>
        </w:rPr>
        <w:t>/s/ Alan W. Jackson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1231900</wp:posOffset>
            </wp:positionH>
            <wp:positionV relativeFrom="paragraph">
              <wp:posOffset>-10795</wp:posOffset>
            </wp:positionV>
            <wp:extent cx="122745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27455" cy="8255"/>
                    </a:xfrm>
                    <a:prstGeom prst="rect">
                      <a:avLst/>
                    </a:prstGeom>
                    <a:noFill/>
                  </pic:spPr>
                </pic:pic>
              </a:graphicData>
            </a:graphic>
          </wp:anchor>
        </w:drawing>
      </w:r>
    </w:p>
    <w:p>
      <w:pPr>
        <w:spacing w:after="0" w:line="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Alan W. Jackson</w:t>
      </w:r>
    </w:p>
    <w:p>
      <w:pPr>
        <w:spacing w:after="0" w:line="5"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Chief Financial Officer</w:t>
      </w:r>
    </w:p>
    <w:p>
      <w:pPr>
        <w:spacing w:after="0" w:line="5"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1440"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Section 2: EX-31.1 (RULE 13A-14(A) CERTIFICATION OF THE PRINCIPAL EXECUTIVE OFFICER)</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31.1</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Rule 13a-14(a) Certification of the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140335</wp:posOffset>
            </wp:positionV>
            <wp:extent cx="7134860" cy="165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31.1</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Rule 13a-14(a) Certification of the Principal Executive Officer.</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I, Ed Barry, certify that:</w:t>
      </w:r>
    </w:p>
    <w:p>
      <w:pPr>
        <w:spacing w:after="0" w:line="217" w:lineRule="exact"/>
        <w:rPr>
          <w:sz w:val="20"/>
          <w:szCs w:val="20"/>
          <w:color w:val="auto"/>
        </w:rPr>
      </w:pPr>
    </w:p>
    <w:p>
      <w:pPr>
        <w:ind w:left="200" w:hanging="194"/>
        <w:spacing w:after="0"/>
        <w:tabs>
          <w:tab w:leader="none" w:pos="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Capital Bancorp, Inc.;</w:t>
      </w:r>
    </w:p>
    <w:p>
      <w:pPr>
        <w:spacing w:after="0" w:line="217" w:lineRule="exact"/>
        <w:rPr>
          <w:rFonts w:ascii="Arial" w:cs="Arial" w:eastAsia="Arial" w:hAnsi="Arial"/>
          <w:sz w:val="18"/>
          <w:szCs w:val="18"/>
          <w:color w:val="auto"/>
        </w:rPr>
      </w:pPr>
    </w:p>
    <w:p>
      <w:pPr>
        <w:jc w:val="both"/>
        <w:ind w:firstLine="6"/>
        <w:spacing w:after="0" w:line="260" w:lineRule="auto"/>
        <w:tabs>
          <w:tab w:leader="none" w:pos="226"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Arial" w:cs="Arial" w:eastAsia="Arial" w:hAnsi="Arial"/>
          <w:sz w:val="18"/>
          <w:szCs w:val="18"/>
          <w:color w:val="auto"/>
        </w:rPr>
      </w:pPr>
    </w:p>
    <w:p>
      <w:pPr>
        <w:ind w:firstLine="6"/>
        <w:spacing w:after="0" w:line="274" w:lineRule="auto"/>
        <w:tabs>
          <w:tab w:leader="none" w:pos="199"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Arial" w:cs="Arial" w:eastAsia="Arial" w:hAnsi="Arial"/>
          <w:sz w:val="18"/>
          <w:szCs w:val="18"/>
          <w:color w:val="auto"/>
        </w:rPr>
      </w:pPr>
    </w:p>
    <w:p>
      <w:pPr>
        <w:jc w:val="both"/>
        <w:ind w:firstLine="6"/>
        <w:spacing w:after="0" w:line="270" w:lineRule="auto"/>
        <w:tabs>
          <w:tab w:leader="none" w:pos="204"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7"/>
          <w:szCs w:val="17"/>
          <w:color w:val="auto"/>
        </w:rPr>
      </w:pPr>
      <w:r>
        <w:rPr>
          <w:rFonts w:ascii="Arial" w:cs="Arial" w:eastAsia="Arial" w:hAnsi="Arial"/>
          <w:sz w:val="18"/>
          <w:szCs w:val="18"/>
          <w:color w:val="auto"/>
        </w:rPr>
        <w:t>15d-15(f)) for the registrant and have:</w:t>
      </w:r>
    </w:p>
    <w:p>
      <w:pPr>
        <w:spacing w:after="0" w:line="201" w:lineRule="exact"/>
        <w:rPr>
          <w:rFonts w:ascii="Arial" w:cs="Arial" w:eastAsia="Arial" w:hAnsi="Arial"/>
          <w:sz w:val="17"/>
          <w:szCs w:val="17"/>
          <w:color w:val="auto"/>
        </w:rPr>
      </w:pPr>
    </w:p>
    <w:p>
      <w:pPr>
        <w:jc w:val="both"/>
        <w:ind w:left="640" w:firstLine="2"/>
        <w:spacing w:after="0" w:line="260" w:lineRule="auto"/>
        <w:tabs>
          <w:tab w:leader="none" w:pos="864"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Arial" w:cs="Arial" w:eastAsia="Arial" w:hAnsi="Arial"/>
          <w:sz w:val="18"/>
          <w:szCs w:val="18"/>
          <w:color w:val="auto"/>
        </w:rPr>
      </w:pPr>
    </w:p>
    <w:p>
      <w:pPr>
        <w:jc w:val="both"/>
        <w:ind w:left="640" w:firstLine="2"/>
        <w:spacing w:after="0" w:line="260" w:lineRule="auto"/>
        <w:tabs>
          <w:tab w:leader="none" w:pos="853"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Arial" w:cs="Arial" w:eastAsia="Arial" w:hAnsi="Arial"/>
          <w:sz w:val="18"/>
          <w:szCs w:val="18"/>
          <w:color w:val="auto"/>
        </w:rPr>
      </w:pPr>
    </w:p>
    <w:p>
      <w:pPr>
        <w:jc w:val="both"/>
        <w:ind w:left="640" w:firstLine="2"/>
        <w:spacing w:after="0" w:line="260" w:lineRule="auto"/>
        <w:tabs>
          <w:tab w:leader="none" w:pos="841" w:val="left"/>
        </w:tabs>
        <w:numPr>
          <w:ilvl w:val="1"/>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Arial" w:cs="Arial" w:eastAsia="Arial" w:hAnsi="Arial"/>
          <w:sz w:val="18"/>
          <w:szCs w:val="18"/>
          <w:color w:val="auto"/>
        </w:rPr>
      </w:pPr>
    </w:p>
    <w:p>
      <w:pPr>
        <w:jc w:val="both"/>
        <w:ind w:left="640" w:firstLine="2"/>
        <w:spacing w:after="0" w:line="260" w:lineRule="auto"/>
        <w:tabs>
          <w:tab w:leader="none" w:pos="866"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5" w:lineRule="exact"/>
        <w:rPr>
          <w:rFonts w:ascii="Arial" w:cs="Arial" w:eastAsia="Arial" w:hAnsi="Arial"/>
          <w:sz w:val="18"/>
          <w:szCs w:val="18"/>
          <w:color w:val="auto"/>
        </w:rPr>
      </w:pPr>
    </w:p>
    <w:p>
      <w:pPr>
        <w:ind w:firstLine="6"/>
        <w:spacing w:after="0" w:line="304" w:lineRule="auto"/>
        <w:tabs>
          <w:tab w:leader="none" w:pos="201"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rFonts w:ascii="Arial" w:cs="Arial" w:eastAsia="Arial" w:hAnsi="Arial"/>
          <w:sz w:val="17"/>
          <w:szCs w:val="17"/>
          <w:color w:val="auto"/>
        </w:rPr>
      </w:pPr>
    </w:p>
    <w:p>
      <w:pPr>
        <w:ind w:left="640" w:firstLine="2"/>
        <w:spacing w:after="0" w:line="274" w:lineRule="auto"/>
        <w:tabs>
          <w:tab w:leader="none" w:pos="859"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Arial" w:cs="Arial" w:eastAsia="Arial" w:hAnsi="Arial"/>
          <w:sz w:val="18"/>
          <w:szCs w:val="18"/>
          <w:color w:val="auto"/>
        </w:rPr>
      </w:pPr>
    </w:p>
    <w:p>
      <w:pPr>
        <w:ind w:left="640" w:firstLine="2"/>
        <w:spacing w:after="0" w:line="274" w:lineRule="auto"/>
        <w:tabs>
          <w:tab w:leader="none" w:pos="871"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spacing w:after="0"/>
        <w:tabs>
          <w:tab w:leader="none" w:pos="600" w:val="left"/>
          <w:tab w:leader="none" w:pos="2260" w:val="left"/>
        </w:tabs>
        <w:rPr>
          <w:sz w:val="20"/>
          <w:szCs w:val="20"/>
          <w:color w:val="auto"/>
        </w:rPr>
      </w:pPr>
      <w:r>
        <w:rPr>
          <w:rFonts w:ascii="Arial" w:cs="Arial" w:eastAsia="Arial" w:hAnsi="Arial"/>
          <w:sz w:val="18"/>
          <w:szCs w:val="18"/>
          <w:color w:val="auto"/>
        </w:rPr>
        <w:t>Date:</w:t>
        <w:tab/>
        <w:t>May 10, 2022</w:t>
      </w:r>
      <w:r>
        <w:rPr>
          <w:sz w:val="20"/>
          <w:szCs w:val="20"/>
          <w:color w:val="auto"/>
        </w:rPr>
        <w:tab/>
      </w:r>
      <w:r>
        <w:rPr>
          <w:rFonts w:ascii="Arial" w:cs="Arial" w:eastAsia="Arial" w:hAnsi="Arial"/>
          <w:sz w:val="17"/>
          <w:szCs w:val="17"/>
          <w:color w:val="auto"/>
        </w:rPr>
        <w:t>By: /s/ Ed Barry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1642745</wp:posOffset>
            </wp:positionH>
            <wp:positionV relativeFrom="paragraph">
              <wp:posOffset>-10795</wp:posOffset>
            </wp:positionV>
            <wp:extent cx="8350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35025" cy="8255"/>
                    </a:xfrm>
                    <a:prstGeom prst="rect">
                      <a:avLst/>
                    </a:prstGeom>
                    <a:noFill/>
                  </pic:spPr>
                </pic:pic>
              </a:graphicData>
            </a:graphic>
          </wp:anchor>
        </w:drawing>
      </w:r>
    </w:p>
    <w:p>
      <w:pPr>
        <w:spacing w:after="0" w:line="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Ed Barry</w:t>
      </w:r>
    </w:p>
    <w:p>
      <w:pPr>
        <w:spacing w:after="0" w:line="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76"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Section 2: EX-31.2 (RULE 13A-14(A) CERTIFICATION OF THE PRINCIPAL FINANCIAL OFFICER)</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31.2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Rule 13a-14(a) Certification of the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140335</wp:posOffset>
            </wp:positionV>
            <wp:extent cx="7134860" cy="165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31.2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Rule 13a-14(a) Certification of the Principal Financial Officer.</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I, Alan W. Jackson, certify that:</w:t>
      </w:r>
    </w:p>
    <w:p>
      <w:pPr>
        <w:spacing w:after="0" w:line="217" w:lineRule="exact"/>
        <w:rPr>
          <w:sz w:val="20"/>
          <w:szCs w:val="20"/>
          <w:color w:val="auto"/>
        </w:rPr>
      </w:pPr>
    </w:p>
    <w:p>
      <w:pPr>
        <w:ind w:left="200" w:hanging="194"/>
        <w:spacing w:after="0"/>
        <w:tabs>
          <w:tab w:leader="none" w:pos="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Capital Bancorp, Inc.;</w:t>
      </w:r>
    </w:p>
    <w:p>
      <w:pPr>
        <w:spacing w:after="0" w:line="217" w:lineRule="exact"/>
        <w:rPr>
          <w:rFonts w:ascii="Arial" w:cs="Arial" w:eastAsia="Arial" w:hAnsi="Arial"/>
          <w:sz w:val="18"/>
          <w:szCs w:val="18"/>
          <w:color w:val="auto"/>
        </w:rPr>
      </w:pPr>
    </w:p>
    <w:p>
      <w:pPr>
        <w:jc w:val="both"/>
        <w:ind w:firstLine="6"/>
        <w:spacing w:after="0" w:line="260" w:lineRule="auto"/>
        <w:tabs>
          <w:tab w:leader="none" w:pos="226"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Arial" w:cs="Arial" w:eastAsia="Arial" w:hAnsi="Arial"/>
          <w:sz w:val="18"/>
          <w:szCs w:val="18"/>
          <w:color w:val="auto"/>
        </w:rPr>
      </w:pPr>
    </w:p>
    <w:p>
      <w:pPr>
        <w:ind w:firstLine="6"/>
        <w:spacing w:after="0" w:line="274" w:lineRule="auto"/>
        <w:tabs>
          <w:tab w:leader="none" w:pos="199"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Arial" w:cs="Arial" w:eastAsia="Arial" w:hAnsi="Arial"/>
          <w:sz w:val="18"/>
          <w:szCs w:val="18"/>
          <w:color w:val="auto"/>
        </w:rPr>
      </w:pPr>
    </w:p>
    <w:p>
      <w:pPr>
        <w:jc w:val="both"/>
        <w:ind w:firstLine="6"/>
        <w:spacing w:after="0" w:line="270" w:lineRule="auto"/>
        <w:tabs>
          <w:tab w:leader="none" w:pos="204"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7"/>
          <w:szCs w:val="17"/>
          <w:color w:val="auto"/>
        </w:rPr>
      </w:pPr>
      <w:r>
        <w:rPr>
          <w:rFonts w:ascii="Arial" w:cs="Arial" w:eastAsia="Arial" w:hAnsi="Arial"/>
          <w:sz w:val="18"/>
          <w:szCs w:val="18"/>
          <w:color w:val="auto"/>
        </w:rPr>
        <w:t>15d-15(f)) for the registrant and have:</w:t>
      </w:r>
    </w:p>
    <w:p>
      <w:pPr>
        <w:spacing w:after="0" w:line="201" w:lineRule="exact"/>
        <w:rPr>
          <w:rFonts w:ascii="Arial" w:cs="Arial" w:eastAsia="Arial" w:hAnsi="Arial"/>
          <w:sz w:val="17"/>
          <w:szCs w:val="17"/>
          <w:color w:val="auto"/>
        </w:rPr>
      </w:pPr>
    </w:p>
    <w:p>
      <w:pPr>
        <w:jc w:val="both"/>
        <w:ind w:left="640" w:firstLine="2"/>
        <w:spacing w:after="0" w:line="260" w:lineRule="auto"/>
        <w:tabs>
          <w:tab w:leader="none" w:pos="864"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Arial" w:cs="Arial" w:eastAsia="Arial" w:hAnsi="Arial"/>
          <w:sz w:val="18"/>
          <w:szCs w:val="18"/>
          <w:color w:val="auto"/>
        </w:rPr>
      </w:pPr>
    </w:p>
    <w:p>
      <w:pPr>
        <w:jc w:val="both"/>
        <w:ind w:left="640" w:firstLine="2"/>
        <w:spacing w:after="0" w:line="260" w:lineRule="auto"/>
        <w:tabs>
          <w:tab w:leader="none" w:pos="853"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Arial" w:cs="Arial" w:eastAsia="Arial" w:hAnsi="Arial"/>
          <w:sz w:val="18"/>
          <w:szCs w:val="18"/>
          <w:color w:val="auto"/>
        </w:rPr>
      </w:pPr>
    </w:p>
    <w:p>
      <w:pPr>
        <w:jc w:val="both"/>
        <w:ind w:left="640" w:firstLine="2"/>
        <w:spacing w:after="0" w:line="260" w:lineRule="auto"/>
        <w:tabs>
          <w:tab w:leader="none" w:pos="841" w:val="left"/>
        </w:tabs>
        <w:numPr>
          <w:ilvl w:val="1"/>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Arial" w:cs="Arial" w:eastAsia="Arial" w:hAnsi="Arial"/>
          <w:sz w:val="18"/>
          <w:szCs w:val="18"/>
          <w:color w:val="auto"/>
        </w:rPr>
      </w:pPr>
    </w:p>
    <w:p>
      <w:pPr>
        <w:jc w:val="both"/>
        <w:ind w:left="640" w:firstLine="2"/>
        <w:spacing w:after="0" w:line="260" w:lineRule="auto"/>
        <w:tabs>
          <w:tab w:leader="none" w:pos="866"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5" w:lineRule="exact"/>
        <w:rPr>
          <w:rFonts w:ascii="Arial" w:cs="Arial" w:eastAsia="Arial" w:hAnsi="Arial"/>
          <w:sz w:val="18"/>
          <w:szCs w:val="18"/>
          <w:color w:val="auto"/>
        </w:rPr>
      </w:pPr>
    </w:p>
    <w:p>
      <w:pPr>
        <w:ind w:firstLine="6"/>
        <w:spacing w:after="0" w:line="304" w:lineRule="auto"/>
        <w:tabs>
          <w:tab w:leader="none" w:pos="201"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rFonts w:ascii="Arial" w:cs="Arial" w:eastAsia="Arial" w:hAnsi="Arial"/>
          <w:sz w:val="17"/>
          <w:szCs w:val="17"/>
          <w:color w:val="auto"/>
        </w:rPr>
      </w:pPr>
    </w:p>
    <w:p>
      <w:pPr>
        <w:ind w:left="640" w:firstLine="2"/>
        <w:spacing w:after="0" w:line="274" w:lineRule="auto"/>
        <w:tabs>
          <w:tab w:leader="none" w:pos="859"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Arial" w:cs="Arial" w:eastAsia="Arial" w:hAnsi="Arial"/>
          <w:sz w:val="18"/>
          <w:szCs w:val="18"/>
          <w:color w:val="auto"/>
        </w:rPr>
      </w:pPr>
    </w:p>
    <w:p>
      <w:pPr>
        <w:ind w:left="640" w:firstLine="2"/>
        <w:spacing w:after="0" w:line="274" w:lineRule="auto"/>
        <w:tabs>
          <w:tab w:leader="none" w:pos="871"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spacing w:after="0"/>
        <w:tabs>
          <w:tab w:leader="none" w:pos="2320" w:val="left"/>
        </w:tabs>
        <w:rPr>
          <w:sz w:val="20"/>
          <w:szCs w:val="20"/>
          <w:color w:val="auto"/>
        </w:rPr>
      </w:pPr>
      <w:r>
        <w:rPr>
          <w:rFonts w:ascii="Arial" w:cs="Arial" w:eastAsia="Arial" w:hAnsi="Arial"/>
          <w:sz w:val="18"/>
          <w:szCs w:val="18"/>
          <w:color w:val="auto"/>
        </w:rPr>
        <w:t>Date: May 10, 2022</w:t>
      </w:r>
      <w:r>
        <w:rPr>
          <w:sz w:val="20"/>
          <w:szCs w:val="20"/>
          <w:color w:val="auto"/>
        </w:rPr>
        <w:tab/>
      </w:r>
      <w:r>
        <w:rPr>
          <w:rFonts w:ascii="Arial" w:cs="Arial" w:eastAsia="Arial" w:hAnsi="Arial"/>
          <w:sz w:val="17"/>
          <w:szCs w:val="17"/>
          <w:color w:val="auto"/>
        </w:rPr>
        <w:t>By: /s/ Alan W. Jackson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1673860</wp:posOffset>
            </wp:positionH>
            <wp:positionV relativeFrom="paragraph">
              <wp:posOffset>-10795</wp:posOffset>
            </wp:positionV>
            <wp:extent cx="110299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1"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Alan W. Jackson</w:t>
      </w:r>
    </w:p>
    <w:p>
      <w:pPr>
        <w:spacing w:after="0" w:line="5"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76" w:right="339" w:bottom="1440" w:gutter="0" w:footer="0" w:header="0"/>
        </w:sectPr>
      </w:pPr>
    </w:p>
    <w:bookmarkStart w:id="69" w:name="page70"/>
    <w:bookmarkEnd w:id="69"/>
    <w:p>
      <w:pPr>
        <w:ind w:right="120"/>
        <w:spacing w:after="0" w:line="288" w:lineRule="auto"/>
        <w:rPr>
          <w:sz w:val="20"/>
          <w:szCs w:val="20"/>
          <w:color w:val="auto"/>
        </w:rPr>
      </w:pPr>
      <w:r>
        <w:rPr>
          <w:rFonts w:ascii="Arial" w:cs="Arial" w:eastAsia="Arial" w:hAnsi="Arial"/>
          <w:sz w:val="18"/>
          <w:szCs w:val="18"/>
          <w:b w:val="1"/>
          <w:bCs w:val="1"/>
          <w:color w:val="auto"/>
        </w:rPr>
        <w:t>Section 2: EX-32 (Certification Pursuant to 18 U.S.C. Section 1350, As Adopted Pursuant to Section 906 of the Sarbanes-Oxley Act of 2002)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32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140335</wp:posOffset>
            </wp:positionV>
            <wp:extent cx="713486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32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p>
      <w:pPr>
        <w:spacing w:after="0" w:line="98"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In connection with the Quarterly Report of Capital Bancorp, Inc. (the “Company”) on Form 10-Q for the period ended March 31, 2022, as filed with the Securities and Exchange Commission on the date hereof (the “Report”), the undersigned hereby certify, pursuant to 18 U.S.C. § 1350, as adopted pursuant to § 906 of the Sarbanes-Oxley Act of 2002, that to the undersigned’s best knowledge and belief:</w:t>
      </w:r>
    </w:p>
    <w:p>
      <w:pPr>
        <w:spacing w:after="0" w:line="56" w:lineRule="exact"/>
        <w:rPr>
          <w:sz w:val="20"/>
          <w:szCs w:val="20"/>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7" w:lineRule="exact"/>
        <w:rPr>
          <w:rFonts w:ascii="Arial" w:cs="Arial" w:eastAsia="Arial" w:hAnsi="Arial"/>
          <w:sz w:val="18"/>
          <w:szCs w:val="18"/>
          <w:color w:val="auto"/>
        </w:rPr>
      </w:pPr>
    </w:p>
    <w:p>
      <w:pPr>
        <w:ind w:left="640" w:hanging="316"/>
        <w:spacing w:after="0" w:line="274" w:lineRule="auto"/>
        <w:tabs>
          <w:tab w:leader="none" w:pos="6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tabs>
          <w:tab w:leader="none" w:pos="600" w:val="left"/>
          <w:tab w:leader="none" w:pos="2260" w:val="left"/>
        </w:tabs>
        <w:rPr>
          <w:sz w:val="20"/>
          <w:szCs w:val="20"/>
          <w:color w:val="auto"/>
        </w:rPr>
      </w:pPr>
      <w:r>
        <w:rPr>
          <w:rFonts w:ascii="Arial" w:cs="Arial" w:eastAsia="Arial" w:hAnsi="Arial"/>
          <w:sz w:val="18"/>
          <w:szCs w:val="18"/>
          <w:color w:val="auto"/>
        </w:rPr>
        <w:t>Date:</w:t>
        <w:tab/>
        <w:t>May 10, 2022</w:t>
      </w:r>
      <w:r>
        <w:rPr>
          <w:sz w:val="20"/>
          <w:szCs w:val="20"/>
          <w:color w:val="auto"/>
        </w:rPr>
        <w:tab/>
      </w:r>
      <w:r>
        <w:rPr>
          <w:rFonts w:ascii="Arial" w:cs="Arial" w:eastAsia="Arial" w:hAnsi="Arial"/>
          <w:sz w:val="17"/>
          <w:szCs w:val="17"/>
          <w:color w:val="auto"/>
        </w:rPr>
        <w:t>By: /s/ Ed Barry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1642745</wp:posOffset>
            </wp:positionH>
            <wp:positionV relativeFrom="paragraph">
              <wp:posOffset>-10795</wp:posOffset>
            </wp:positionV>
            <wp:extent cx="8350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35025" cy="8255"/>
                    </a:xfrm>
                    <a:prstGeom prst="rect">
                      <a:avLst/>
                    </a:prstGeom>
                    <a:noFill/>
                  </pic:spPr>
                </pic:pic>
              </a:graphicData>
            </a:graphic>
          </wp:anchor>
        </w:drawing>
      </w:r>
    </w:p>
    <w:p>
      <w:pPr>
        <w:spacing w:after="0" w:line="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Ed Barry</w:t>
      </w:r>
    </w:p>
    <w:p>
      <w:pPr>
        <w:spacing w:after="0" w:line="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6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By: /s/ Alan W. Jackson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-10795</wp:posOffset>
            </wp:positionV>
            <wp:extent cx="110299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Alan W. Jackson</w:t>
      </w:r>
    </w:p>
    <w:p>
      <w:pPr>
        <w:spacing w:after="0" w:line="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8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1"/>
      <w:numFmt w:val="decimal"/>
      <w:start w:val="32"/>
    </w:lvl>
  </w:abstractNum>
  <w:abstractNum w:abstractNumId="17">
    <w:nsid w:val="257130A3"/>
    <w:multiLevelType w:val="hybridMultilevel"/>
    <w:lvl w:ilvl="0">
      <w:lvlJc w:val="left"/>
      <w:lvlText w:val="%1"/>
      <w:numFmt w:val="decimal"/>
      <w:start w:val="10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2022-05-10T17:04:03Z</dcterms:created>
  <dcterms:modified xsi:type="dcterms:W3CDTF">2022-05-10T17:04:03Z</dcterms:modified>
</cp:coreProperties>
</file>