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8"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QUARTERLY REPORT PURSUANT TO SECTION 13 OR 15(d) OF THE SECURITIES EXCHANGE ACT OF 1934</w:t>
      </w:r>
    </w:p>
    <w:p>
      <w:pPr>
        <w:spacing w:after="0" w:line="217" w:lineRule="exact"/>
        <w:rPr>
          <w:sz w:val="24"/>
          <w:szCs w:val="24"/>
          <w:color w:val="auto"/>
        </w:rPr>
      </w:pPr>
    </w:p>
    <w:p>
      <w:pPr>
        <w:spacing w:after="0"/>
        <w:tabs>
          <w:tab w:leader="none" w:pos="3220" w:val="left"/>
        </w:tabs>
        <w:rPr>
          <w:sz w:val="20"/>
          <w:szCs w:val="20"/>
          <w:color w:val="auto"/>
        </w:rPr>
      </w:pPr>
      <w:r>
        <w:rPr>
          <w:rFonts w:ascii="Arial" w:cs="Arial" w:eastAsia="Arial" w:hAnsi="Arial"/>
          <w:sz w:val="14"/>
          <w:szCs w:val="14"/>
          <w:color w:val="auto"/>
        </w:rPr>
        <w:t>For the Quarterly Period ended June 30, 2021</w:t>
      </w:r>
      <w:r>
        <w:rPr>
          <w:sz w:val="20"/>
          <w:szCs w:val="20"/>
          <w:color w:val="auto"/>
        </w:rPr>
        <w:tab/>
      </w:r>
      <w:r>
        <w:rPr>
          <w:rFonts w:ascii="Arial" w:cs="Arial" w:eastAsia="Arial" w:hAnsi="Arial"/>
          <w:sz w:val="14"/>
          <w:szCs w:val="14"/>
          <w:color w:val="auto"/>
        </w:rPr>
        <w:t>OR</w:t>
      </w:r>
    </w:p>
    <w:p>
      <w:pPr>
        <w:spacing w:after="0" w:line="210" w:lineRule="exact"/>
        <w:rPr>
          <w:sz w:val="24"/>
          <w:szCs w:val="24"/>
          <w:color w:val="auto"/>
        </w:rPr>
      </w:pPr>
    </w:p>
    <w:p>
      <w:pPr>
        <w:ind w:right="3800" w:firstLine="6"/>
        <w:spacing w:after="0" w:line="553" w:lineRule="auto"/>
        <w:tabs>
          <w:tab w:leader="none" w:pos="172"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 (D) OF THE SECURITIES EXCHANGE ACT OF 1934 For the Transition Period from to</w:t>
      </w:r>
    </w:p>
    <w:p>
      <w:pPr>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001-38671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130175</wp:posOffset>
            </wp:positionV>
            <wp:extent cx="2835275" cy="386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5275" cy="386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BANCORP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18" w:lineRule="exact"/>
        <w:rPr>
          <w:sz w:val="24"/>
          <w:szCs w:val="24"/>
          <w:color w:val="auto"/>
        </w:rPr>
      </w:pPr>
    </w:p>
    <w:tbl>
      <w:tblPr>
        <w:tblLayout w:type="fixed"/>
        <w:tblInd w:w="320" w:type="dxa"/>
        <w:tblCellMar>
          <w:top w:w="0" w:type="dxa"/>
          <w:left w:w="0" w:type="dxa"/>
          <w:bottom w:w="0" w:type="dxa"/>
          <w:right w:w="0" w:type="dxa"/>
        </w:tblCellMar>
      </w:tblPr>
      <w:tr>
        <w:trPr>
          <w:trHeight w:val="214"/>
        </w:trPr>
        <w:tc>
          <w:tcPr>
            <w:tcW w:w="3200" w:type="dxa"/>
            <w:vAlign w:val="bottom"/>
            <w:tcBorders>
              <w:bottom w:val="single" w:sz="8" w:color="auto"/>
            </w:tcBorders>
          </w:tcPr>
          <w:p>
            <w:pPr>
              <w:jc w:val="center"/>
              <w:ind w:left="2151"/>
              <w:spacing w:after="0"/>
              <w:rPr>
                <w:sz w:val="20"/>
                <w:szCs w:val="20"/>
                <w:color w:val="auto"/>
              </w:rPr>
            </w:pPr>
            <w:r>
              <w:rPr>
                <w:rFonts w:ascii="Arial" w:cs="Arial" w:eastAsia="Arial" w:hAnsi="Arial"/>
                <w:sz w:val="16"/>
                <w:szCs w:val="16"/>
                <w:b w:val="1"/>
                <w:bCs w:val="1"/>
                <w:color w:val="auto"/>
                <w:w w:val="99"/>
              </w:rPr>
              <w:t>Maryland</w:t>
            </w:r>
          </w:p>
        </w:tc>
        <w:tc>
          <w:tcPr>
            <w:tcW w:w="1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920" w:type="dxa"/>
            <w:vAlign w:val="bottom"/>
            <w:tcBorders>
              <w:bottom w:val="single" w:sz="8" w:color="auto"/>
            </w:tcBorders>
          </w:tcPr>
          <w:p>
            <w:pPr>
              <w:jc w:val="right"/>
              <w:ind w:right="1974"/>
              <w:spacing w:after="0"/>
              <w:rPr>
                <w:sz w:val="20"/>
                <w:szCs w:val="20"/>
                <w:color w:val="auto"/>
              </w:rPr>
            </w:pPr>
            <w:r>
              <w:rPr>
                <w:rFonts w:ascii="Arial" w:cs="Arial" w:eastAsia="Arial" w:hAnsi="Arial"/>
                <w:sz w:val="16"/>
                <w:szCs w:val="16"/>
                <w:b w:val="1"/>
                <w:bCs w:val="1"/>
                <w:color w:val="auto"/>
              </w:rPr>
              <w:t>52-2083046</w:t>
            </w:r>
          </w:p>
        </w:tc>
      </w:tr>
      <w:tr>
        <w:trPr>
          <w:trHeight w:val="134"/>
        </w:trPr>
        <w:tc>
          <w:tcPr>
            <w:tcW w:w="4380" w:type="dxa"/>
            <w:vAlign w:val="bottom"/>
            <w:gridSpan w:val="2"/>
          </w:tcPr>
          <w:p>
            <w:pPr>
              <w:jc w:val="center"/>
              <w:ind w:left="971"/>
              <w:spacing w:after="0"/>
              <w:rPr>
                <w:sz w:val="20"/>
                <w:szCs w:val="20"/>
                <w:color w:val="auto"/>
              </w:rPr>
            </w:pPr>
            <w:r>
              <w:rPr>
                <w:rFonts w:ascii="Arial" w:cs="Arial" w:eastAsia="Arial" w:hAnsi="Arial"/>
                <w:sz w:val="11"/>
                <w:szCs w:val="11"/>
                <w:color w:val="auto"/>
                <w:w w:val="96"/>
              </w:rPr>
              <w:t>(State or other jurisdiction of incorporation or organization)</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920" w:type="dxa"/>
            <w:vAlign w:val="bottom"/>
          </w:tcPr>
          <w:p>
            <w:pPr>
              <w:jc w:val="center"/>
              <w:spacing w:after="0"/>
              <w:rPr>
                <w:sz w:val="20"/>
                <w:szCs w:val="20"/>
                <w:color w:val="auto"/>
              </w:rPr>
            </w:pPr>
            <w:r>
              <w:rPr>
                <w:rFonts w:ascii="Arial" w:cs="Arial" w:eastAsia="Arial" w:hAnsi="Arial"/>
                <w:sz w:val="11"/>
                <w:szCs w:val="11"/>
                <w:color w:val="auto"/>
                <w:w w:val="96"/>
              </w:rPr>
              <w:t>(IRS Employer Identification No.)</w:t>
            </w:r>
          </w:p>
        </w:tc>
      </w:tr>
      <w:tr>
        <w:trPr>
          <w:trHeight w:val="228"/>
        </w:trPr>
        <w:tc>
          <w:tcPr>
            <w:tcW w:w="3200" w:type="dxa"/>
            <w:vAlign w:val="bottom"/>
          </w:tcPr>
          <w:p>
            <w:pPr>
              <w:jc w:val="center"/>
              <w:ind w:right="151"/>
              <w:spacing w:after="0"/>
              <w:rPr>
                <w:sz w:val="20"/>
                <w:szCs w:val="20"/>
                <w:color w:val="auto"/>
              </w:rPr>
            </w:pPr>
            <w:r>
              <w:rPr>
                <w:rFonts w:ascii="Arial" w:cs="Arial" w:eastAsia="Arial" w:hAnsi="Arial"/>
                <w:sz w:val="16"/>
                <w:szCs w:val="16"/>
                <w:b w:val="1"/>
                <w:bCs w:val="1"/>
                <w:color w:val="auto"/>
                <w:w w:val="99"/>
              </w:rPr>
              <w:t>2275 Research Boulevard</w:t>
            </w: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Suite 600</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214"/>
        </w:trPr>
        <w:tc>
          <w:tcPr>
            <w:tcW w:w="320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w w:val="99"/>
              </w:rPr>
              <w:t>Rockville</w:t>
            </w: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Maryland</w:t>
            </w:r>
          </w:p>
        </w:tc>
        <w:tc>
          <w:tcPr>
            <w:tcW w:w="10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20850</w:t>
            </w:r>
          </w:p>
        </w:tc>
        <w:tc>
          <w:tcPr>
            <w:tcW w:w="280" w:type="dxa"/>
            <w:vAlign w:val="bottom"/>
          </w:tcPr>
          <w:p>
            <w:pPr>
              <w:spacing w:after="0"/>
              <w:rPr>
                <w:sz w:val="18"/>
                <w:szCs w:val="18"/>
                <w:color w:val="auto"/>
              </w:rPr>
            </w:pPr>
          </w:p>
        </w:tc>
        <w:tc>
          <w:tcPr>
            <w:tcW w:w="4920" w:type="dxa"/>
            <w:vAlign w:val="bottom"/>
            <w:tcBorders>
              <w:bottom w:val="single" w:sz="8" w:color="auto"/>
            </w:tcBorders>
          </w:tcPr>
          <w:p>
            <w:pPr>
              <w:jc w:val="right"/>
              <w:ind w:right="2174"/>
              <w:spacing w:after="0"/>
              <w:rPr>
                <w:sz w:val="20"/>
                <w:szCs w:val="20"/>
                <w:color w:val="auto"/>
              </w:rPr>
            </w:pPr>
            <w:r>
              <w:rPr>
                <w:rFonts w:ascii="Arial" w:cs="Arial" w:eastAsia="Arial" w:hAnsi="Arial"/>
                <w:sz w:val="16"/>
                <w:szCs w:val="16"/>
                <w:b w:val="1"/>
                <w:bCs w:val="1"/>
                <w:color w:val="auto"/>
              </w:rPr>
              <w:t>20850</w:t>
            </w:r>
          </w:p>
        </w:tc>
      </w:tr>
      <w:tr>
        <w:trPr>
          <w:trHeight w:val="134"/>
        </w:trPr>
        <w:tc>
          <w:tcPr>
            <w:tcW w:w="4380" w:type="dxa"/>
            <w:vAlign w:val="bottom"/>
            <w:gridSpan w:val="2"/>
          </w:tcPr>
          <w:p>
            <w:pPr>
              <w:jc w:val="center"/>
              <w:ind w:left="971"/>
              <w:spacing w:after="0"/>
              <w:rPr>
                <w:sz w:val="20"/>
                <w:szCs w:val="20"/>
                <w:color w:val="auto"/>
              </w:rPr>
            </w:pPr>
            <w:r>
              <w:rPr>
                <w:rFonts w:ascii="Arial" w:cs="Arial" w:eastAsia="Arial" w:hAnsi="Arial"/>
                <w:sz w:val="11"/>
                <w:szCs w:val="11"/>
                <w:color w:val="auto"/>
                <w:w w:val="96"/>
              </w:rPr>
              <w:t>(Address of principal executive offices)</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920" w:type="dxa"/>
            <w:vAlign w:val="bottom"/>
          </w:tcPr>
          <w:p>
            <w:pPr>
              <w:jc w:val="center"/>
              <w:spacing w:after="0"/>
              <w:rPr>
                <w:sz w:val="20"/>
                <w:szCs w:val="20"/>
                <w:color w:val="auto"/>
              </w:rPr>
            </w:pPr>
            <w:r>
              <w:rPr>
                <w:rFonts w:ascii="Arial" w:cs="Arial" w:eastAsia="Arial" w:hAnsi="Arial"/>
                <w:sz w:val="11"/>
                <w:szCs w:val="11"/>
                <w:color w:val="auto"/>
                <w:w w:val="96"/>
              </w:rPr>
              <w:t>(Zip Code)</w:t>
            </w:r>
          </w:p>
        </w:tc>
      </w:tr>
    </w:tbl>
    <w:p>
      <w:pPr>
        <w:spacing w:after="0" w:line="392" w:lineRule="exact"/>
        <w:rPr>
          <w:sz w:val="24"/>
          <w:szCs w:val="24"/>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(301) 468-8848</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 Applicable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236" w:lineRule="exact"/>
        <w:rPr>
          <w:sz w:val="24"/>
          <w:szCs w:val="24"/>
          <w:color w:val="auto"/>
        </w:rPr>
      </w:pPr>
    </w:p>
    <w:p>
      <w:pPr>
        <w:jc w:val="both"/>
        <w:ind w:firstLine="235"/>
        <w:spacing w:after="0" w:line="19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218" w:lineRule="exact"/>
        <w:rPr>
          <w:sz w:val="24"/>
          <w:szCs w:val="24"/>
          <w:color w:val="auto"/>
        </w:rPr>
      </w:pPr>
    </w:p>
    <w:p>
      <w:pPr>
        <w:jc w:val="both"/>
        <w:ind w:firstLine="254"/>
        <w:spacing w:after="0" w:line="23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540"/>
        <w:spacing w:after="0" w:line="184" w:lineRule="exact"/>
        <w:rPr>
          <w:sz w:val="20"/>
          <w:szCs w:val="20"/>
          <w:color w:val="auto"/>
        </w:rPr>
      </w:pPr>
      <w:r>
        <w:rPr>
          <w:rFonts w:ascii="Arial" w:cs="Arial" w:eastAsia="Arial" w:hAnsi="Arial"/>
          <w:sz w:val="16"/>
          <w:szCs w:val="16"/>
          <w:color w:val="auto"/>
        </w:rPr>
        <w:t xml:space="preserve">Yes x No </w:t>
      </w:r>
      <w:r>
        <w:rPr>
          <w:rFonts w:ascii="MS PGothic" w:cs="MS PGothic" w:eastAsia="MS PGothic" w:hAnsi="MS PGothic"/>
          <w:sz w:val="16"/>
          <w:szCs w:val="16"/>
          <w:color w:val="auto"/>
        </w:rPr>
        <w:t>☐</w:t>
      </w:r>
    </w:p>
    <w:p>
      <w:pPr>
        <w:spacing w:after="0" w:line="217" w:lineRule="exact"/>
        <w:rPr>
          <w:sz w:val="24"/>
          <w:szCs w:val="24"/>
          <w:color w:val="auto"/>
        </w:rPr>
      </w:pPr>
    </w:p>
    <w:p>
      <w:pPr>
        <w:jc w:val="both"/>
        <w:ind w:firstLine="234"/>
        <w:spacing w:after="0" w:line="24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91" w:lineRule="exact"/>
        <w:rPr>
          <w:sz w:val="24"/>
          <w:szCs w:val="24"/>
          <w:color w:val="auto"/>
        </w:rPr>
      </w:pPr>
    </w:p>
    <w:tbl>
      <w:tblPr>
        <w:tblLayout w:type="fixed"/>
        <w:tblInd w:w="2180" w:type="dxa"/>
        <w:tblCellMar>
          <w:top w:w="0" w:type="dxa"/>
          <w:left w:w="0" w:type="dxa"/>
          <w:bottom w:w="0" w:type="dxa"/>
          <w:right w:w="0" w:type="dxa"/>
        </w:tblCellMar>
      </w:tblPr>
      <w:tr>
        <w:trPr>
          <w:trHeight w:val="225"/>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100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5"/>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1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100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80" w:type="dxa"/>
            <w:vAlign w:val="bottom"/>
          </w:tcPr>
          <w:p>
            <w:pPr>
              <w:ind w:left="100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88" w:lineRule="exact"/>
        <w:rPr>
          <w:sz w:val="24"/>
          <w:szCs w:val="24"/>
          <w:color w:val="auto"/>
        </w:rPr>
      </w:pPr>
    </w:p>
    <w:p>
      <w:pPr>
        <w:spacing w:after="0" w:line="19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982345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4" w:lineRule="exact"/>
        <w:rPr>
          <w:sz w:val="20"/>
          <w:szCs w:val="20"/>
          <w:color w:val="auto"/>
        </w:rPr>
      </w:pPr>
    </w:p>
    <w:p>
      <w:pPr>
        <w:spacing w:after="0" w:line="184" w:lineRule="exact"/>
        <w:tabs>
          <w:tab w:leader="none" w:pos="8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18" w:lineRule="exact"/>
        <w:rPr>
          <w:sz w:val="20"/>
          <w:szCs w:val="20"/>
          <w:color w:val="auto"/>
        </w:rPr>
      </w:pPr>
    </w:p>
    <w:tbl>
      <w:tblPr>
        <w:tblLayout w:type="fixed"/>
        <w:tblInd w:w="370" w:type="dxa"/>
        <w:tblCellMar>
          <w:top w:w="0" w:type="dxa"/>
          <w:left w:w="0" w:type="dxa"/>
          <w:bottom w:w="0" w:type="dxa"/>
          <w:right w:w="0" w:type="dxa"/>
        </w:tblCellMar>
      </w:tblPr>
      <w:tr>
        <w:trPr>
          <w:trHeight w:val="186"/>
        </w:trPr>
        <w:tc>
          <w:tcPr>
            <w:tcW w:w="900" w:type="dxa"/>
            <w:vAlign w:val="bottom"/>
            <w:tcBorders>
              <w:top w:val="single" w:sz="8" w:color="auto"/>
              <w:left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0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left="221"/>
              <w:spacing w:after="0"/>
              <w:rPr>
                <w:sz w:val="20"/>
                <w:szCs w:val="20"/>
                <w:color w:val="auto"/>
              </w:rPr>
            </w:pPr>
            <w:r>
              <w:rPr>
                <w:rFonts w:ascii="Arial" w:cs="Arial" w:eastAsia="Arial" w:hAnsi="Arial"/>
                <w:sz w:val="16"/>
                <w:szCs w:val="16"/>
                <w:color w:val="auto"/>
                <w:w w:val="97"/>
              </w:rPr>
              <w:t>Trading Symbol(s)</w:t>
            </w:r>
          </w:p>
        </w:tc>
        <w:tc>
          <w:tcPr>
            <w:tcW w:w="5720" w:type="dxa"/>
            <w:vAlign w:val="bottom"/>
            <w:tcBorders>
              <w:top w:val="single" w:sz="8" w:color="auto"/>
              <w:right w:val="single" w:sz="8" w:color="auto"/>
            </w:tcBorders>
            <w:gridSpan w:val="3"/>
          </w:tcPr>
          <w:p>
            <w:pPr>
              <w:jc w:val="center"/>
              <w:ind w:left="381"/>
              <w:spacing w:after="0"/>
              <w:rPr>
                <w:sz w:val="20"/>
                <w:szCs w:val="20"/>
                <w:color w:val="auto"/>
              </w:rPr>
            </w:pPr>
            <w:r>
              <w:rPr>
                <w:rFonts w:ascii="Arial" w:cs="Arial" w:eastAsia="Arial" w:hAnsi="Arial"/>
                <w:sz w:val="16"/>
                <w:szCs w:val="16"/>
                <w:color w:val="auto"/>
                <w:w w:val="99"/>
              </w:rPr>
              <w:t>Name of each exchange on which registered</w:t>
            </w:r>
          </w:p>
        </w:tc>
      </w:tr>
      <w:tr>
        <w:trPr>
          <w:trHeight w:val="20"/>
        </w:trPr>
        <w:tc>
          <w:tcPr>
            <w:tcW w:w="900" w:type="dxa"/>
            <w:vAlign w:val="bottom"/>
            <w:tcBorders>
              <w:lef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r>
      <w:tr>
        <w:trPr>
          <w:trHeight w:val="204"/>
        </w:trPr>
        <w:tc>
          <w:tcPr>
            <w:tcW w:w="3260" w:type="dxa"/>
            <w:vAlign w:val="bottom"/>
            <w:tcBorders>
              <w:left w:val="single" w:sz="8" w:color="auto"/>
            </w:tcBorders>
            <w:gridSpan w:val="3"/>
          </w:tcPr>
          <w:p>
            <w:pPr>
              <w:jc w:val="center"/>
              <w:ind w:right="180"/>
              <w:spacing w:after="0" w:line="205" w:lineRule="exact"/>
              <w:rPr>
                <w:sz w:val="20"/>
                <w:szCs w:val="20"/>
                <w:color w:val="auto"/>
              </w:rPr>
            </w:pPr>
            <w:r>
              <w:rPr>
                <w:rFonts w:ascii="Arial" w:cs="Arial" w:eastAsia="Arial" w:hAnsi="Arial"/>
                <w:sz w:val="18"/>
                <w:szCs w:val="18"/>
                <w:color w:val="auto"/>
                <w:w w:val="98"/>
              </w:rPr>
              <w:t>Common Stock, par value $0.01 per</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12"/>
        </w:trPr>
        <w:tc>
          <w:tcPr>
            <w:tcW w:w="900" w:type="dxa"/>
            <w:vAlign w:val="bottom"/>
            <w:tcBorders>
              <w:left w:val="single" w:sz="8" w:color="auto"/>
              <w:bottom w:val="single" w:sz="8" w:color="auto"/>
            </w:tcBorders>
          </w:tcPr>
          <w:p>
            <w:pPr>
              <w:spacing w:after="0"/>
              <w:rPr>
                <w:sz w:val="18"/>
                <w:szCs w:val="18"/>
                <w:color w:val="auto"/>
              </w:rPr>
            </w:pPr>
          </w:p>
        </w:tc>
        <w:tc>
          <w:tcPr>
            <w:tcW w:w="2360" w:type="dxa"/>
            <w:vAlign w:val="bottom"/>
            <w:tcBorders>
              <w:bottom w:val="single" w:sz="8" w:color="auto"/>
            </w:tcBorders>
            <w:gridSpan w:val="2"/>
          </w:tcPr>
          <w:p>
            <w:pPr>
              <w:jc w:val="center"/>
              <w:ind w:right="1080"/>
              <w:spacing w:after="0"/>
              <w:rPr>
                <w:sz w:val="20"/>
                <w:szCs w:val="20"/>
                <w:color w:val="auto"/>
              </w:rPr>
            </w:pPr>
            <w:r>
              <w:rPr>
                <w:rFonts w:ascii="Arial" w:cs="Arial" w:eastAsia="Arial" w:hAnsi="Arial"/>
                <w:sz w:val="18"/>
                <w:szCs w:val="18"/>
                <w:color w:val="auto"/>
                <w:w w:val="97"/>
              </w:rPr>
              <w:t>share</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CBNK</w:t>
            </w:r>
          </w:p>
        </w:tc>
        <w:tc>
          <w:tcPr>
            <w:tcW w:w="152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gridSpan w:val="2"/>
          </w:tcPr>
          <w:p>
            <w:pPr>
              <w:jc w:val="center"/>
              <w:ind w:right="1060"/>
              <w:spacing w:after="0"/>
              <w:rPr>
                <w:sz w:val="20"/>
                <w:szCs w:val="20"/>
                <w:color w:val="auto"/>
              </w:rPr>
            </w:pPr>
            <w:r>
              <w:rPr>
                <w:rFonts w:ascii="Arial" w:cs="Arial" w:eastAsia="Arial" w:hAnsi="Arial"/>
                <w:sz w:val="18"/>
                <w:szCs w:val="18"/>
                <w:color w:val="auto"/>
                <w:w w:val="97"/>
              </w:rPr>
              <w:t>NASDAQ Stock Market</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As of August 5, 2020, the Company had 13,783,915 shares of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996950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2" w:name="page3"/>
    <w:bookmarkEnd w:id="2"/>
    <w:p>
      <w:pPr>
        <w:jc w:val="center"/>
        <w:ind w:left="9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40"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Form 10-Q</w:t>
      </w:r>
    </w:p>
    <w:p>
      <w:pPr>
        <w:spacing w:after="0" w:line="10"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12065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100" w:type="dxa"/>
            <w:vAlign w:val="bottom"/>
            <w:gridSpan w:val="2"/>
          </w:tcPr>
          <w:p>
            <w:pPr>
              <w:ind w:left="660"/>
              <w:spacing w:after="0"/>
              <w:rPr>
                <w:sz w:val="20"/>
                <w:szCs w:val="20"/>
                <w:color w:val="auto"/>
              </w:rPr>
            </w:pPr>
            <w:r>
              <w:rPr>
                <w:rFonts w:ascii="Arial" w:cs="Arial" w:eastAsia="Arial" w:hAnsi="Arial"/>
                <w:sz w:val="16"/>
                <w:szCs w:val="16"/>
                <w:b w:val="1"/>
                <w:bCs w:val="1"/>
                <w:color w:val="auto"/>
              </w:rPr>
              <w:t>PART I - CONSOLIDATED FINANCIAL INFORMATION</w:t>
            </w: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Pa</w:t>
            </w:r>
          </w:p>
        </w:tc>
      </w:tr>
      <w:tr>
        <w:trPr>
          <w:trHeight w:val="227"/>
        </w:trPr>
        <w:tc>
          <w:tcPr>
            <w:tcW w:w="1560" w:type="dxa"/>
            <w:vAlign w:val="bottom"/>
          </w:tcPr>
          <w:p>
            <w:pPr>
              <w:ind w:left="660"/>
              <w:spacing w:after="0"/>
              <w:rPr>
                <w:sz w:val="20"/>
                <w:szCs w:val="20"/>
                <w:color w:val="auto"/>
              </w:rPr>
            </w:pPr>
            <w:r>
              <w:rPr>
                <w:rFonts w:ascii="Arial" w:cs="Arial" w:eastAsia="Arial" w:hAnsi="Arial"/>
                <w:sz w:val="16"/>
                <w:szCs w:val="16"/>
                <w:color w:val="auto"/>
              </w:rPr>
              <w:t>Item 1.</w:t>
            </w:r>
          </w:p>
        </w:tc>
        <w:tc>
          <w:tcPr>
            <w:tcW w:w="9540" w:type="dxa"/>
            <w:vAlign w:val="bottom"/>
          </w:tcPr>
          <w:p>
            <w:pPr>
              <w:ind w:left="320"/>
              <w:spacing w:after="0"/>
              <w:rPr>
                <w:sz w:val="20"/>
                <w:szCs w:val="20"/>
                <w:color w:val="auto"/>
              </w:rPr>
            </w:pPr>
            <w:r>
              <w:rPr>
                <w:rFonts w:ascii="Arial" w:cs="Arial" w:eastAsia="Arial" w:hAnsi="Arial"/>
                <w:sz w:val="16"/>
                <w:szCs w:val="16"/>
                <w:color w:val="auto"/>
              </w:rPr>
              <w:t>Consolidated Financial Statements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4">
              <w:r>
                <w:rPr>
                  <w:rFonts w:ascii="Arial" w:cs="Arial" w:eastAsia="Arial" w:hAnsi="Arial"/>
                  <w:sz w:val="16"/>
                  <w:szCs w:val="16"/>
                  <w:color w:val="auto"/>
                </w:rPr>
                <w:t>Consolidated Balance Sheets</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4">
              <w:r>
                <w:rPr>
                  <w:rFonts w:ascii="Arial" w:cs="Arial" w:eastAsia="Arial" w:hAnsi="Arial"/>
                  <w:sz w:val="16"/>
                  <w:szCs w:val="16"/>
                  <w:color w:val="auto"/>
                </w:rPr>
                <w:t>Consolidated Statements of Income</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5">
              <w:r>
                <w:rPr>
                  <w:rFonts w:ascii="Arial" w:cs="Arial" w:eastAsia="Arial" w:hAnsi="Arial"/>
                  <w:sz w:val="16"/>
                  <w:szCs w:val="16"/>
                  <w:color w:val="auto"/>
                </w:rPr>
                <w:t>Consolidated Statements of Comprehensive Income</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6">
              <w:r>
                <w:rPr>
                  <w:rFonts w:ascii="Arial" w:cs="Arial" w:eastAsia="Arial" w:hAnsi="Arial"/>
                  <w:sz w:val="16"/>
                  <w:szCs w:val="16"/>
                  <w:color w:val="auto"/>
                </w:rPr>
                <w:t>Consolidated Statements of Changes in Stockholders’ Equity</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7">
              <w:r>
                <w:rPr>
                  <w:rFonts w:ascii="Arial" w:cs="Arial" w:eastAsia="Arial" w:hAnsi="Arial"/>
                  <w:sz w:val="16"/>
                  <w:szCs w:val="16"/>
                  <w:color w:val="auto"/>
                </w:rPr>
                <w:t>Consolidated Statements of Cash Flows</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9">
              <w:r>
                <w:rPr>
                  <w:rFonts w:ascii="Arial" w:cs="Arial" w:eastAsia="Arial" w:hAnsi="Arial"/>
                  <w:sz w:val="16"/>
                  <w:szCs w:val="16"/>
                  <w:color w:val="auto"/>
                </w:rPr>
                <w:t>Notes to Consolidated Financial Statements</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2.</w:t>
            </w:r>
          </w:p>
        </w:tc>
        <w:tc>
          <w:tcPr>
            <w:tcW w:w="9540" w:type="dxa"/>
            <w:vAlign w:val="bottom"/>
          </w:tcPr>
          <w:p>
            <w:pPr>
              <w:ind w:left="3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3.</w:t>
            </w:r>
          </w:p>
        </w:tc>
        <w:tc>
          <w:tcPr>
            <w:tcW w:w="9540" w:type="dxa"/>
            <w:vAlign w:val="bottom"/>
          </w:tcPr>
          <w:p>
            <w:pPr>
              <w:ind w:left="320"/>
              <w:spacing w:after="0"/>
              <w:rPr>
                <w:sz w:val="20"/>
                <w:szCs w:val="20"/>
                <w:color w:val="auto"/>
              </w:rPr>
            </w:pPr>
            <w:r>
              <w:rPr>
                <w:rFonts w:ascii="Arial" w:cs="Arial" w:eastAsia="Arial" w:hAnsi="Arial"/>
                <w:sz w:val="16"/>
                <w:szCs w:val="16"/>
                <w:color w:val="auto"/>
              </w:rPr>
              <w:t>Quantitative and Qualitative Disclosures about Market Risk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4.</w:t>
            </w:r>
          </w:p>
        </w:tc>
        <w:tc>
          <w:tcPr>
            <w:tcW w:w="9540" w:type="dxa"/>
            <w:vAlign w:val="bottom"/>
          </w:tcPr>
          <w:p>
            <w:pPr>
              <w:ind w:left="320"/>
              <w:spacing w:after="0"/>
              <w:rPr>
                <w:sz w:val="20"/>
                <w:szCs w:val="20"/>
                <w:color w:val="auto"/>
              </w:rPr>
            </w:pPr>
            <w:r>
              <w:rPr>
                <w:rFonts w:ascii="Arial" w:cs="Arial" w:eastAsia="Arial" w:hAnsi="Arial"/>
                <w:sz w:val="16"/>
                <w:szCs w:val="16"/>
                <w:color w:val="auto"/>
              </w:rPr>
              <w:t>Controls and Procedures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1100" w:type="dxa"/>
            <w:vAlign w:val="bottom"/>
            <w:gridSpan w:val="2"/>
          </w:tcPr>
          <w:p>
            <w:pPr>
              <w:ind w:left="660"/>
              <w:spacing w:after="0"/>
              <w:rPr>
                <w:sz w:val="20"/>
                <w:szCs w:val="20"/>
                <w:color w:val="auto"/>
              </w:rPr>
            </w:pPr>
            <w:r>
              <w:rPr>
                <w:rFonts w:ascii="Arial" w:cs="Arial" w:eastAsia="Arial" w:hAnsi="Arial"/>
                <w:sz w:val="16"/>
                <w:szCs w:val="16"/>
                <w:b w:val="1"/>
                <w:bCs w:val="1"/>
                <w:color w:val="auto"/>
              </w:rPr>
              <w:t>PART II - OTHER INFORMATION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1.</w:t>
            </w:r>
          </w:p>
        </w:tc>
        <w:tc>
          <w:tcPr>
            <w:tcW w:w="9540" w:type="dxa"/>
            <w:vAlign w:val="bottom"/>
          </w:tcPr>
          <w:p>
            <w:pPr>
              <w:ind w:left="320"/>
              <w:spacing w:after="0"/>
              <w:rPr>
                <w:sz w:val="20"/>
                <w:szCs w:val="20"/>
                <w:color w:val="auto"/>
              </w:rPr>
            </w:pPr>
            <w:r>
              <w:rPr>
                <w:rFonts w:ascii="Arial" w:cs="Arial" w:eastAsia="Arial" w:hAnsi="Arial"/>
                <w:sz w:val="16"/>
                <w:szCs w:val="16"/>
                <w:color w:val="auto"/>
              </w:rPr>
              <w:t>Legal Proceedings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1A.</w:t>
            </w:r>
          </w:p>
        </w:tc>
        <w:tc>
          <w:tcPr>
            <w:tcW w:w="9540" w:type="dxa"/>
            <w:vAlign w:val="bottom"/>
          </w:tcPr>
          <w:p>
            <w:pPr>
              <w:ind w:left="320"/>
              <w:spacing w:after="0"/>
              <w:rPr>
                <w:sz w:val="20"/>
                <w:szCs w:val="20"/>
                <w:color w:val="auto"/>
              </w:rPr>
            </w:pPr>
            <w:r>
              <w:rPr>
                <w:rFonts w:ascii="Arial" w:cs="Arial" w:eastAsia="Arial" w:hAnsi="Arial"/>
                <w:sz w:val="16"/>
                <w:szCs w:val="16"/>
                <w:color w:val="auto"/>
              </w:rPr>
              <w:t>Risk Factors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2.</w:t>
            </w:r>
          </w:p>
        </w:tc>
        <w:tc>
          <w:tcPr>
            <w:tcW w:w="9540" w:type="dxa"/>
            <w:vAlign w:val="bottom"/>
          </w:tcPr>
          <w:p>
            <w:pPr>
              <w:ind w:left="320"/>
              <w:spacing w:after="0"/>
              <w:rPr>
                <w:sz w:val="20"/>
                <w:szCs w:val="20"/>
                <w:color w:val="auto"/>
              </w:rPr>
            </w:pPr>
            <w:r>
              <w:rPr>
                <w:rFonts w:ascii="Arial" w:cs="Arial" w:eastAsia="Arial" w:hAnsi="Arial"/>
                <w:sz w:val="16"/>
                <w:szCs w:val="16"/>
                <w:color w:val="auto"/>
              </w:rPr>
              <w:t>Unregistered Sales of Equity Securities and Use of Proceeds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3.</w:t>
            </w:r>
          </w:p>
        </w:tc>
        <w:tc>
          <w:tcPr>
            <w:tcW w:w="9540" w:type="dxa"/>
            <w:vAlign w:val="bottom"/>
          </w:tcPr>
          <w:p>
            <w:pPr>
              <w:ind w:left="320"/>
              <w:spacing w:after="0"/>
              <w:rPr>
                <w:sz w:val="20"/>
                <w:szCs w:val="20"/>
                <w:color w:val="auto"/>
              </w:rPr>
            </w:pPr>
            <w:r>
              <w:rPr>
                <w:rFonts w:ascii="Arial" w:cs="Arial" w:eastAsia="Arial" w:hAnsi="Arial"/>
                <w:sz w:val="16"/>
                <w:szCs w:val="16"/>
                <w:color w:val="auto"/>
              </w:rPr>
              <w:t>Defaults upon Senior 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4.</w:t>
            </w:r>
          </w:p>
        </w:tc>
        <w:tc>
          <w:tcPr>
            <w:tcW w:w="9540" w:type="dxa"/>
            <w:vAlign w:val="bottom"/>
          </w:tcPr>
          <w:p>
            <w:pPr>
              <w:ind w:left="320"/>
              <w:spacing w:after="0"/>
              <w:rPr>
                <w:sz w:val="20"/>
                <w:szCs w:val="20"/>
                <w:color w:val="auto"/>
              </w:rPr>
            </w:pPr>
            <w:r>
              <w:rPr>
                <w:rFonts w:ascii="Arial" w:cs="Arial" w:eastAsia="Arial" w:hAnsi="Arial"/>
                <w:sz w:val="16"/>
                <w:szCs w:val="16"/>
                <w:color w:val="auto"/>
              </w:rPr>
              <w:t>Mine Safety Disclosures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5.</w:t>
            </w:r>
          </w:p>
        </w:tc>
        <w:tc>
          <w:tcPr>
            <w:tcW w:w="9540" w:type="dxa"/>
            <w:vAlign w:val="bottom"/>
          </w:tcPr>
          <w:p>
            <w:pPr>
              <w:ind w:left="320"/>
              <w:spacing w:after="0"/>
              <w:rPr>
                <w:sz w:val="20"/>
                <w:szCs w:val="20"/>
                <w:color w:val="auto"/>
              </w:rPr>
            </w:pPr>
            <w:r>
              <w:rPr>
                <w:rFonts w:ascii="Arial" w:cs="Arial" w:eastAsia="Arial" w:hAnsi="Arial"/>
                <w:sz w:val="16"/>
                <w:szCs w:val="16"/>
                <w:color w:val="auto"/>
              </w:rPr>
              <w:t>Other Information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6.</w:t>
            </w:r>
          </w:p>
        </w:tc>
        <w:tc>
          <w:tcPr>
            <w:tcW w:w="9540" w:type="dxa"/>
            <w:vAlign w:val="bottom"/>
          </w:tcPr>
          <w:p>
            <w:pPr>
              <w:ind w:left="320"/>
              <w:spacing w:after="0"/>
              <w:rPr>
                <w:sz w:val="20"/>
                <w:szCs w:val="20"/>
                <w:color w:val="auto"/>
              </w:rPr>
            </w:pPr>
            <w:r>
              <w:rPr>
                <w:rFonts w:ascii="Arial" w:cs="Arial" w:eastAsia="Arial" w:hAnsi="Arial"/>
                <w:sz w:val="16"/>
                <w:szCs w:val="16"/>
                <w:color w:val="auto"/>
              </w:rPr>
              <w:t>Exhibits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218"/>
        </w:trPr>
        <w:tc>
          <w:tcPr>
            <w:tcW w:w="156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37" w:right="239" w:bottom="1440" w:gutter="0" w:footer="0" w:header="0"/>
        </w:sectPr>
      </w:pPr>
    </w:p>
    <w:bookmarkStart w:id="3" w:name="page4"/>
    <w:bookmarkEnd w:id="3"/>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-179070</wp:posOffset>
            </wp:positionV>
            <wp:extent cx="71177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7715" cy="171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rPr>
              <w:t>June 30, 2021</w:t>
            </w:r>
          </w:p>
        </w:tc>
        <w:tc>
          <w:tcPr>
            <w:tcW w:w="1260" w:type="dxa"/>
            <w:vAlign w:val="bottom"/>
            <w:tcBorders>
              <w:top w:val="single" w:sz="8" w:color="auto"/>
            </w:tcBorders>
            <w:gridSpan w:val="2"/>
          </w:tcPr>
          <w:p>
            <w:pPr>
              <w:jc w:val="right"/>
              <w:ind w:right="10"/>
              <w:spacing w:after="0" w:line="133" w:lineRule="exact"/>
              <w:rPr>
                <w:sz w:val="20"/>
                <w:szCs w:val="20"/>
                <w:color w:val="auto"/>
              </w:rPr>
            </w:pPr>
            <w:r>
              <w:rPr>
                <w:rFonts w:ascii="Arial" w:cs="Arial" w:eastAsia="Arial" w:hAnsi="Arial"/>
                <w:sz w:val="12"/>
                <w:szCs w:val="12"/>
                <w:b w:val="1"/>
                <w:bCs w:val="1"/>
                <w:color w:val="auto"/>
              </w:rPr>
              <w:t>December 31, 2020</w:t>
            </w:r>
          </w:p>
        </w:tc>
      </w:tr>
      <w:tr>
        <w:trPr>
          <w:trHeight w:val="166"/>
        </w:trPr>
        <w:tc>
          <w:tcPr>
            <w:tcW w:w="8600" w:type="dxa"/>
            <w:vAlign w:val="bottom"/>
          </w:tcPr>
          <w:p>
            <w:pPr>
              <w:ind w:left="20"/>
              <w:spacing w:after="0"/>
              <w:rPr>
                <w:sz w:val="20"/>
                <w:szCs w:val="20"/>
                <w:color w:val="auto"/>
              </w:rPr>
            </w:pPr>
            <w:r>
              <w:rPr>
                <w:rFonts w:ascii="Arial" w:cs="Arial" w:eastAsia="Arial" w:hAnsi="Arial"/>
                <w:sz w:val="11"/>
                <w:szCs w:val="11"/>
                <w:color w:val="auto"/>
              </w:rPr>
              <w:t>(in thousands except share data)</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(unaudited)</w:t>
            </w:r>
          </w:p>
        </w:tc>
        <w:tc>
          <w:tcPr>
            <w:tcW w:w="240" w:type="dxa"/>
            <w:vAlign w:val="bottom"/>
          </w:tcPr>
          <w:p>
            <w:pPr>
              <w:spacing w:after="0"/>
              <w:rPr>
                <w:sz w:val="14"/>
                <w:szCs w:val="14"/>
                <w:color w:val="auto"/>
              </w:rPr>
            </w:pPr>
          </w:p>
        </w:tc>
        <w:tc>
          <w:tcPr>
            <w:tcW w:w="1020" w:type="dxa"/>
            <w:vAlign w:val="bottom"/>
          </w:tcPr>
          <w:p>
            <w:pPr>
              <w:jc w:val="right"/>
              <w:ind w:right="290"/>
              <w:spacing w:after="0"/>
              <w:rPr>
                <w:sz w:val="20"/>
                <w:szCs w:val="20"/>
                <w:color w:val="auto"/>
              </w:rPr>
            </w:pPr>
            <w:r>
              <w:rPr>
                <w:rFonts w:ascii="Arial" w:cs="Arial" w:eastAsia="Arial" w:hAnsi="Arial"/>
                <w:sz w:val="12"/>
                <w:szCs w:val="12"/>
                <w:b w:val="1"/>
                <w:bCs w:val="1"/>
                <w:color w:val="auto"/>
              </w:rPr>
              <w:t>(audited)</w:t>
            </w:r>
          </w:p>
        </w:tc>
      </w:tr>
      <w:tr>
        <w:trPr>
          <w:trHeight w:val="172"/>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185"/>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due from banks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19,691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18,456</w:t>
            </w:r>
          </w:p>
        </w:tc>
      </w:tr>
      <w:tr>
        <w:trPr>
          <w:trHeight w:val="186"/>
        </w:trPr>
        <w:tc>
          <w:tcPr>
            <w:tcW w:w="8600" w:type="dxa"/>
            <w:vAlign w:val="bottom"/>
          </w:tcPr>
          <w:p>
            <w:pPr>
              <w:ind w:left="20"/>
              <w:spacing w:after="0"/>
              <w:rPr>
                <w:sz w:val="20"/>
                <w:szCs w:val="20"/>
                <w:color w:val="auto"/>
              </w:rPr>
            </w:pPr>
            <w:r>
              <w:rPr>
                <w:rFonts w:ascii="Arial" w:cs="Arial" w:eastAsia="Arial" w:hAnsi="Arial"/>
                <w:sz w:val="14"/>
                <w:szCs w:val="14"/>
                <w:color w:val="auto"/>
              </w:rPr>
              <w:t>Interest bearing deposits at other financial institutions</w:t>
            </w:r>
          </w:p>
        </w:tc>
        <w:tc>
          <w:tcPr>
            <w:tcW w:w="16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b w:val="1"/>
                <w:bCs w:val="1"/>
                <w:color w:val="auto"/>
              </w:rPr>
              <w:t>286,738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126,081</w:t>
            </w:r>
          </w:p>
        </w:tc>
      </w:tr>
      <w:tr>
        <w:trPr>
          <w:trHeight w:val="186"/>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 funds sold</w:t>
            </w: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2,237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2,373</w:t>
            </w:r>
          </w:p>
        </w:tc>
      </w:tr>
      <w:tr>
        <w:trPr>
          <w:trHeight w:val="179"/>
        </w:trPr>
        <w:tc>
          <w:tcPr>
            <w:tcW w:w="8600" w:type="dxa"/>
            <w:vAlign w:val="bottom"/>
          </w:tcPr>
          <w:p>
            <w:pPr>
              <w:ind w:left="500"/>
              <w:spacing w:after="0"/>
              <w:rPr>
                <w:sz w:val="20"/>
                <w:szCs w:val="20"/>
                <w:color w:val="auto"/>
              </w:rPr>
            </w:pPr>
            <w:r>
              <w:rPr>
                <w:rFonts w:ascii="Arial" w:cs="Arial" w:eastAsia="Arial" w:hAnsi="Arial"/>
                <w:sz w:val="14"/>
                <w:szCs w:val="14"/>
                <w:color w:val="auto"/>
              </w:rPr>
              <w:t>Total cash and cash equivalents</w:t>
            </w:r>
          </w:p>
        </w:tc>
        <w:tc>
          <w:tcPr>
            <w:tcW w:w="16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b w:val="1"/>
                <w:bCs w:val="1"/>
                <w:color w:val="auto"/>
              </w:rPr>
              <w:t>308,666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146,910</w:t>
            </w:r>
          </w:p>
        </w:tc>
      </w:tr>
      <w:tr>
        <w:trPr>
          <w:trHeight w:val="186"/>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securities available for sale</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160,515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99,787</w:t>
            </w:r>
          </w:p>
        </w:tc>
      </w:tr>
      <w:tr>
        <w:trPr>
          <w:trHeight w:val="186"/>
        </w:trPr>
        <w:tc>
          <w:tcPr>
            <w:tcW w:w="8600" w:type="dxa"/>
            <w:vAlign w:val="bottom"/>
          </w:tcPr>
          <w:p>
            <w:pPr>
              <w:ind w:left="20"/>
              <w:spacing w:after="0"/>
              <w:rPr>
                <w:sz w:val="20"/>
                <w:szCs w:val="20"/>
                <w:color w:val="auto"/>
              </w:rPr>
            </w:pPr>
            <w:r>
              <w:rPr>
                <w:rFonts w:ascii="Arial" w:cs="Arial" w:eastAsia="Arial" w:hAnsi="Arial"/>
                <w:sz w:val="14"/>
                <w:szCs w:val="14"/>
                <w:color w:val="auto"/>
              </w:rPr>
              <w:t>Marketable equity securities</w:t>
            </w:r>
          </w:p>
        </w:tc>
        <w:tc>
          <w:tcPr>
            <w:tcW w:w="16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b w:val="1"/>
                <w:bCs w:val="1"/>
                <w:color w:val="auto"/>
              </w:rPr>
              <w:t>245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245</w:t>
            </w:r>
          </w:p>
        </w:tc>
      </w:tr>
      <w:tr>
        <w:trPr>
          <w:trHeight w:val="185"/>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investments</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3,478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3,713</w:t>
            </w:r>
          </w:p>
        </w:tc>
      </w:tr>
      <w:tr>
        <w:trPr>
          <w:trHeight w:val="186"/>
        </w:trPr>
        <w:tc>
          <w:tcPr>
            <w:tcW w:w="8600" w:type="dxa"/>
            <w:vAlign w:val="bottom"/>
          </w:tcPr>
          <w:p>
            <w:pPr>
              <w:ind w:left="20"/>
              <w:spacing w:after="0"/>
              <w:rPr>
                <w:sz w:val="20"/>
                <w:szCs w:val="20"/>
                <w:color w:val="auto"/>
              </w:rPr>
            </w:pPr>
            <w:r>
              <w:rPr>
                <w:rFonts w:ascii="Arial" w:cs="Arial" w:eastAsia="Arial" w:hAnsi="Arial"/>
                <w:sz w:val="14"/>
                <w:szCs w:val="14"/>
                <w:color w:val="auto"/>
              </w:rPr>
              <w:t>Loans held for sale</w:t>
            </w:r>
          </w:p>
        </w:tc>
        <w:tc>
          <w:tcPr>
            <w:tcW w:w="16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b w:val="1"/>
                <w:bCs w:val="1"/>
                <w:color w:val="auto"/>
              </w:rPr>
              <w:t>47,935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107,154</w:t>
            </w:r>
          </w:p>
        </w:tc>
      </w:tr>
      <w:tr>
        <w:trPr>
          <w:trHeight w:val="185"/>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Small Business Administration Payroll Protection Program (“SBA-PPP”) loans receivable, net of fees</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202,763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201,018</w:t>
            </w:r>
          </w:p>
        </w:tc>
      </w:tr>
      <w:tr>
        <w:trPr>
          <w:trHeight w:val="186"/>
        </w:trPr>
        <w:tc>
          <w:tcPr>
            <w:tcW w:w="8600" w:type="dxa"/>
            <w:vAlign w:val="bottom"/>
          </w:tcPr>
          <w:p>
            <w:pPr>
              <w:ind w:left="20"/>
              <w:spacing w:after="0"/>
              <w:rPr>
                <w:sz w:val="20"/>
                <w:szCs w:val="20"/>
                <w:color w:val="auto"/>
              </w:rPr>
            </w:pPr>
            <w:r>
              <w:rPr>
                <w:rFonts w:ascii="Arial" w:cs="Arial" w:eastAsia="Arial" w:hAnsi="Arial"/>
                <w:sz w:val="14"/>
                <w:szCs w:val="14"/>
                <w:color w:val="auto"/>
              </w:rPr>
              <w:t>Portfolio loans receivable, net of deferred fees and costs and net of allowance for loan losses of $24,079 and $23,434</w:t>
            </w:r>
          </w:p>
        </w:tc>
        <w:tc>
          <w:tcPr>
            <w:tcW w:w="16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b w:val="1"/>
                <w:bCs w:val="1"/>
                <w:color w:val="auto"/>
              </w:rPr>
              <w:t>1,368,392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1,292,068</w:t>
            </w:r>
          </w:p>
        </w:tc>
      </w:tr>
      <w:tr>
        <w:trPr>
          <w:trHeight w:val="186"/>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Premises and equipment, net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4,134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4,464</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Accrued interest receivable</w:t>
            </w:r>
          </w:p>
        </w:tc>
        <w:tc>
          <w:tcPr>
            <w:tcW w:w="16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b w:val="1"/>
                <w:bCs w:val="1"/>
                <w:color w:val="auto"/>
              </w:rPr>
              <w:t>7,786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8,134</w:t>
            </w:r>
          </w:p>
        </w:tc>
      </w:tr>
      <w:tr>
        <w:trPr>
          <w:trHeight w:val="186"/>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7,381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6,818</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Foreclosed real estate</w:t>
            </w:r>
          </w:p>
        </w:tc>
        <w:tc>
          <w:tcPr>
            <w:tcW w:w="16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b w:val="1"/>
                <w:bCs w:val="1"/>
                <w:color w:val="auto"/>
              </w:rPr>
              <w:t>3,236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3,326</w:t>
            </w:r>
          </w:p>
        </w:tc>
      </w:tr>
      <w:tr>
        <w:trPr>
          <w:trHeight w:val="186"/>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Bank owned life insurance</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35,004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2,315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2,956</w:t>
            </w:r>
          </w:p>
        </w:tc>
      </w:tr>
      <w:tr>
        <w:trPr>
          <w:trHeight w:val="204"/>
        </w:trPr>
        <w:tc>
          <w:tcPr>
            <w:tcW w:w="8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2,151,850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1,876,593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6"/>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Deposits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8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Noninterest-bearing, including related party balances of $36,135 and $17,848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828,308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608,559</w:t>
            </w:r>
          </w:p>
        </w:tc>
      </w:tr>
      <w:tr>
        <w:trPr>
          <w:trHeight w:val="185"/>
        </w:trPr>
        <w:tc>
          <w:tcPr>
            <w:tcW w:w="86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Interest-bearing, including related party balances of $76,060 and $130,586</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1,089,111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1,043,569</w:t>
            </w:r>
          </w:p>
        </w:tc>
      </w:tr>
      <w:tr>
        <w:trPr>
          <w:trHeight w:val="179"/>
        </w:trPr>
        <w:tc>
          <w:tcPr>
            <w:tcW w:w="86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deposits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1,917,419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1,652,128</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Federal Home Loan Bank advances</w:t>
            </w:r>
          </w:p>
        </w:tc>
        <w:tc>
          <w:tcPr>
            <w:tcW w:w="16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b w:val="1"/>
                <w:bCs w:val="1"/>
                <w:color w:val="auto"/>
              </w:rPr>
              <w:t>22,000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22,000</w:t>
            </w:r>
          </w:p>
        </w:tc>
      </w:tr>
      <w:tr>
        <w:trPr>
          <w:trHeight w:val="185"/>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borrowed funds</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12,062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14,016</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Accrued interest payable</w:t>
            </w:r>
          </w:p>
        </w:tc>
        <w:tc>
          <w:tcPr>
            <w:tcW w:w="16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b w:val="1"/>
                <w:bCs w:val="1"/>
                <w:color w:val="auto"/>
              </w:rPr>
              <w:t>959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1,134</w:t>
            </w:r>
          </w:p>
        </w:tc>
      </w:tr>
      <w:tr>
        <w:trPr>
          <w:trHeight w:val="186"/>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22,206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28,004</w:t>
            </w:r>
          </w:p>
        </w:tc>
      </w:tr>
      <w:tr>
        <w:trPr>
          <w:trHeight w:val="179"/>
        </w:trPr>
        <w:tc>
          <w:tcPr>
            <w:tcW w:w="86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1,974,646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1,717,282</w:t>
            </w:r>
          </w:p>
        </w:tc>
      </w:tr>
      <w:tr>
        <w:trPr>
          <w:trHeight w:val="192"/>
        </w:trPr>
        <w:tc>
          <w:tcPr>
            <w:tcW w:w="8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8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Common stock, $.01 par value; 49,000,000 shares authorized; 13,771,615 and 13,753,529 issued and outstanding</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138</w:t>
            </w:r>
          </w:p>
        </w:tc>
      </w:tr>
      <w:tr>
        <w:trPr>
          <w:trHeight w:val="185"/>
        </w:trPr>
        <w:tc>
          <w:tcPr>
            <w:tcW w:w="860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b w:val="1"/>
                <w:bCs w:val="1"/>
                <w:color w:val="auto"/>
              </w:rPr>
              <w:t>51,487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50,602</w:t>
            </w:r>
          </w:p>
        </w:tc>
      </w:tr>
      <w:tr>
        <w:trPr>
          <w:trHeight w:val="185"/>
        </w:trPr>
        <w:tc>
          <w:tcPr>
            <w:tcW w:w="8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125,431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106,854</w:t>
            </w:r>
          </w:p>
        </w:tc>
      </w:tr>
      <w:tr>
        <w:trPr>
          <w:trHeight w:val="185"/>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Accumulated other comprehensive income</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148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1,717</w:t>
            </w:r>
          </w:p>
        </w:tc>
      </w:tr>
      <w:tr>
        <w:trPr>
          <w:trHeight w:val="179"/>
        </w:trPr>
        <w:tc>
          <w:tcPr>
            <w:tcW w:w="86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177,204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159,311</w:t>
            </w:r>
          </w:p>
        </w:tc>
      </w:tr>
      <w:tr>
        <w:trPr>
          <w:trHeight w:val="179"/>
        </w:trPr>
        <w:tc>
          <w:tcPr>
            <w:tcW w:w="860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2,151,850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1,876,593</w:t>
            </w:r>
          </w:p>
        </w:tc>
      </w:tr>
      <w:tr>
        <w:trPr>
          <w:trHeight w:val="20"/>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-179070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660"/>
        <w:spacing w:after="0" w:line="197" w:lineRule="auto"/>
        <w:rPr>
          <w:sz w:val="20"/>
          <w:szCs w:val="20"/>
          <w:color w:val="auto"/>
        </w:rPr>
      </w:pPr>
      <w:r>
        <w:rPr>
          <w:rFonts w:ascii="Arial" w:cs="Arial" w:eastAsia="Arial" w:hAnsi="Arial"/>
          <w:sz w:val="14"/>
          <w:szCs w:val="14"/>
          <w:b w:val="1"/>
          <w:bCs w:val="1"/>
          <w:color w:val="auto"/>
        </w:rPr>
        <w:t>Consolidated Statements of Income</w:t>
      </w:r>
    </w:p>
    <w:p>
      <w:pPr>
        <w:ind w:left="66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4445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June 30,</w:t>
            </w:r>
          </w:p>
        </w:tc>
        <w:tc>
          <w:tcPr>
            <w:tcW w:w="300" w:type="dxa"/>
            <w:vAlign w:val="bottom"/>
          </w:tcPr>
          <w:p>
            <w:pPr>
              <w:spacing w:after="0"/>
              <w:rPr>
                <w:sz w:val="14"/>
                <w:szCs w:val="14"/>
                <w:color w:val="auto"/>
              </w:rPr>
            </w:pPr>
          </w:p>
        </w:tc>
        <w:tc>
          <w:tcPr>
            <w:tcW w:w="2540" w:type="dxa"/>
            <w:vAlign w:val="bottom"/>
            <w:gridSpan w:val="4"/>
          </w:tcPr>
          <w:p>
            <w:pPr>
              <w:jc w:val="right"/>
              <w:ind w:right="549"/>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18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(dollars in thousands except per share data)</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6"/>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income</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20" w:type="dxa"/>
            <w:vAlign w:val="bottom"/>
          </w:tcPr>
          <w:p>
            <w:pPr>
              <w:ind w:left="140"/>
              <w:spacing w:after="0"/>
              <w:rPr>
                <w:sz w:val="20"/>
                <w:szCs w:val="20"/>
                <w:color w:val="auto"/>
              </w:rPr>
            </w:pPr>
            <w:r>
              <w:rPr>
                <w:rFonts w:ascii="Arial" w:cs="Arial" w:eastAsia="Arial" w:hAnsi="Arial"/>
                <w:sz w:val="14"/>
                <w:szCs w:val="14"/>
                <w:color w:val="auto"/>
              </w:rPr>
              <w:t>Loans, including fees</w:t>
            </w:r>
          </w:p>
        </w:tc>
        <w:tc>
          <w:tcPr>
            <w:tcW w:w="32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28,641</w:t>
            </w:r>
          </w:p>
        </w:tc>
        <w:tc>
          <w:tcPr>
            <w:tcW w:w="12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21,609</w:t>
            </w:r>
          </w:p>
        </w:tc>
        <w:tc>
          <w:tcPr>
            <w:tcW w:w="12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54,709</w:t>
            </w:r>
          </w:p>
        </w:tc>
        <w:tc>
          <w:tcPr>
            <w:tcW w:w="12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42,683</w:t>
            </w: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 securities available for sale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86"/>
        </w:trPr>
        <w:tc>
          <w:tcPr>
            <w:tcW w:w="5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Federal funds sold and other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79"/>
        </w:trPr>
        <w:tc>
          <w:tcPr>
            <w:tcW w:w="54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Total interest income</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29,289</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22,000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55,927</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43,744</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420" w:type="dxa"/>
            <w:vAlign w:val="bottom"/>
          </w:tcPr>
          <w:p>
            <w:pPr>
              <w:ind w:left="140"/>
              <w:spacing w:after="0" w:line="151" w:lineRule="exact"/>
              <w:rPr>
                <w:sz w:val="20"/>
                <w:szCs w:val="20"/>
                <w:color w:val="auto"/>
              </w:rPr>
            </w:pPr>
            <w:r>
              <w:rPr>
                <w:rFonts w:ascii="Arial" w:cs="Arial" w:eastAsia="Arial" w:hAnsi="Arial"/>
                <w:sz w:val="14"/>
                <w:szCs w:val="14"/>
                <w:color w:val="auto"/>
              </w:rPr>
              <w:t>Deposits, includes payments to related parties of $40 and $126 for the three and six</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20" w:type="dxa"/>
            <w:vAlign w:val="bottom"/>
          </w:tcPr>
          <w:p>
            <w:pPr>
              <w:ind w:left="300"/>
              <w:spacing w:after="0" w:line="133" w:lineRule="exact"/>
              <w:rPr>
                <w:sz w:val="20"/>
                <w:szCs w:val="20"/>
                <w:color w:val="auto"/>
              </w:rPr>
            </w:pPr>
            <w:r>
              <w:rPr>
                <w:rFonts w:ascii="Arial" w:cs="Arial" w:eastAsia="Arial" w:hAnsi="Arial"/>
                <w:sz w:val="14"/>
                <w:szCs w:val="14"/>
                <w:color w:val="auto"/>
              </w:rPr>
              <w:t>months ended June 30, 2021, respectively, and $295 and $459 for the three and</w:t>
            </w:r>
          </w:p>
        </w:tc>
        <w:tc>
          <w:tcPr>
            <w:tcW w:w="3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1,582</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9"/>
              <w:spacing w:after="0"/>
              <w:rPr>
                <w:sz w:val="20"/>
                <w:szCs w:val="20"/>
                <w:color w:val="auto"/>
              </w:rPr>
            </w:pPr>
            <w:r>
              <w:rPr>
                <w:rFonts w:ascii="Arial" w:cs="Arial" w:eastAsia="Arial" w:hAnsi="Arial"/>
                <w:sz w:val="14"/>
                <w:szCs w:val="14"/>
                <w:color w:val="auto"/>
              </w:rPr>
              <w:t>2,954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3,589</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6,567</w:t>
            </w:r>
          </w:p>
        </w:tc>
        <w:tc>
          <w:tcPr>
            <w:tcW w:w="0" w:type="dxa"/>
            <w:vAlign w:val="bottom"/>
          </w:tcPr>
          <w:p>
            <w:pPr>
              <w:spacing w:after="0"/>
              <w:rPr>
                <w:sz w:val="1"/>
                <w:szCs w:val="1"/>
                <w:color w:val="auto"/>
              </w:rPr>
            </w:pPr>
          </w:p>
        </w:tc>
      </w:tr>
      <w:tr>
        <w:trPr>
          <w:trHeight w:val="168"/>
        </w:trPr>
        <w:tc>
          <w:tcPr>
            <w:tcW w:w="5420" w:type="dxa"/>
            <w:vAlign w:val="bottom"/>
          </w:tcPr>
          <w:p>
            <w:pPr>
              <w:ind w:left="300"/>
              <w:spacing w:after="0"/>
              <w:rPr>
                <w:sz w:val="20"/>
                <w:szCs w:val="20"/>
                <w:color w:val="auto"/>
              </w:rPr>
            </w:pPr>
            <w:r>
              <w:rPr>
                <w:rFonts w:ascii="Arial" w:cs="Arial" w:eastAsia="Arial" w:hAnsi="Arial"/>
                <w:sz w:val="14"/>
                <w:szCs w:val="14"/>
                <w:color w:val="auto"/>
              </w:rPr>
              <w:t>six months ended June 30, 2020, respectively.</w:t>
            </w: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Borrowed funds</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187</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375</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79"/>
        </w:trPr>
        <w:tc>
          <w:tcPr>
            <w:tcW w:w="54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Total interest expense</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3,376</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3,964</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7,433</w:t>
            </w:r>
          </w:p>
        </w:tc>
        <w:tc>
          <w:tcPr>
            <w:tcW w:w="0" w:type="dxa"/>
            <w:vAlign w:val="bottom"/>
          </w:tcPr>
          <w:p>
            <w:pPr>
              <w:spacing w:after="0"/>
              <w:rPr>
                <w:sz w:val="1"/>
                <w:szCs w:val="1"/>
                <w:color w:val="auto"/>
              </w:rPr>
            </w:pPr>
          </w:p>
        </w:tc>
      </w:tr>
      <w:tr>
        <w:trPr>
          <w:trHeight w:val="192"/>
        </w:trPr>
        <w:tc>
          <w:tcPr>
            <w:tcW w:w="5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Net interest income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27,520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18,624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51,963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36,311</w:t>
            </w: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loan losses</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781</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3,300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1,284</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5,709</w:t>
            </w:r>
          </w:p>
        </w:tc>
        <w:tc>
          <w:tcPr>
            <w:tcW w:w="0" w:type="dxa"/>
            <w:vAlign w:val="bottom"/>
          </w:tcPr>
          <w:p>
            <w:pPr>
              <w:spacing w:after="0"/>
              <w:rPr>
                <w:sz w:val="1"/>
                <w:szCs w:val="1"/>
                <w:color w:val="auto"/>
              </w:rPr>
            </w:pPr>
          </w:p>
        </w:tc>
      </w:tr>
      <w:tr>
        <w:trPr>
          <w:trHeight w:val="17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interest income after provision for loan losses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26,739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15,324</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50,679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30,602</w:t>
            </w:r>
          </w:p>
        </w:tc>
        <w:tc>
          <w:tcPr>
            <w:tcW w:w="0" w:type="dxa"/>
            <w:vAlign w:val="bottom"/>
          </w:tcPr>
          <w:p>
            <w:pPr>
              <w:spacing w:after="0"/>
              <w:rPr>
                <w:sz w:val="1"/>
                <w:szCs w:val="1"/>
                <w:color w:val="auto"/>
              </w:rPr>
            </w:pPr>
          </w:p>
        </w:tc>
      </w:tr>
      <w:tr>
        <w:trPr>
          <w:trHeight w:val="192"/>
        </w:trPr>
        <w:tc>
          <w:tcPr>
            <w:tcW w:w="5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Noninterest income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charges on deposits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86"/>
        </w:trPr>
        <w:tc>
          <w:tcPr>
            <w:tcW w:w="5420" w:type="dxa"/>
            <w:vAlign w:val="bottom"/>
          </w:tcPr>
          <w:p>
            <w:pPr>
              <w:ind w:left="140"/>
              <w:spacing w:after="0"/>
              <w:rPr>
                <w:sz w:val="20"/>
                <w:szCs w:val="20"/>
                <w:color w:val="auto"/>
              </w:rPr>
            </w:pPr>
            <w:r>
              <w:rPr>
                <w:rFonts w:ascii="Arial" w:cs="Arial" w:eastAsia="Arial" w:hAnsi="Arial"/>
                <w:sz w:val="14"/>
                <w:szCs w:val="14"/>
                <w:color w:val="auto"/>
              </w:rPr>
              <w:t>Credit card fees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7,715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2,912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13,655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4,921</w:t>
            </w: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Mortgage banking revenue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5,270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7,321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13,013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10,293</w:t>
            </w:r>
          </w:p>
        </w:tc>
        <w:tc>
          <w:tcPr>
            <w:tcW w:w="0" w:type="dxa"/>
            <w:vAlign w:val="bottom"/>
          </w:tcPr>
          <w:p>
            <w:pPr>
              <w:spacing w:after="0"/>
              <w:rPr>
                <w:sz w:val="1"/>
                <w:szCs w:val="1"/>
                <w:color w:val="auto"/>
              </w:rPr>
            </w:pPr>
          </w:p>
        </w:tc>
      </w:tr>
      <w:tr>
        <w:trPr>
          <w:trHeight w:val="186"/>
        </w:trPr>
        <w:tc>
          <w:tcPr>
            <w:tcW w:w="5420" w:type="dxa"/>
            <w:vAlign w:val="bottom"/>
          </w:tcPr>
          <w:p>
            <w:pPr>
              <w:ind w:left="140"/>
              <w:spacing w:after="0"/>
              <w:rPr>
                <w:sz w:val="20"/>
                <w:szCs w:val="20"/>
                <w:color w:val="auto"/>
              </w:rPr>
            </w:pPr>
            <w:r>
              <w:rPr>
                <w:rFonts w:ascii="Arial" w:cs="Arial" w:eastAsia="Arial" w:hAnsi="Arial"/>
                <w:sz w:val="14"/>
                <w:szCs w:val="14"/>
                <w:color w:val="auto"/>
              </w:rPr>
              <w:t>Gain on sale of investment securities available for sale,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153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fees and charges</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288</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179"/>
        </w:trPr>
        <w:tc>
          <w:tcPr>
            <w:tcW w:w="54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Total noninterest income</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13,471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11,101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27,421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16,636</w:t>
            </w:r>
          </w:p>
        </w:tc>
        <w:tc>
          <w:tcPr>
            <w:tcW w:w="0" w:type="dxa"/>
            <w:vAlign w:val="bottom"/>
          </w:tcPr>
          <w:p>
            <w:pPr>
              <w:spacing w:after="0"/>
              <w:rPr>
                <w:sz w:val="1"/>
                <w:szCs w:val="1"/>
                <w:color w:val="auto"/>
              </w:rPr>
            </w:pPr>
          </w:p>
        </w:tc>
      </w:tr>
      <w:tr>
        <w:trPr>
          <w:trHeight w:val="192"/>
        </w:trPr>
        <w:tc>
          <w:tcPr>
            <w:tcW w:w="5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Noninterest expenses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Salaries and employee benefits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8,750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8,498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17,317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15,910</w:t>
            </w:r>
          </w:p>
        </w:tc>
        <w:tc>
          <w:tcPr>
            <w:tcW w:w="0" w:type="dxa"/>
            <w:vAlign w:val="bottom"/>
          </w:tcPr>
          <w:p>
            <w:pPr>
              <w:spacing w:after="0"/>
              <w:rPr>
                <w:sz w:val="1"/>
                <w:szCs w:val="1"/>
                <w:color w:val="auto"/>
              </w:rPr>
            </w:pPr>
          </w:p>
        </w:tc>
      </w:tr>
      <w:tr>
        <w:trPr>
          <w:trHeight w:val="185"/>
        </w:trPr>
        <w:tc>
          <w:tcPr>
            <w:tcW w:w="5420" w:type="dxa"/>
            <w:vAlign w:val="bottom"/>
          </w:tcPr>
          <w:p>
            <w:pPr>
              <w:ind w:left="140"/>
              <w:spacing w:after="0"/>
              <w:rPr>
                <w:sz w:val="20"/>
                <w:szCs w:val="20"/>
                <w:color w:val="auto"/>
              </w:rPr>
            </w:pPr>
            <w:r>
              <w:rPr>
                <w:rFonts w:ascii="Arial" w:cs="Arial" w:eastAsia="Arial" w:hAnsi="Arial"/>
                <w:sz w:val="14"/>
                <w:szCs w:val="14"/>
                <w:color w:val="auto"/>
              </w:rPr>
              <w:t>Occupancy and equipment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1,195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1,152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894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2,987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85"/>
        </w:trPr>
        <w:tc>
          <w:tcPr>
            <w:tcW w:w="5420" w:type="dxa"/>
            <w:vAlign w:val="bottom"/>
          </w:tcPr>
          <w:p>
            <w:pPr>
              <w:ind w:left="140"/>
              <w:spacing w:after="0"/>
              <w:rPr>
                <w:sz w:val="20"/>
                <w:szCs w:val="20"/>
                <w:color w:val="auto"/>
              </w:rPr>
            </w:pPr>
            <w:r>
              <w:rPr>
                <w:rFonts w:ascii="Arial" w:cs="Arial" w:eastAsia="Arial" w:hAnsi="Arial"/>
                <w:sz w:val="14"/>
                <w:szCs w:val="14"/>
                <w:color w:val="auto"/>
              </w:rPr>
              <w:t>Data processing</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10,122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5,667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19,433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9,784</w:t>
            </w: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Advertising</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1,293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0" w:type="dxa"/>
            <w:vAlign w:val="bottom"/>
          </w:tcPr>
          <w:p>
            <w:pPr>
              <w:spacing w:after="0"/>
              <w:rPr>
                <w:sz w:val="1"/>
                <w:szCs w:val="1"/>
                <w:color w:val="auto"/>
              </w:rPr>
            </w:pPr>
          </w:p>
        </w:tc>
      </w:tr>
      <w:tr>
        <w:trPr>
          <w:trHeight w:val="185"/>
        </w:trPr>
        <w:tc>
          <w:tcPr>
            <w:tcW w:w="5420" w:type="dxa"/>
            <w:vAlign w:val="bottom"/>
          </w:tcPr>
          <w:p>
            <w:pPr>
              <w:ind w:left="140"/>
              <w:spacing w:after="0"/>
              <w:rPr>
                <w:sz w:val="20"/>
                <w:szCs w:val="20"/>
                <w:color w:val="auto"/>
              </w:rPr>
            </w:pPr>
            <w:r>
              <w:rPr>
                <w:rFonts w:ascii="Arial" w:cs="Arial" w:eastAsia="Arial" w:hAnsi="Arial"/>
                <w:sz w:val="14"/>
                <w:szCs w:val="14"/>
                <w:color w:val="auto"/>
              </w:rPr>
              <w:t>Loan processing</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86"/>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Foreclosed real estate expenses, net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5"/>
        </w:trPr>
        <w:tc>
          <w:tcPr>
            <w:tcW w:w="5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operating</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2,266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6,482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4,459</w:t>
            </w:r>
          </w:p>
        </w:tc>
        <w:tc>
          <w:tcPr>
            <w:tcW w:w="0" w:type="dxa"/>
            <w:vAlign w:val="bottom"/>
          </w:tcPr>
          <w:p>
            <w:pPr>
              <w:spacing w:after="0"/>
              <w:rPr>
                <w:sz w:val="1"/>
                <w:szCs w:val="1"/>
                <w:color w:val="auto"/>
              </w:rPr>
            </w:pPr>
          </w:p>
        </w:tc>
      </w:tr>
      <w:tr>
        <w:trPr>
          <w:trHeight w:val="179"/>
        </w:trPr>
        <w:tc>
          <w:tcPr>
            <w:tcW w:w="54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Total noninterest expenses</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27,205</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19,905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52,972</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36,704</w:t>
            </w:r>
          </w:p>
        </w:tc>
        <w:tc>
          <w:tcPr>
            <w:tcW w:w="0" w:type="dxa"/>
            <w:vAlign w:val="bottom"/>
          </w:tcPr>
          <w:p>
            <w:pPr>
              <w:spacing w:after="0"/>
              <w:rPr>
                <w:sz w:val="1"/>
                <w:szCs w:val="1"/>
                <w:color w:val="auto"/>
              </w:rPr>
            </w:pPr>
          </w:p>
        </w:tc>
      </w:tr>
      <w:tr>
        <w:trPr>
          <w:trHeight w:val="179"/>
        </w:trPr>
        <w:tc>
          <w:tcPr>
            <w:tcW w:w="542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13,005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6,520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25,128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10,534</w:t>
            </w: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3,357</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1,759</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6,499</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2,839</w:t>
            </w:r>
          </w:p>
        </w:tc>
        <w:tc>
          <w:tcPr>
            <w:tcW w:w="0" w:type="dxa"/>
            <w:vAlign w:val="bottom"/>
          </w:tcPr>
          <w:p>
            <w:pPr>
              <w:spacing w:after="0"/>
              <w:rPr>
                <w:sz w:val="1"/>
                <w:szCs w:val="1"/>
                <w:color w:val="auto"/>
              </w:rPr>
            </w:pPr>
          </w:p>
        </w:tc>
      </w:tr>
      <w:tr>
        <w:trPr>
          <w:trHeight w:val="179"/>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9,648</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4,761</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18,629</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7,695</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rPr>
                <w:sz w:val="20"/>
                <w:szCs w:val="20"/>
                <w:color w:val="auto"/>
              </w:rPr>
            </w:pPr>
            <w:r>
              <w:rPr>
                <w:rFonts w:ascii="Arial" w:cs="Arial" w:eastAsia="Arial" w:hAnsi="Arial"/>
                <w:sz w:val="14"/>
                <w:szCs w:val="14"/>
                <w:color w:val="auto"/>
              </w:rPr>
              <w:t>Basic earnings per share</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0.70</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0.34</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0.68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0.34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420" w:type="dxa"/>
            <w:vAlign w:val="bottom"/>
          </w:tcPr>
          <w:p>
            <w:pPr>
              <w:ind w:left="14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13,766,318</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13,817,349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13,761,676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13,846,889</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14,172,438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13,817,349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14,070,427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13,877,326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5" w:name="page6"/>
    <w:bookmarkEnd w:id="5"/>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-179070</wp:posOffset>
            </wp:positionV>
            <wp:extent cx="69951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ind w:left="340"/>
        <w:spacing w:after="0" w:line="197" w:lineRule="auto"/>
        <w:rPr>
          <w:sz w:val="20"/>
          <w:szCs w:val="20"/>
          <w:color w:val="auto"/>
        </w:rPr>
      </w:pPr>
      <w:r>
        <w:rPr>
          <w:rFonts w:ascii="Arial" w:cs="Arial" w:eastAsia="Arial" w:hAnsi="Arial"/>
          <w:sz w:val="14"/>
          <w:szCs w:val="14"/>
          <w:b w:val="1"/>
          <w:bCs w:val="1"/>
          <w:color w:val="auto"/>
        </w:rPr>
        <w:t>Consolidated Statements of Comprehensive Income</w:t>
      </w:r>
    </w:p>
    <w:p>
      <w:pPr>
        <w:ind w:left="3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40" w:type="dxa"/>
            <w:vAlign w:val="bottom"/>
          </w:tcPr>
          <w:p>
            <w:pPr>
              <w:spacing w:after="0"/>
              <w:rPr>
                <w:sz w:val="14"/>
                <w:szCs w:val="14"/>
                <w:color w:val="auto"/>
              </w:rPr>
            </w:pPr>
          </w:p>
        </w:tc>
        <w:tc>
          <w:tcPr>
            <w:tcW w:w="292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2"/>
                <w:szCs w:val="12"/>
                <w:b w:val="1"/>
                <w:bCs w:val="1"/>
                <w:color w:val="auto"/>
              </w:rPr>
              <w:t>Three Months Ended June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449"/>
              <w:spacing w:after="0"/>
              <w:rPr>
                <w:sz w:val="20"/>
                <w:szCs w:val="20"/>
                <w:color w:val="auto"/>
              </w:rPr>
            </w:pPr>
            <w:r>
              <w:rPr>
                <w:rFonts w:ascii="Arial" w:cs="Arial" w:eastAsia="Arial" w:hAnsi="Arial"/>
                <w:sz w:val="12"/>
                <w:szCs w:val="12"/>
                <w:b w:val="1"/>
                <w:bCs w:val="1"/>
                <w:color w:val="auto"/>
              </w:rPr>
              <w:t>Six Months Ended June 30,</w:t>
            </w:r>
          </w:p>
        </w:tc>
      </w:tr>
      <w:tr>
        <w:trPr>
          <w:trHeight w:val="186"/>
        </w:trPr>
        <w:tc>
          <w:tcPr>
            <w:tcW w:w="434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(in thousands)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2020</w:t>
            </w:r>
          </w:p>
        </w:tc>
      </w:tr>
      <w:tr>
        <w:trPr>
          <w:trHeight w:val="192"/>
        </w:trPr>
        <w:tc>
          <w:tcPr>
            <w:tcW w:w="43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Net income</w:t>
            </w:r>
          </w:p>
        </w:tc>
        <w:tc>
          <w:tcPr>
            <w:tcW w:w="116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9,648</w:t>
            </w:r>
          </w:p>
        </w:tc>
        <w:tc>
          <w:tcPr>
            <w:tcW w:w="12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4,761</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18,629</w:t>
            </w:r>
          </w:p>
        </w:tc>
        <w:tc>
          <w:tcPr>
            <w:tcW w:w="1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r>
    </w:tbl>
    <w:p>
      <w:pPr>
        <w:spacing w:after="0" w:line="194" w:lineRule="exact"/>
        <w:rPr>
          <w:sz w:val="20"/>
          <w:szCs w:val="20"/>
          <w:color w:val="auto"/>
        </w:rPr>
      </w:pPr>
    </w:p>
    <w:p>
      <w:pPr>
        <w:sectPr>
          <w:pgSz w:w="11900" w:h="16838" w:orient="portrait"/>
          <w:cols w:equalWidth="0" w:num="1">
            <w:col w:w="11020"/>
          </w:cols>
          <w:pgMar w:left="640" w:top="612" w:right="239" w:bottom="1440" w:gutter="0" w:footer="0" w:header="0"/>
        </w:sectPr>
      </w:pPr>
    </w:p>
    <w:p>
      <w:pPr>
        <w:ind w:left="340"/>
        <w:spacing w:after="0"/>
        <w:rPr>
          <w:sz w:val="20"/>
          <w:szCs w:val="20"/>
          <w:color w:val="auto"/>
        </w:rPr>
      </w:pPr>
      <w:r>
        <w:rPr>
          <w:rFonts w:ascii="Arial" w:cs="Arial" w:eastAsia="Arial" w:hAnsi="Arial"/>
          <w:sz w:val="16"/>
          <w:szCs w:val="16"/>
          <w:b w:val="1"/>
          <w:bCs w:val="1"/>
          <w:color w:val="auto"/>
        </w:rPr>
        <w:t>Other comprehensive income (loss):</w:t>
      </w:r>
    </w:p>
    <w:p>
      <w:pPr>
        <w:spacing w:after="0" w:line="48" w:lineRule="exact"/>
        <w:rPr>
          <w:sz w:val="20"/>
          <w:szCs w:val="20"/>
          <w:color w:val="auto"/>
        </w:rPr>
      </w:pPr>
    </w:p>
    <w:p>
      <w:pPr>
        <w:ind w:left="180" w:right="720" w:hanging="158"/>
        <w:spacing w:after="0" w:line="228" w:lineRule="auto"/>
        <w:rPr>
          <w:sz w:val="20"/>
          <w:szCs w:val="20"/>
          <w:color w:val="auto"/>
        </w:rPr>
      </w:pPr>
      <w:r>
        <w:rPr>
          <w:rFonts w:ascii="Arial" w:cs="Arial" w:eastAsia="Arial" w:hAnsi="Arial"/>
          <w:sz w:val="16"/>
          <w:szCs w:val="16"/>
          <w:color w:val="auto"/>
        </w:rPr>
        <w:t>Unrealized gain (loss) on investment securities available for sale</w:t>
      </w:r>
    </w:p>
    <w:p>
      <w:pPr>
        <w:spacing w:after="0" w:line="21" w:lineRule="exact"/>
        <w:rPr>
          <w:sz w:val="20"/>
          <w:szCs w:val="20"/>
          <w:color w:val="auto"/>
        </w:rPr>
      </w:pPr>
    </w:p>
    <w:p>
      <w:pPr>
        <w:ind w:left="180" w:right="1140" w:hanging="158"/>
        <w:spacing w:after="0" w:line="228" w:lineRule="auto"/>
        <w:rPr>
          <w:sz w:val="20"/>
          <w:szCs w:val="20"/>
          <w:color w:val="auto"/>
        </w:rPr>
      </w:pPr>
      <w:r>
        <w:rPr>
          <w:rFonts w:ascii="Arial" w:cs="Arial" w:eastAsia="Arial" w:hAnsi="Arial"/>
          <w:sz w:val="16"/>
          <w:szCs w:val="16"/>
          <w:color w:val="auto"/>
        </w:rPr>
        <w:t>Reclassification of realized gain on sale of investment securities available for sale</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left="80"/>
        <w:spacing w:after="0"/>
        <w:tabs>
          <w:tab w:leader="none" w:pos="1620" w:val="left"/>
          <w:tab w:leader="none" w:pos="3340" w:val="left"/>
          <w:tab w:leader="none" w:pos="5140" w:val="left"/>
        </w:tabs>
        <w:rPr>
          <w:sz w:val="20"/>
          <w:szCs w:val="20"/>
          <w:color w:val="auto"/>
        </w:rPr>
      </w:pPr>
      <w:r>
        <w:rPr>
          <w:rFonts w:ascii="Arial" w:cs="Arial" w:eastAsia="Arial" w:hAnsi="Arial"/>
          <w:sz w:val="14"/>
          <w:szCs w:val="14"/>
          <w:b w:val="1"/>
          <w:bCs w:val="1"/>
          <w:color w:val="auto"/>
        </w:rPr>
        <w:t>27</w:t>
      </w:r>
      <w:r>
        <w:rPr>
          <w:sz w:val="20"/>
          <w:szCs w:val="20"/>
          <w:color w:val="auto"/>
        </w:rPr>
        <w:tab/>
      </w:r>
      <w:r>
        <w:rPr>
          <w:rFonts w:ascii="Arial" w:cs="Arial" w:eastAsia="Arial" w:hAnsi="Arial"/>
          <w:sz w:val="14"/>
          <w:szCs w:val="14"/>
          <w:color w:val="auto"/>
        </w:rPr>
        <w:t>1,380</w:t>
      </w:r>
      <w:r>
        <w:rPr>
          <w:sz w:val="20"/>
          <w:szCs w:val="20"/>
          <w:color w:val="auto"/>
        </w:rPr>
        <w:tab/>
      </w:r>
      <w:r>
        <w:rPr>
          <w:rFonts w:ascii="Arial" w:cs="Arial" w:eastAsia="Arial" w:hAnsi="Arial"/>
          <w:sz w:val="14"/>
          <w:szCs w:val="14"/>
          <w:b w:val="1"/>
          <w:bCs w:val="1"/>
          <w:color w:val="auto"/>
        </w:rPr>
        <w:t>(2,270)</w:t>
      </w:r>
      <w:r>
        <w:rPr>
          <w:sz w:val="20"/>
          <w:szCs w:val="20"/>
          <w:color w:val="auto"/>
        </w:rPr>
        <w:tab/>
      </w: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-353695</wp:posOffset>
            </wp:positionV>
            <wp:extent cx="6995160"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3462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15875</wp:posOffset>
            </wp:positionV>
            <wp:extent cx="6995160" cy="235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235585"/>
                    </a:xfrm>
                    <a:prstGeom prst="rect">
                      <a:avLst/>
                    </a:prstGeom>
                    <a:noFill/>
                  </pic:spPr>
                </pic:pic>
              </a:graphicData>
            </a:graphic>
          </wp:anchor>
        </w:drawing>
      </w:r>
    </w:p>
    <w:p>
      <w:pPr>
        <w:spacing w:after="0" w:line="190" w:lineRule="exact"/>
        <w:rPr>
          <w:sz w:val="20"/>
          <w:szCs w:val="20"/>
          <w:color w:val="auto"/>
        </w:rPr>
      </w:pPr>
    </w:p>
    <w:p>
      <w:pPr>
        <w:spacing w:after="0"/>
        <w:tabs>
          <w:tab w:leader="none" w:pos="1840" w:val="left"/>
          <w:tab w:leader="none" w:pos="3520" w:val="left"/>
        </w:tabs>
        <w:rPr>
          <w:sz w:val="20"/>
          <w:szCs w:val="20"/>
          <w:color w:val="auto"/>
        </w:rPr>
      </w:pPr>
      <w:r>
        <w:rPr>
          <w:rFonts w:ascii="Arial" w:cs="Arial" w:eastAsia="Arial" w:hAnsi="Arial"/>
          <w:sz w:val="14"/>
          <w:szCs w:val="14"/>
          <w:b w:val="1"/>
          <w:bCs w:val="1"/>
          <w:color w:val="auto"/>
        </w:rPr>
        <w:t>153</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b w:val="1"/>
          <w:bCs w:val="1"/>
          <w:color w:val="auto"/>
        </w:rPr>
        <w:t>153</w:t>
      </w:r>
    </w:p>
    <w:p>
      <w:pPr>
        <w:spacing w:after="0" w:line="24" w:lineRule="exact"/>
        <w:rPr>
          <w:sz w:val="20"/>
          <w:szCs w:val="20"/>
          <w:color w:val="auto"/>
        </w:rPr>
      </w:pPr>
    </w:p>
    <w:p>
      <w:pPr>
        <w:sectPr>
          <w:pgSz w:w="11900" w:h="16838" w:orient="portrait"/>
          <w:cols w:equalWidth="0" w:num="2">
            <w:col w:w="4940" w:space="720"/>
            <w:col w:w="5360"/>
          </w:cols>
          <w:pgMar w:left="640" w:top="612" w:right="2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43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180</w:t>
            </w:r>
          </w:p>
        </w:tc>
        <w:tc>
          <w:tcPr>
            <w:tcW w:w="1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1,380</w:t>
            </w: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(2,117)</w:t>
            </w: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12"/>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 relating to the items above</w:t>
            </w: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548</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2"/>
        </w:trPr>
        <w:tc>
          <w:tcPr>
            <w:tcW w:w="43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Other comprehensive income</w:t>
            </w:r>
          </w:p>
        </w:tc>
        <w:tc>
          <w:tcPr>
            <w:tcW w:w="8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(1,569)</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04"/>
        </w:trPr>
        <w:tc>
          <w:tcPr>
            <w:tcW w:w="4340" w:type="dxa"/>
            <w:vAlign w:val="bottom"/>
            <w:tcBorders>
              <w:bottom w:val="single" w:sz="8" w:color="CCEEFF"/>
            </w:tcBorders>
            <w:shd w:val="clear" w:color="auto" w:fill="CCEEFF"/>
          </w:tcPr>
          <w:p>
            <w:pPr>
              <w:ind w:left="340"/>
              <w:spacing w:after="0" w:line="179" w:lineRule="exact"/>
              <w:rPr>
                <w:sz w:val="20"/>
                <w:szCs w:val="20"/>
                <w:color w:val="auto"/>
              </w:rPr>
            </w:pPr>
            <w:r>
              <w:rPr>
                <w:rFonts w:ascii="Arial" w:cs="Arial" w:eastAsia="Arial" w:hAnsi="Arial"/>
                <w:sz w:val="16"/>
                <w:szCs w:val="16"/>
                <w:b w:val="1"/>
                <w:bCs w:val="1"/>
                <w:color w:val="auto"/>
              </w:rPr>
              <w:t>Comprehensive income</w:t>
            </w:r>
          </w:p>
        </w:tc>
        <w:tc>
          <w:tcPr>
            <w:tcW w:w="80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9,778</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5,761</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17,060</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252095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612" w:right="239" w:bottom="1440" w:gutter="0" w:footer="0" w:header="0"/>
          <w:type w:val="continuous"/>
        </w:sectPr>
      </w:pPr>
    </w:p>
    <w:bookmarkStart w:id="6" w:name="page7"/>
    <w:bookmarkEnd w:id="6"/>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-179070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340"/>
        <w:spacing w:after="0" w:line="197" w:lineRule="auto"/>
        <w:rPr>
          <w:sz w:val="20"/>
          <w:szCs w:val="20"/>
          <w:color w:val="auto"/>
        </w:rPr>
      </w:pPr>
      <w:r>
        <w:rPr>
          <w:rFonts w:ascii="Arial" w:cs="Arial" w:eastAsia="Arial" w:hAnsi="Arial"/>
          <w:sz w:val="14"/>
          <w:szCs w:val="14"/>
          <w:b w:val="1"/>
          <w:bCs w:val="1"/>
          <w:color w:val="auto"/>
        </w:rPr>
        <w:t>Consolidated Statements of Changes in Stockholders’ Equity</w:t>
      </w:r>
    </w:p>
    <w:p>
      <w:pPr>
        <w:ind w:left="3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00" w:type="dxa"/>
            <w:vAlign w:val="bottom"/>
          </w:tcPr>
          <w:p>
            <w:pPr>
              <w:spacing w:after="0"/>
              <w:rPr>
                <w:sz w:val="14"/>
                <w:szCs w:val="14"/>
                <w:color w:val="auto"/>
              </w:rPr>
            </w:pPr>
          </w:p>
        </w:tc>
        <w:tc>
          <w:tcPr>
            <w:tcW w:w="2560" w:type="dxa"/>
            <w:vAlign w:val="bottom"/>
            <w:gridSpan w:val="5"/>
          </w:tcPr>
          <w:p>
            <w:pPr>
              <w:ind w:left="940"/>
              <w:spacing w:after="0"/>
              <w:rPr>
                <w:sz w:val="20"/>
                <w:szCs w:val="20"/>
                <w:color w:val="auto"/>
              </w:rPr>
            </w:pPr>
            <w:r>
              <w:rPr>
                <w:rFonts w:ascii="Arial" w:cs="Arial" w:eastAsia="Arial" w:hAnsi="Arial"/>
                <w:sz w:val="12"/>
                <w:szCs w:val="12"/>
                <w:b w:val="1"/>
                <w:bCs w:val="1"/>
                <w:color w:val="auto"/>
              </w:rPr>
              <w:t>Common Stock</w:t>
            </w:r>
          </w:p>
        </w:tc>
        <w:tc>
          <w:tcPr>
            <w:tcW w:w="42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Additional</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66"/>
        </w:trPr>
        <w:tc>
          <w:tcPr>
            <w:tcW w:w="2700" w:type="dxa"/>
            <w:vAlign w:val="bottom"/>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Retained</w:t>
            </w:r>
          </w:p>
        </w:tc>
        <w:tc>
          <w:tcPr>
            <w:tcW w:w="1620" w:type="dxa"/>
            <w:vAlign w:val="bottom"/>
            <w:gridSpan w:val="3"/>
            <w:vMerge w:val="restart"/>
          </w:tcPr>
          <w:p>
            <w:pPr>
              <w:ind w:left="360"/>
              <w:spacing w:after="0"/>
              <w:rPr>
                <w:sz w:val="20"/>
                <w:szCs w:val="20"/>
                <w:color w:val="auto"/>
              </w:rPr>
            </w:pPr>
            <w:r>
              <w:rPr>
                <w:rFonts w:ascii="Arial" w:cs="Arial" w:eastAsia="Arial" w:hAnsi="Arial"/>
                <w:sz w:val="12"/>
                <w:szCs w:val="12"/>
                <w:b w:val="1"/>
                <w:bCs w:val="1"/>
                <w:color w:val="auto"/>
              </w:rPr>
              <w:t>Accumulated Other</w:t>
            </w:r>
          </w:p>
        </w:tc>
        <w:tc>
          <w:tcPr>
            <w:tcW w:w="5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700" w:type="dxa"/>
            <w:vAlign w:val="bottom"/>
          </w:tcPr>
          <w:p>
            <w:pPr>
              <w:spacing w:after="0"/>
              <w:rPr>
                <w:sz w:val="10"/>
                <w:szCs w:val="10"/>
                <w:color w:val="auto"/>
              </w:rPr>
            </w:pPr>
          </w:p>
        </w:tc>
        <w:tc>
          <w:tcPr>
            <w:tcW w:w="1260" w:type="dxa"/>
            <w:vAlign w:val="bottom"/>
            <w:gridSpan w:val="2"/>
            <w:vMerge w:val="restart"/>
          </w:tcPr>
          <w:p>
            <w:pPr>
              <w:ind w:left="54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0"/>
                <w:szCs w:val="10"/>
                <w:color w:val="auto"/>
              </w:rPr>
            </w:pPr>
          </w:p>
        </w:tc>
        <w:tc>
          <w:tcPr>
            <w:tcW w:w="98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Paid-in</w:t>
            </w:r>
          </w:p>
        </w:tc>
        <w:tc>
          <w:tcPr>
            <w:tcW w:w="4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1320" w:type="dxa"/>
            <w:vAlign w:val="bottom"/>
            <w:gridSpan w:val="2"/>
          </w:tcPr>
          <w:p>
            <w:pPr>
              <w:ind w:left="340"/>
              <w:spacing w:after="0" w:line="120"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67"/>
        </w:trPr>
        <w:tc>
          <w:tcPr>
            <w:tcW w:w="2700" w:type="dxa"/>
            <w:vAlign w:val="bottom"/>
          </w:tcPr>
          <w:p>
            <w:pPr>
              <w:ind w:left="340"/>
              <w:spacing w:after="0"/>
              <w:rPr>
                <w:sz w:val="20"/>
                <w:szCs w:val="20"/>
                <w:color w:val="auto"/>
              </w:rPr>
            </w:pPr>
            <w:r>
              <w:rPr>
                <w:rFonts w:ascii="Arial" w:cs="Arial" w:eastAsia="Arial" w:hAnsi="Arial"/>
                <w:sz w:val="11"/>
                <w:szCs w:val="11"/>
                <w:color w:val="auto"/>
              </w:rPr>
              <w:t>(dollars in thousands)</w:t>
            </w:r>
          </w:p>
        </w:tc>
        <w:tc>
          <w:tcPr>
            <w:tcW w:w="12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Capital</w:t>
            </w:r>
          </w:p>
        </w:tc>
        <w:tc>
          <w:tcPr>
            <w:tcW w:w="1420" w:type="dxa"/>
            <w:vAlign w:val="bottom"/>
            <w:gridSpan w:val="3"/>
          </w:tcPr>
          <w:p>
            <w:pPr>
              <w:ind w:left="400"/>
              <w:spacing w:after="0"/>
              <w:rPr>
                <w:sz w:val="20"/>
                <w:szCs w:val="20"/>
                <w:color w:val="auto"/>
              </w:rPr>
            </w:pPr>
            <w:r>
              <w:rPr>
                <w:rFonts w:ascii="Arial" w:cs="Arial" w:eastAsia="Arial" w:hAnsi="Arial"/>
                <w:sz w:val="12"/>
                <w:szCs w:val="12"/>
                <w:b w:val="1"/>
                <w:bCs w:val="1"/>
                <w:color w:val="auto"/>
              </w:rPr>
              <w:t>Earnings</w:t>
            </w:r>
          </w:p>
        </w:tc>
        <w:tc>
          <w:tcPr>
            <w:tcW w:w="1620" w:type="dxa"/>
            <w:vAlign w:val="bottom"/>
            <w:gridSpan w:val="3"/>
          </w:tcPr>
          <w:p>
            <w:pPr>
              <w:ind w:left="60"/>
              <w:spacing w:after="0"/>
              <w:rPr>
                <w:sz w:val="20"/>
                <w:szCs w:val="20"/>
                <w:color w:val="auto"/>
              </w:rPr>
            </w:pPr>
            <w:r>
              <w:rPr>
                <w:rFonts w:ascii="Arial" w:cs="Arial" w:eastAsia="Arial" w:hAnsi="Arial"/>
                <w:sz w:val="12"/>
                <w:szCs w:val="12"/>
                <w:b w:val="1"/>
                <w:bCs w:val="1"/>
                <w:color w:val="auto"/>
              </w:rPr>
              <w:t>Comprehensive Income</w:t>
            </w:r>
          </w:p>
        </w:tc>
        <w:tc>
          <w:tcPr>
            <w:tcW w:w="500" w:type="dxa"/>
            <w:vAlign w:val="bottom"/>
          </w:tcPr>
          <w:p>
            <w:pPr>
              <w:spacing w:after="0"/>
              <w:rPr>
                <w:sz w:val="14"/>
                <w:szCs w:val="14"/>
                <w:color w:val="auto"/>
              </w:rPr>
            </w:pPr>
          </w:p>
        </w:tc>
        <w:tc>
          <w:tcPr>
            <w:tcW w:w="820" w:type="dxa"/>
            <w:vAlign w:val="bottom"/>
          </w:tcPr>
          <w:p>
            <w:pPr>
              <w:jc w:val="right"/>
              <w:ind w:right="31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7"/>
        </w:trPr>
        <w:tc>
          <w:tcPr>
            <w:tcW w:w="27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00" w:type="dxa"/>
            <w:vAlign w:val="bottom"/>
          </w:tcPr>
          <w:p>
            <w:pPr>
              <w:ind w:left="340"/>
              <w:spacing w:after="0"/>
              <w:rPr>
                <w:sz w:val="20"/>
                <w:szCs w:val="20"/>
                <w:color w:val="auto"/>
              </w:rPr>
            </w:pPr>
            <w:r>
              <w:rPr>
                <w:rFonts w:ascii="Arial" w:cs="Arial" w:eastAsia="Arial" w:hAnsi="Arial"/>
                <w:sz w:val="14"/>
                <w:szCs w:val="14"/>
                <w:b w:val="1"/>
                <w:bCs w:val="1"/>
                <w:color w:val="auto"/>
              </w:rPr>
              <w:t>Balance, December 31, 2019</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13,894,842</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51,561</w:t>
            </w:r>
          </w:p>
        </w:tc>
        <w:tc>
          <w:tcPr>
            <w:tcW w:w="12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81,618</w:t>
            </w:r>
          </w:p>
        </w:tc>
        <w:tc>
          <w:tcPr>
            <w:tcW w:w="100" w:type="dxa"/>
            <w:vAlign w:val="bottom"/>
          </w:tcPr>
          <w:p>
            <w:pPr>
              <w:spacing w:after="0"/>
              <w:rPr>
                <w:sz w:val="16"/>
                <w:szCs w:val="16"/>
                <w:color w:val="auto"/>
              </w:rPr>
            </w:pPr>
          </w:p>
        </w:tc>
        <w:tc>
          <w:tcPr>
            <w:tcW w:w="74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50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133,33</w:t>
            </w: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50"/>
        </w:trPr>
        <w:tc>
          <w:tcPr>
            <w:tcW w:w="2700" w:type="dxa"/>
            <w:vAlign w:val="bottom"/>
          </w:tcPr>
          <w:p>
            <w:pPr>
              <w:ind w:left="20"/>
              <w:spacing w:after="0" w:line="151" w:lineRule="exact"/>
              <w:rPr>
                <w:sz w:val="20"/>
                <w:szCs w:val="20"/>
                <w:color w:val="auto"/>
              </w:rPr>
            </w:pPr>
            <w:r>
              <w:rPr>
                <w:rFonts w:ascii="Arial" w:cs="Arial" w:eastAsia="Arial" w:hAnsi="Arial"/>
                <w:sz w:val="14"/>
                <w:szCs w:val="14"/>
                <w:color w:val="auto"/>
              </w:rPr>
              <w:t>Unrealized gain on investment securities</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8"/>
        </w:trPr>
        <w:tc>
          <w:tcPr>
            <w:tcW w:w="2700" w:type="dxa"/>
            <w:vAlign w:val="bottom"/>
          </w:tcPr>
          <w:p>
            <w:pPr>
              <w:ind w:left="180"/>
              <w:spacing w:after="0"/>
              <w:rPr>
                <w:sz w:val="20"/>
                <w:szCs w:val="20"/>
                <w:color w:val="auto"/>
              </w:rPr>
            </w:pPr>
            <w:r>
              <w:rPr>
                <w:rFonts w:ascii="Arial" w:cs="Arial" w:eastAsia="Arial" w:hAnsi="Arial"/>
                <w:sz w:val="14"/>
                <w:szCs w:val="14"/>
                <w:color w:val="auto"/>
              </w:rPr>
              <w:t>available for sale, net of income taxes</w:t>
            </w:r>
          </w:p>
        </w:tc>
        <w:tc>
          <w:tcPr>
            <w:tcW w:w="12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34,015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5"/>
        </w:trPr>
        <w:tc>
          <w:tcPr>
            <w:tcW w:w="27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 and retired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(112,134)</w:t>
            </w: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(1,282)</w:t>
            </w: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79"/>
        </w:trPr>
        <w:tc>
          <w:tcPr>
            <w:tcW w:w="2700" w:type="dxa"/>
            <w:vAlign w:val="bottom"/>
          </w:tcPr>
          <w:p>
            <w:pPr>
              <w:ind w:left="340"/>
              <w:spacing w:after="0"/>
              <w:rPr>
                <w:sz w:val="20"/>
                <w:szCs w:val="20"/>
                <w:color w:val="auto"/>
              </w:rPr>
            </w:pPr>
            <w:r>
              <w:rPr>
                <w:rFonts w:ascii="Arial" w:cs="Arial" w:eastAsia="Arial" w:hAnsi="Arial"/>
                <w:sz w:val="14"/>
                <w:szCs w:val="14"/>
                <w:b w:val="1"/>
                <w:bCs w:val="1"/>
                <w:color w:val="auto"/>
              </w:rPr>
              <w:t>Balance, March 31, 2020</w:t>
            </w:r>
          </w:p>
        </w:tc>
        <w:tc>
          <w:tcPr>
            <w:tcW w:w="1160" w:type="dxa"/>
            <w:vAlign w:val="bottom"/>
          </w:tcPr>
          <w:p>
            <w:pPr>
              <w:jc w:val="right"/>
              <w:spacing w:after="0"/>
              <w:rPr>
                <w:sz w:val="20"/>
                <w:szCs w:val="20"/>
                <w:color w:val="auto"/>
              </w:rPr>
            </w:pPr>
            <w:r>
              <w:rPr>
                <w:rFonts w:ascii="Arial" w:cs="Arial" w:eastAsia="Arial" w:hAnsi="Arial"/>
                <w:sz w:val="14"/>
                <w:szCs w:val="14"/>
                <w:color w:val="auto"/>
              </w:rPr>
              <w:t>13,816,723</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50,786</w:t>
            </w:r>
          </w:p>
        </w:tc>
        <w:tc>
          <w:tcPr>
            <w:tcW w:w="12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84,389</w:t>
            </w:r>
          </w:p>
        </w:tc>
        <w:tc>
          <w:tcPr>
            <w:tcW w:w="100" w:type="dxa"/>
            <w:vAlign w:val="bottom"/>
          </w:tcPr>
          <w:p>
            <w:pPr>
              <w:spacing w:after="0"/>
              <w:rPr>
                <w:sz w:val="15"/>
                <w:szCs w:val="15"/>
                <w:color w:val="auto"/>
              </w:rPr>
            </w:pPr>
          </w:p>
        </w:tc>
        <w:tc>
          <w:tcPr>
            <w:tcW w:w="74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15"/>
                <w:szCs w:val="15"/>
                <w:color w:val="auto"/>
              </w:rPr>
            </w:pPr>
          </w:p>
        </w:tc>
        <w:tc>
          <w:tcPr>
            <w:tcW w:w="500" w:type="dxa"/>
            <w:vAlign w:val="bottom"/>
          </w:tcPr>
          <w:p>
            <w:pPr>
              <w:ind w:left="3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136,08</w:t>
            </w: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4,761</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50"/>
        </w:trPr>
        <w:tc>
          <w:tcPr>
            <w:tcW w:w="2700" w:type="dxa"/>
            <w:vAlign w:val="bottom"/>
          </w:tcPr>
          <w:p>
            <w:pPr>
              <w:ind w:left="20"/>
              <w:spacing w:after="0" w:line="151" w:lineRule="exact"/>
              <w:rPr>
                <w:sz w:val="20"/>
                <w:szCs w:val="20"/>
                <w:color w:val="auto"/>
              </w:rPr>
            </w:pPr>
            <w:r>
              <w:rPr>
                <w:rFonts w:ascii="Arial" w:cs="Arial" w:eastAsia="Arial" w:hAnsi="Arial"/>
                <w:sz w:val="14"/>
                <w:szCs w:val="14"/>
                <w:color w:val="auto"/>
              </w:rPr>
              <w:t>Unrealized gain on investment securities</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8"/>
        </w:trPr>
        <w:tc>
          <w:tcPr>
            <w:tcW w:w="2700" w:type="dxa"/>
            <w:vAlign w:val="bottom"/>
          </w:tcPr>
          <w:p>
            <w:pPr>
              <w:ind w:left="180"/>
              <w:spacing w:after="0"/>
              <w:rPr>
                <w:sz w:val="20"/>
                <w:szCs w:val="20"/>
                <w:color w:val="auto"/>
              </w:rPr>
            </w:pPr>
            <w:r>
              <w:rPr>
                <w:rFonts w:ascii="Arial" w:cs="Arial" w:eastAsia="Arial" w:hAnsi="Arial"/>
                <w:sz w:val="14"/>
                <w:szCs w:val="14"/>
                <w:color w:val="auto"/>
              </w:rPr>
              <w:t>available for sale, net of income taxes</w:t>
            </w:r>
          </w:p>
        </w:tc>
        <w:tc>
          <w:tcPr>
            <w:tcW w:w="12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as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 and retired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2"/>
        </w:trPr>
        <w:tc>
          <w:tcPr>
            <w:tcW w:w="2700" w:type="dxa"/>
            <w:vAlign w:val="bottom"/>
          </w:tcPr>
          <w:p>
            <w:pPr>
              <w:ind w:left="340"/>
              <w:spacing w:after="0" w:line="152" w:lineRule="exact"/>
              <w:rPr>
                <w:sz w:val="20"/>
                <w:szCs w:val="20"/>
                <w:color w:val="auto"/>
              </w:rPr>
            </w:pPr>
            <w:r>
              <w:rPr>
                <w:rFonts w:ascii="Arial" w:cs="Arial" w:eastAsia="Arial" w:hAnsi="Arial"/>
                <w:sz w:val="14"/>
                <w:szCs w:val="14"/>
                <w:b w:val="1"/>
                <w:bCs w:val="1"/>
                <w:color w:val="auto"/>
              </w:rPr>
              <w:t>Balance, June 30, 2020</w:t>
            </w:r>
          </w:p>
        </w:tc>
        <w:tc>
          <w:tcPr>
            <w:tcW w:w="11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13,818,223</w:t>
            </w: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138</w:t>
            </w:r>
          </w:p>
        </w:tc>
        <w:tc>
          <w:tcPr>
            <w:tcW w:w="12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51,052</w:t>
            </w:r>
          </w:p>
        </w:tc>
        <w:tc>
          <w:tcPr>
            <w:tcW w:w="12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89,151</w:t>
            </w:r>
          </w:p>
        </w:tc>
        <w:tc>
          <w:tcPr>
            <w:tcW w:w="100" w:type="dxa"/>
            <w:vAlign w:val="bottom"/>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1,767</w:t>
            </w:r>
          </w:p>
        </w:tc>
        <w:tc>
          <w:tcPr>
            <w:tcW w:w="10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142,10</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7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tcPr>
          <w:p>
            <w:pPr>
              <w:ind w:left="340"/>
              <w:spacing w:after="0"/>
              <w:rPr>
                <w:sz w:val="20"/>
                <w:szCs w:val="20"/>
                <w:color w:val="auto"/>
              </w:rPr>
            </w:pPr>
            <w:r>
              <w:rPr>
                <w:rFonts w:ascii="Arial" w:cs="Arial" w:eastAsia="Arial" w:hAnsi="Arial"/>
                <w:sz w:val="14"/>
                <w:szCs w:val="14"/>
                <w:b w:val="1"/>
                <w:bCs w:val="1"/>
                <w:color w:val="auto"/>
              </w:rPr>
              <w:t>Balance, December 31, 2020</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13,753,529</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50,602</w:t>
            </w:r>
          </w:p>
        </w:tc>
        <w:tc>
          <w:tcPr>
            <w:tcW w:w="12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106,854</w:t>
            </w:r>
          </w:p>
        </w:tc>
        <w:tc>
          <w:tcPr>
            <w:tcW w:w="100" w:type="dxa"/>
            <w:vAlign w:val="bottom"/>
          </w:tcPr>
          <w:p>
            <w:pPr>
              <w:spacing w:after="0"/>
              <w:rPr>
                <w:sz w:val="16"/>
                <w:szCs w:val="16"/>
                <w:color w:val="auto"/>
              </w:rPr>
            </w:pPr>
          </w:p>
        </w:tc>
        <w:tc>
          <w:tcPr>
            <w:tcW w:w="74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1,717</w:t>
            </w:r>
          </w:p>
        </w:tc>
        <w:tc>
          <w:tcPr>
            <w:tcW w:w="100" w:type="dxa"/>
            <w:vAlign w:val="bottom"/>
          </w:tcPr>
          <w:p>
            <w:pPr>
              <w:spacing w:after="0"/>
              <w:rPr>
                <w:sz w:val="16"/>
                <w:szCs w:val="16"/>
                <w:color w:val="auto"/>
              </w:rPr>
            </w:pPr>
          </w:p>
        </w:tc>
        <w:tc>
          <w:tcPr>
            <w:tcW w:w="50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159,31</w:t>
            </w: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150"/>
        </w:trPr>
        <w:tc>
          <w:tcPr>
            <w:tcW w:w="2700" w:type="dxa"/>
            <w:vAlign w:val="bottom"/>
          </w:tcPr>
          <w:p>
            <w:pPr>
              <w:ind w:left="20"/>
              <w:spacing w:after="0" w:line="151" w:lineRule="exact"/>
              <w:rPr>
                <w:sz w:val="20"/>
                <w:szCs w:val="20"/>
                <w:color w:val="auto"/>
              </w:rPr>
            </w:pPr>
            <w:r>
              <w:rPr>
                <w:rFonts w:ascii="Arial" w:cs="Arial" w:eastAsia="Arial" w:hAnsi="Arial"/>
                <w:sz w:val="14"/>
                <w:szCs w:val="14"/>
                <w:color w:val="auto"/>
              </w:rPr>
              <w:t>Unrealized loss on investment securities</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(1,699)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68"/>
        </w:trPr>
        <w:tc>
          <w:tcPr>
            <w:tcW w:w="2700" w:type="dxa"/>
            <w:vAlign w:val="bottom"/>
          </w:tcPr>
          <w:p>
            <w:pPr>
              <w:ind w:left="180"/>
              <w:spacing w:after="0"/>
              <w:rPr>
                <w:sz w:val="20"/>
                <w:szCs w:val="20"/>
                <w:color w:val="auto"/>
              </w:rPr>
            </w:pPr>
            <w:r>
              <w:rPr>
                <w:rFonts w:ascii="Arial" w:cs="Arial" w:eastAsia="Arial" w:hAnsi="Arial"/>
                <w:sz w:val="14"/>
                <w:szCs w:val="14"/>
                <w:color w:val="auto"/>
              </w:rPr>
              <w:t>available for sale, net of income taxes</w:t>
            </w:r>
          </w:p>
        </w:tc>
        <w:tc>
          <w:tcPr>
            <w:tcW w:w="12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9"/>
        </w:trPr>
        <w:tc>
          <w:tcPr>
            <w:tcW w:w="270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Balance, March 31, 2021</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13,759,218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51,042</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167,00</w:t>
            </w:r>
          </w:p>
        </w:tc>
        <w:tc>
          <w:tcPr>
            <w:tcW w:w="0" w:type="dxa"/>
            <w:vAlign w:val="bottom"/>
          </w:tcPr>
          <w:p>
            <w:pPr>
              <w:spacing w:after="0"/>
              <w:rPr>
                <w:sz w:val="1"/>
                <w:szCs w:val="1"/>
                <w:color w:val="auto"/>
              </w:rPr>
            </w:pPr>
          </w:p>
        </w:tc>
      </w:tr>
      <w:tr>
        <w:trPr>
          <w:trHeight w:val="185"/>
        </w:trPr>
        <w:tc>
          <w:tcPr>
            <w:tcW w:w="270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9,648</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9,64</w:t>
            </w:r>
          </w:p>
        </w:tc>
        <w:tc>
          <w:tcPr>
            <w:tcW w:w="0" w:type="dxa"/>
            <w:vAlign w:val="bottom"/>
          </w:tcPr>
          <w:p>
            <w:pPr>
              <w:spacing w:after="0"/>
              <w:rPr>
                <w:sz w:val="1"/>
                <w:szCs w:val="1"/>
                <w:color w:val="auto"/>
              </w:rPr>
            </w:pPr>
          </w:p>
        </w:tc>
      </w:tr>
      <w:tr>
        <w:trPr>
          <w:trHeight w:val="150"/>
        </w:trPr>
        <w:tc>
          <w:tcPr>
            <w:tcW w:w="27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Unrealized gain on investment securities</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68"/>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 for sale, net of income taxes</w:t>
            </w:r>
          </w:p>
        </w:tc>
        <w:tc>
          <w:tcPr>
            <w:tcW w:w="126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20"/>
              <w:spacing w:after="0"/>
              <w:rPr>
                <w:sz w:val="20"/>
                <w:szCs w:val="20"/>
                <w:color w:val="auto"/>
              </w:rPr>
            </w:pPr>
            <w:r>
              <w:rPr>
                <w:rFonts w:ascii="Arial" w:cs="Arial" w:eastAsia="Arial" w:hAnsi="Arial"/>
                <w:sz w:val="14"/>
                <w:szCs w:val="14"/>
                <w:color w:val="auto"/>
              </w:rPr>
              <w:t>Stock options exercised</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10,301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as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2,096</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204"/>
        </w:trPr>
        <w:tc>
          <w:tcPr>
            <w:tcW w:w="27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Balance, June 30, 2021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13,771,615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51,487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125,431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177,20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252095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612" w:right="2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348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97" w:lineRule="auto"/>
        <w:rPr>
          <w:sz w:val="20"/>
          <w:szCs w:val="20"/>
          <w:color w:val="auto"/>
        </w:rPr>
      </w:pPr>
      <w:r>
        <w:rPr>
          <w:rFonts w:ascii="Arial" w:cs="Arial" w:eastAsia="Arial" w:hAnsi="Arial"/>
          <w:sz w:val="14"/>
          <w:szCs w:val="14"/>
          <w:b w:val="1"/>
          <w:bCs w:val="1"/>
          <w:color w:val="auto"/>
        </w:rPr>
        <w:t>Consolidated Statements of Cash Flows</w:t>
      </w:r>
    </w:p>
    <w:p>
      <w:pPr>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920"/>
        <w:spacing w:after="0"/>
        <w:rPr>
          <w:sz w:val="20"/>
          <w:szCs w:val="20"/>
          <w:color w:val="auto"/>
        </w:rPr>
      </w:pPr>
      <w:r>
        <w:rPr>
          <w:rFonts w:ascii="Arial" w:cs="Arial" w:eastAsia="Arial" w:hAnsi="Arial"/>
          <w:sz w:val="12"/>
          <w:szCs w:val="12"/>
          <w:b w:val="1"/>
          <w:bCs w:val="1"/>
          <w:color w:val="auto"/>
        </w:rPr>
        <w:t>Six Months Ended 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r>
      <w:tr>
        <w:trPr>
          <w:trHeight w:val="19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18,629</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7,695</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(used for)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Provision for loan losses</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1,284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5,709</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losses on mortgage loans sold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210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Provision for off balance sheet credit risk</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on investments,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986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878</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Director and employee compensation paid in stock</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expense (benefit)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243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Amortization of debt issuance expense</w:t>
            </w: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sale of securities available for sale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Loss on sale of foreclosed real estate</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Mortgage banking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(14,136)</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Proceeds from sales of loans held for sale</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691,510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463,783</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Originations of loans held for sale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(619,277)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(495,586)</w:t>
            </w:r>
          </w:p>
        </w:tc>
      </w:tr>
      <w:tr>
        <w:trPr>
          <w:trHeight w:val="209"/>
        </w:trPr>
        <w:tc>
          <w:tcPr>
            <w:tcW w:w="8220" w:type="dxa"/>
            <w:vAlign w:val="bottom"/>
          </w:tcPr>
          <w:p>
            <w:pPr>
              <w:ind w:left="220"/>
              <w:spacing w:after="0"/>
              <w:rPr>
                <w:sz w:val="20"/>
                <w:szCs w:val="20"/>
                <w:color w:val="auto"/>
              </w:rPr>
            </w:pPr>
            <w:r>
              <w:rPr>
                <w:rFonts w:ascii="Arial" w:cs="Arial" w:eastAsia="Arial" w:hAnsi="Arial"/>
                <w:sz w:val="16"/>
                <w:szCs w:val="16"/>
                <w:color w:val="auto"/>
              </w:rPr>
              <w:t>Changes in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8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interest receivable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w:t>
            </w:r>
          </w:p>
        </w:tc>
      </w:tr>
      <w:tr>
        <w:trPr>
          <w:trHeight w:val="212"/>
        </w:trPr>
        <w:tc>
          <w:tcPr>
            <w:tcW w:w="8220" w:type="dxa"/>
            <w:vAlign w:val="bottom"/>
          </w:tcPr>
          <w:p>
            <w:pPr>
              <w:ind w:left="34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641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(507)</w:t>
            </w:r>
          </w:p>
        </w:tc>
      </w:tr>
      <w:tr>
        <w:trPr>
          <w:trHeight w:val="212"/>
        </w:trPr>
        <w:tc>
          <w:tcPr>
            <w:tcW w:w="8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interest payable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12"/>
        </w:trPr>
        <w:tc>
          <w:tcPr>
            <w:tcW w:w="82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(5,977)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6,695</w:t>
            </w:r>
          </w:p>
        </w:tc>
      </w:tr>
      <w:tr>
        <w:trPr>
          <w:trHeight w:val="205"/>
        </w:trPr>
        <w:tc>
          <w:tcPr>
            <w:tcW w:w="8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(used for)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76,128</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(27,026)</w:t>
            </w:r>
          </w:p>
        </w:tc>
      </w:tr>
      <w:tr>
        <w:trPr>
          <w:trHeight w:val="192"/>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Purchases of securities available for sale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(139,318)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Maturities, calls and principal paydowns of securities available for sale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9,617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6,316</w:t>
            </w: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Proceeds from sale of securities available for sale</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66,534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(purchases) of restricted investments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Purchases of bank owned life insurance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(35,004)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SBA-PPP loans receivable,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(229,646)</w:t>
            </w: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Increase in portfolio loans receivable,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(77,608)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(41,703)</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premises and equipment,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r>
      <w:tr>
        <w:trPr>
          <w:trHeight w:val="212"/>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sales of foreclosed real estate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8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for investing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(177,884)</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(265,482)</w:t>
            </w:r>
          </w:p>
        </w:tc>
      </w:tr>
      <w:tr>
        <w:trPr>
          <w:trHeight w:val="179"/>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9"/>
        </w:trPr>
        <w:tc>
          <w:tcPr>
            <w:tcW w:w="8220" w:type="dxa"/>
            <w:vAlign w:val="bottom"/>
          </w:tcPr>
          <w:p>
            <w:pPr>
              <w:ind w:left="140"/>
              <w:spacing w:after="0"/>
              <w:rPr>
                <w:sz w:val="20"/>
                <w:szCs w:val="20"/>
                <w:color w:val="auto"/>
              </w:rPr>
            </w:pPr>
            <w:r>
              <w:rPr>
                <w:rFonts w:ascii="Arial" w:cs="Arial" w:eastAsia="Arial" w:hAnsi="Arial"/>
                <w:sz w:val="16"/>
                <w:szCs w:val="16"/>
                <w:color w:val="auto"/>
              </w:rPr>
              <w:t>Net increase (decrease) in:</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Noninterest-bearing deposits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219,749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272,218</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Interest-bearing deposits</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45,542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111,087</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Federal Home Loan Bank advances, net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Other borrowed funds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(1,954)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1,955</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w:t>
            </w:r>
          </w:p>
        </w:tc>
      </w:tr>
      <w:tr>
        <w:trPr>
          <w:trHeight w:val="212"/>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5"/>
        </w:trPr>
        <w:tc>
          <w:tcPr>
            <w:tcW w:w="8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263,512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377,397</w:t>
            </w:r>
          </w:p>
        </w:tc>
      </w:tr>
      <w:tr>
        <w:trPr>
          <w:trHeight w:val="192"/>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161,756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84,889</w:t>
            </w:r>
          </w:p>
        </w:tc>
      </w:tr>
      <w:tr>
        <w:trPr>
          <w:trHeight w:val="212"/>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beginning of year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146,910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200"/>
          </w:cols>
          <w:pgMar w:left="340" w:top="254" w:right="359" w:bottom="1440" w:gutter="0" w:footer="0" w:header="0"/>
        </w:sectPr>
      </w:pPr>
    </w:p>
    <w:p>
      <w:pPr>
        <w:spacing w:after="0" w:line="195"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250825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254"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348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97" w:lineRule="auto"/>
        <w:rPr>
          <w:sz w:val="20"/>
          <w:szCs w:val="20"/>
          <w:color w:val="auto"/>
        </w:rPr>
      </w:pPr>
      <w:r>
        <w:rPr>
          <w:rFonts w:ascii="Arial" w:cs="Arial" w:eastAsia="Arial" w:hAnsi="Arial"/>
          <w:sz w:val="14"/>
          <w:szCs w:val="14"/>
          <w:b w:val="1"/>
          <w:bCs w:val="1"/>
          <w:color w:val="auto"/>
        </w:rPr>
        <w:t>Consolidated Statements of Cash Flows</w:t>
      </w:r>
    </w:p>
    <w:p>
      <w:pPr>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920"/>
        <w:spacing w:after="0"/>
        <w:rPr>
          <w:sz w:val="20"/>
          <w:szCs w:val="20"/>
          <w:color w:val="auto"/>
        </w:rPr>
      </w:pPr>
      <w:r>
        <w:rPr>
          <w:rFonts w:ascii="Arial" w:cs="Arial" w:eastAsia="Arial" w:hAnsi="Arial"/>
          <w:sz w:val="12"/>
          <w:szCs w:val="12"/>
          <w:b w:val="1"/>
          <w:bCs w:val="1"/>
          <w:color w:val="auto"/>
        </w:rPr>
        <w:t>Six Months Ended 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308,666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199,713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Loans transferred to foreclosed real estate</w:t>
            </w:r>
          </w:p>
        </w:tc>
        <w:tc>
          <w:tcPr>
            <w:tcW w:w="34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1,017</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8220" w:type="dxa"/>
            <w:vAlign w:val="bottom"/>
            <w:tcBorders>
              <w:bottom w:val="single" w:sz="8" w:color="CCEEFF"/>
            </w:tcBorders>
            <w:shd w:val="clear" w:color="auto" w:fill="CCEEFF"/>
          </w:tcPr>
          <w:p>
            <w:pPr>
              <w:ind w:left="140"/>
              <w:spacing w:after="0" w:line="178" w:lineRule="exact"/>
              <w:rPr>
                <w:sz w:val="20"/>
                <w:szCs w:val="20"/>
                <w:color w:val="auto"/>
              </w:rPr>
            </w:pPr>
            <w:r>
              <w:rPr>
                <w:rFonts w:ascii="Arial" w:cs="Arial" w:eastAsia="Arial" w:hAnsi="Arial"/>
                <w:sz w:val="16"/>
                <w:szCs w:val="16"/>
                <w:color w:val="auto"/>
              </w:rPr>
              <w:t>Change in unrealized gains (losses) on investments</w:t>
            </w:r>
          </w:p>
        </w:tc>
        <w:tc>
          <w:tcPr>
            <w:tcW w:w="340" w:type="dxa"/>
            <w:vAlign w:val="bottom"/>
            <w:tcBorders>
              <w:bottom w:val="single" w:sz="8" w:color="auto"/>
            </w:tcBorders>
            <w:shd w:val="clear" w:color="auto" w:fill="CCEEFF"/>
          </w:tcPr>
          <w:p>
            <w:pPr>
              <w:jc w:val="right"/>
              <w:ind w:right="141"/>
              <w:spacing w:after="0" w:line="178" w:lineRule="exact"/>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(2,117)</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line="178"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2,421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paid during the period for: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Taxes</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9,140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4,139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243205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254" w:right="359" w:bottom="1440" w:gutter="0" w:footer="0" w:header="0"/>
        </w:sectPr>
      </w:pPr>
    </w:p>
    <w:bookmarkStart w:id="9" w:name="page10"/>
    <w:bookmarkEnd w:id="9"/>
    <w:p>
      <w:pPr>
        <w:ind w:left="10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-173990</wp:posOffset>
            </wp:positionV>
            <wp:extent cx="65036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03670" cy="17145"/>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6350</wp:posOffset>
            </wp:positionV>
            <wp:extent cx="65036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03670" cy="17145"/>
                    </a:xfrm>
                    <a:prstGeom prst="rect">
                      <a:avLst/>
                    </a:prstGeom>
                    <a:noFill/>
                  </pic:spPr>
                </pic:pic>
              </a:graphicData>
            </a:graphic>
          </wp:anchor>
        </w:drawing>
      </w:r>
    </w:p>
    <w:p>
      <w:pPr>
        <w:spacing w:after="0" w:line="25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239"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Capital Bancorp, Inc. is a Maryland corporation and the bank holding company (the “Company”) for Capital Bank, N.A. (the “Bank”). The Company's primary operations are conducted by the Bank, which operates branches in Rockville, and Columbia, Maryland, Reston, Virginia, and the District of Columbia. The Bank is principally engaged in the business of investing in commercial, real estate, and credit card loans and attracting deposits. The Company originates residential mortgages for sale in the secondary market through Capital Bank Home Loans (“CBHL”), the Bank’s residential mortgage banking arm, and issues credit cards through OpenSky</w:t>
      </w:r>
      <w:r>
        <w:rPr>
          <w:rFonts w:ascii="Arial" w:cs="Arial" w:eastAsia="Arial" w:hAnsi="Arial"/>
          <w:sz w:val="22"/>
          <w:szCs w:val="22"/>
          <w:color w:val="auto"/>
          <w:vertAlign w:val="superscript"/>
        </w:rPr>
        <w:t>®</w:t>
      </w:r>
      <w:r>
        <w:rPr>
          <w:rFonts w:ascii="Arial" w:cs="Arial" w:eastAsia="Arial" w:hAnsi="Arial"/>
          <w:sz w:val="18"/>
          <w:szCs w:val="18"/>
          <w:color w:val="auto"/>
        </w:rPr>
        <w:t>, a secured, digitally-driven nationwide credit card platform.</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formed Church Street Capital, LLC (“Church Street Capital”) in 2014 to provide short-term secured real estate financing to Washington, D.C. area investors and developers that may not meet all Bank credit criteria. At June 30, 2021, Church Street Capital had loans totaling $4.6 million.</w:t>
      </w:r>
    </w:p>
    <w:p>
      <w:pPr>
        <w:spacing w:after="0" w:line="20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accompanying consolidated financial statements include the activity of the Company and its wholly-owned subsidiaries, the Bank and Church Street Capital. All intercompany transactions have been eliminated in consolidation. The Company reports its activities as four business segments.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Risks and Uncertainties</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Company has been, and may continue to be, impacted by the COVID-19 pandemic. In recent months, COVID-19 vaccination rates have been increasing and restrictive measures have been eased in certain areas. However, uncertainty remains about the duration of the pandemic and the timing and strength of the global economy’s recovery. To address the economic impact of the pandemic in the U.S., multiple stimulus packages have been enacted to provide economic relief to individuals and businesses, including the Coronavirus Aid, Relief and Economic Security Act (CARES Act), which established the Small Business Administration Paycheck Protection Program (“SBA-PPP”) and the American Rescue Plan Act of 2021 which was enacted in March 2021.</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the pandemic evolves, the Company continues to evaluate processes in place to execute our business continuity plan and promote the health and safety of our employees.</w:t>
      </w:r>
    </w:p>
    <w:p>
      <w:pPr>
        <w:spacing w:after="0" w:line="20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Although the macroeconomic and public health outlooks improved in the U.S. during the second quarter of 2021, the future direct and indirect impact of the pandemic on the Company’s businesses, results of operations and financial condition remains uncertain. Should current economic conditions deteriorate or if the pandemic worsens, including as the result of the spread of the more easily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0" w:name="page11"/>
    <w:bookmarkEnd w:id="10"/>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communicable variants of COVID-19, the macroeconomic environment could have an adverse effect on our businesses,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Significant Accounting Policies:</w:t>
      </w:r>
    </w:p>
    <w:p>
      <w:pPr>
        <w:spacing w:after="0" w:line="23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preparation of consolidated financial statements in accordance with GAAP requires estimates and judgments that affect the reported amounts of assets, liabilities, revenues and expenses and related disclosures of contingent assets and liabilities. The primary reference point for the estimates is historical experience and assumptions believed to be reasonable regarding the carrying value of certain assets and liabilities that are not readily available from other sources. Estimates are evaluated on an ongoing basis. Actual results may materially differ from these estimates under different assumptions or conditions.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1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purposes of reporting cash flows, cash and cash equivalents include cash on hand, amounts due from financial institutions, interest bearing deposits with financial institutions and federal funds sold. Generally, federal funds are sold for one-day periods.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Investment securities</w:t>
      </w:r>
    </w:p>
    <w:p>
      <w:pPr>
        <w:spacing w:after="0" w:line="21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 Unrealized losses are periodically reviewed to determine whether the loss represents an other than temporary impairment. Any unrealized losses judged to be other than a temporary impairment are charged to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Marketable Equity Securities</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Marketable equity securities are carried at fair value with realized gains and losses included in earnings. Premiums and discounts on investment securities are amortized or accreted using the interest method. Changes in the fair value of equity securities are also included in earnings as gain or loss on marketable equity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sale</w:t>
      </w:r>
    </w:p>
    <w:p>
      <w:pPr>
        <w:spacing w:after="0" w:line="21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 sales are determined by the specific-identification method. The Company’s current practice is to sell residential mortgage loans on a servicing released basis, and, therefore, it has no servicing rights recorded for the value of such servicing. Interest on loans held for sale is credited to income based on the principal amounts outstanding.</w:t>
      </w:r>
    </w:p>
    <w:p>
      <w:pPr>
        <w:spacing w:after="0" w:line="207" w:lineRule="exact"/>
        <w:rPr>
          <w:sz w:val="20"/>
          <w:szCs w:val="20"/>
          <w:color w:val="auto"/>
        </w:rPr>
      </w:pPr>
    </w:p>
    <w:p>
      <w:pPr>
        <w:jc w:val="both"/>
        <w:ind w:firstLine="318"/>
        <w:spacing w:after="0" w:line="212" w:lineRule="exact"/>
        <w:rPr>
          <w:sz w:val="20"/>
          <w:szCs w:val="20"/>
          <w:color w:val="auto"/>
        </w:rPr>
      </w:pPr>
      <w:r>
        <w:rPr>
          <w:rFonts w:ascii="Arial" w:cs="Arial" w:eastAsia="Arial" w:hAnsi="Arial"/>
          <w:sz w:val="18"/>
          <w:szCs w:val="18"/>
          <w:color w:val="auto"/>
        </w:rPr>
        <w:t>Upon sale and delivery, loans are legally isolated from the Company and the Company has no ability to restrict or constrain the ability of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pledge or exchange the mortgage loans. The Company does not have the entitlement or ability to repurchase the mortgage loans or unilaterally cause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put the mortgage loans back to the Company. Unrealized and realized gains on loan sales are determined using the specific-identification method and are recognized through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1" w:name="page12"/>
    <w:bookmarkEnd w:id="11"/>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banking activity in the Consolidated Statements of Income.</w:t>
      </w:r>
    </w:p>
    <w:p>
      <w:pPr>
        <w:spacing w:after="0" w:line="21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elected to measure loans held for sale at fair value to better align reported results with the underlying economic changes in value of the loans on the Company’s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Small Business Administration Paycheck Protection Program</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Small Business Administration Paycheck Protection Program (“SBA-PPP”) is one of the centerpieces of the Coronavirus Aid, Relief, and Economic Security Act (the “CARES Act”), which was passed on March 27, 2020 in response to the outbreak of coronavirus (“COVID-19”) and was supplemented with subsequent legislation. Overseen by the United States (“U.S.”) Treasury Department, the SBA-PPP offered cash-flow assistance to nonprofit and small business employers through guaranteed loans. Borrowers are eligible for forgiveness of principal and accrued interest on SBA-PPP loans to the extent that the proceeds are used to cover eligible payroll costs, interest costs, rent, and utility costs over a period between eight and 24-weeks after the loan is made as long as the borrower retains its employees and their compensation levels. The CARES Act authorized the SBA to fully guarantee these loans.</w:t>
      </w:r>
    </w:p>
    <w:p>
      <w:pPr>
        <w:spacing w:after="0" w:line="2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December 27, 2020, the Consolidated Appropriations Act, 2021 (“CAA”) was signed into law. The CAA provides several amendments to the SBA-PPP, including additional funding for the first and second draws of PPP loans up to March 13, 2021. On March 30, 2021, the PPP Extension Act of 2021 was signed into law, which extended the program to May 31, 2021.</w:t>
      </w:r>
    </w:p>
    <w:p>
      <w:pPr>
        <w:spacing w:after="0" w:line="20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Due to the unique nature of these provisions, SBA-PPP loans have been disclosed as a separate balance sheet item. Origination fees received by the SBA are capitalized into the carrying amount of the loans. The deferred fee income, net of origination costs, is recognized over the life of the loan as an adjustment to yield using the effective interest method. SBA-PPP loans receivable as of June 30, 2021 totaled $208.1 million with $5.3 million of net unearned fees and generated interest income of $2.3 million for the three months ended June 30, 2021 and $4.7 million for the six months ended 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Loans and the Allowance for Loan Losses</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Loans are stated at the principal amount outstanding, adjusted for deferred origination fees and costs, discounts on loans acquired, and the allowance for loan losses. Interest is accrued based on the loan principal balances and stated interest rates. Origination fees and costs are recognized as an adjustment to the related loan yield using approximate interest methods. The Company discontinues the accrual of interest when any portion of the principal and/or interest is 90 days past due, or when it is probable that not all principal and interest payments will be collected, and collateral is insufficient to discharge the debt in full. Generally, interest payments on nonaccrual loans are recorded as a reduction of the principal balance.</w:t>
      </w:r>
    </w:p>
    <w:p>
      <w:pPr>
        <w:spacing w:after="0" w:line="21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Loans are considered impaired when, based on current information, management believes the Company will not collect all principal and interest payments according to contractual terms. Generally, loans are reviewed for impairment when the risk grade for a loan is downgraded to a classified asset category. The loans are evaluated for appropriate classification, accrual, impairment, and troubled debt restructure (“TDR”) status. If collection of principal is evaluated as doubtful, all payments are applied to principal. A modification of a loan is considered a TDR when a borrower is experiencing financial difficulty and the modification constitutes a concession; however, the CARES Act provides financial institutions optional temporary relief from TDR and impairment accounting for certain loan modifications related to the COVID-19 pandemic. Under Section 4013 of the CARES Act, banks may suspend (1) the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2" w:name="page13"/>
    <w:bookmarkEnd w:id="12"/>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GAAP for certain modifications that would otherwise be categorized as a TDR and (2) any determination that such loan modifications would be considered a TDR, including the related impairment for accounting purposes. To be eligible, each loan modification must be (1) related to the COVID-19 event; (2) executed on a loan that was not more than 30 days past due as of December 31, 2019; and (3) executed between March 1, 2020, and the earlier of (A) 60 days after the date of termination of the National Emergency or (B) December 31, 2020. The December 31, 2020 deadline was subsequently extended to January 1, 2022, by the CAA.</w:t>
      </w:r>
    </w:p>
    <w:p>
      <w:pPr>
        <w:spacing w:after="0" w:line="20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All other short-term modifications made on a good faith basis in response to COVID-19 to borrowers who were current prior to any relief, are not TDRs. This includes short-term modifications such as payment deferrals, fee waivers, extensions of repayment terms, or other delays in payment that are insignificant. Borrowers considered current are those that are less than 30 days past due on their contractual payments at the time a modification program is implemented.</w:t>
      </w:r>
    </w:p>
    <w:p>
      <w:pPr>
        <w:spacing w:after="0" w:line="2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Loans are generally charged-off in part or in full when management determines the loan to be uncollectible. Factors for charge-off that may be considered include: repayments deemed to be projected beyond reasonable time frames, client bankruptcy and lack of assets, and/or collateral deficiencies.</w:t>
      </w:r>
    </w:p>
    <w:p>
      <w:pPr>
        <w:spacing w:after="0" w:line="20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allowance for loan losses is estimated to adequately provide for probable future losses on existing loans. The allowance consists of specific and general components. For loans that are classified as impaired, an allowance is established when the collateral value, if the loan is collateral dependent, or the discounted cash flows of the impaired loan is lower than the carrying value of that loan. The general component covers pools of nonclassified loans and is based on historical loss experience adjusted with qualitative factors such as: trends in volume and terms of loans; levels of, and trends in, delinquencies and non-accruals; effects of any changes in lending policies, experience, ability and depth of management; national and local economic trends and conditions (with a specific evaluation of COVID-19 impact); commitments and concentrations of credit; changes in the quality of the Company’s loan review system; and the volume of loans with identified incomplete financial documentation. Actual loan performance may differ materially from those estimates. A loss is recognized as a charge to the allowance when management believes that collection of the loan is unlikely. Collections of loans previously charged off are added to the allowance at the time of recovery.</w:t>
      </w:r>
    </w:p>
    <w:p>
      <w:pPr>
        <w:spacing w:after="0" w:line="21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 xml:space="preserve">The Company determines the allowance for loan losses based on the accumulation of various components that are calculated independently in accordance with Financial Accounting Standards Board (“FASB”) Accounting Standards Codification (“ASC”) 450 for pools of loans, and ASC 310 for TDRs and for individually evaluated loans. The process for determining an appropriate allowance for loan losses is based on a comprehensive and consistently applied analysis of the loan portfolio. The analysis considers all significant factors that affect the collectibility of the portfolio and supports the credit losses estimated by this process. It is important to recognize that the related process, methodology, and underlying assumptions require a substantial degree of judgment. Additional disclosure on the allowance for loan losses, qualitative factors, and the potential COVID-19 impact can be found in Part II, Item 1A - Risk Factors and </w:t>
      </w:r>
      <w:r>
        <w:rPr>
          <w:rFonts w:ascii="Arial" w:cs="Arial" w:eastAsia="Arial" w:hAnsi="Arial"/>
          <w:sz w:val="17"/>
          <w:szCs w:val="17"/>
          <w:i w:val="1"/>
          <w:iCs w:val="1"/>
          <w:color w:val="auto"/>
        </w:rPr>
        <w:t>Note 5 - Portfolio Loans Receivable</w:t>
      </w:r>
      <w:r>
        <w:rPr>
          <w:rFonts w:ascii="Arial" w:cs="Arial" w:eastAsia="Arial" w:hAnsi="Arial"/>
          <w:sz w:val="17"/>
          <w:szCs w:val="17"/>
          <w:color w:val="auto"/>
        </w:rPr>
        <w:t>.</w:t>
      </w:r>
    </w:p>
    <w:p>
      <w:pPr>
        <w:spacing w:after="0" w:line="19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allowance for loan losses for SBA-PPP loans were separately evaluated given the explicit government guarantee. This analysis, which incorporated historical experience with similar SBA guarantees and underwriting, concluded the likelihood of loss was remote and therefore no allowance for loan losses was assigned to these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3" w:name="page14"/>
    <w:bookmarkEnd w:id="13"/>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w:t>
      </w:r>
    </w:p>
    <w:p>
      <w:pPr>
        <w:spacing w:after="0" w:line="21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Premises and equipment are stated at cost less accumulated depreciation and amortization over two to seven years. Depreciation and amortization are computed using the straight-line method over the estimated useful lives of the related property. Leasehold improvements are amortized over the estimated useful lives of the improvements, approximately ten years, or the term of the lease, whichever is less. Expenditures for maintenance, repairs, and minor replacements are charged to noninterest expenses as incurred.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19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The Company accounts for leases according to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applies a right-of-use (“ROU”) model that 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not to apply the recognition requirements of ASC 842 to short-term leases, defined as leases with a term of 12 months or less, and to recognize the lease payments in net income on short-term leases on a straight-line basis over the lease term.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Derivative Financial Instruments</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Company enters into commitments to fund residential mortgage loans (interest rate locks) with the intention of selling them in the secondary market. The Company also enters into forward sales agreements for certain funded loans and loan commitments. The Company records unfunded commitments intended for loans held for sale and forward sales agreements at fair value with changes in fair value recorded as a component of mortgage banking revenue. Loans originated and intended for sale in the secondary market are carried at fair value. For pipeline loans which are not pre-sold to an investor, the Company endeavors to manage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w:t>
      </w:r>
    </w:p>
    <w:p>
      <w:pPr>
        <w:spacing w:after="0" w:line="1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The Company accounts for derivative instruments and hedging activities according to guidelines established in ASC 815-10,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as amended. The Company recognizes all derivatives as either assets or liabilities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and measures those instruments at fair value. Changes in fair value of derivatives designated and accounted for as cash flow hedges, to the extent they are effective as hedges, are recorded in other comprehensive income, net of deferred taxes. Any hedge ineffectiveness would be recognized in the income statement line item pertaining to the hedged item.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17" w:lineRule="exact"/>
        <w:rPr>
          <w:sz w:val="20"/>
          <w:szCs w:val="20"/>
          <w:color w:val="auto"/>
        </w:rPr>
      </w:pPr>
    </w:p>
    <w:p>
      <w:pPr>
        <w:jc w:val="both"/>
        <w:ind w:right="40" w:firstLine="318"/>
        <w:spacing w:after="0" w:line="247"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4" w:name="page15"/>
    <w:bookmarkEnd w:id="14"/>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However, when quoted market prices or observable market inputs are not fully available, significant management judgment may be necessary to estimate fair value. In developing our fair value estimates, we endeavor to maximize the use of observable inputs and minimize the use of unobservable inputs.</w:t>
      </w:r>
    </w:p>
    <w:p>
      <w:pPr>
        <w:spacing w:after="0" w:line="206" w:lineRule="exact"/>
        <w:rPr>
          <w:sz w:val="20"/>
          <w:szCs w:val="20"/>
          <w:color w:val="auto"/>
        </w:rPr>
      </w:pPr>
    </w:p>
    <w:p>
      <w:pPr>
        <w:jc w:val="both"/>
        <w:ind w:right="40" w:firstLine="318"/>
        <w:spacing w:after="0" w:line="247" w:lineRule="auto"/>
        <w:rPr>
          <w:sz w:val="20"/>
          <w:szCs w:val="20"/>
          <w:color w:val="auto"/>
        </w:rPr>
      </w:pPr>
      <w:r>
        <w:rPr>
          <w:rFonts w:ascii="Arial" w:cs="Arial" w:eastAsia="Arial" w:hAnsi="Arial"/>
          <w:sz w:val="18"/>
          <w:szCs w:val="18"/>
          <w:color w:val="auto"/>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20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Financial assets that are recorded at fair value on a recurring basis include investment securities available for sale, loans held for sale, and derivative financial instruments. Financial liabilities that are recorded at fair value on a recurring basis are comprised of derivative financial instruments. Additional information is included in </w:t>
      </w:r>
      <w:r>
        <w:rPr>
          <w:rFonts w:ascii="Arial" w:cs="Arial" w:eastAsia="Arial" w:hAnsi="Arial"/>
          <w:sz w:val="18"/>
          <w:szCs w:val="18"/>
          <w:i w:val="1"/>
          <w:iCs w:val="1"/>
          <w:color w:val="auto"/>
        </w:rPr>
        <w:t>Note 8 - Fair Value</w:t>
      </w:r>
      <w:r>
        <w:rPr>
          <w:rFonts w:ascii="Arial" w:cs="Arial" w:eastAsia="Arial" w:hAnsi="Arial"/>
          <w:sz w:val="18"/>
          <w:szCs w:val="18"/>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Deferred tax assets are recognized when it is deemed more likely than not that the benefits of such deferred income taxes will be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Earnings per share:</w:t>
      </w:r>
    </w:p>
    <w:p>
      <w:pPr>
        <w:spacing w:after="0" w:line="2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At June 30, 2020, there were 512,142 stock options excluded from the calculation as their effect would have been anti-dilutive, whereas at June 30, 2021 there were no such options.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income:</w:t>
      </w:r>
    </w:p>
    <w:p>
      <w:pPr>
        <w:spacing w:after="0" w:line="2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reports as comprehensive income all changes in stockholders' equity during the year from sources other than stockholders. Other comprehensive income refers to all components (income, expenses, gains, and losses) of comprehensive income that are excluded from net income.</w:t>
      </w:r>
    </w:p>
    <w:p>
      <w:pPr>
        <w:spacing w:after="0" w:line="20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Company's only component of other comprehensive income is unrealized gains and losses on investment securities available for sale, net of income taxes. Information concerning the Company's accumulated other comprehensive income as of June 30, 2021 and December 31, 2020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December 31, 2020</w:t>
            </w:r>
          </w:p>
        </w:tc>
      </w:tr>
      <w:tr>
        <w:trPr>
          <w:trHeight w:val="208"/>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gains on securities available for sale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w:t>
            </w:r>
          </w:p>
        </w:tc>
      </w:tr>
      <w:tr>
        <w:trPr>
          <w:trHeight w:val="212"/>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Deferred tax expense</w:t>
            </w:r>
          </w:p>
        </w:tc>
        <w:tc>
          <w:tcPr>
            <w:tcW w:w="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r>
      <w:tr>
        <w:trPr>
          <w:trHeight w:val="230"/>
        </w:trPr>
        <w:tc>
          <w:tcPr>
            <w:tcW w:w="6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accumulated comprehensive income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5" w:name="page16"/>
    <w:bookmarkEnd w:id="15"/>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Recently issued accounting pronouncements:</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June 2016, the FASB issued guidance to change the accounting for credit losses and modify the impairment model for certain debt securities. The FASB subsequently revised ASU 2019-10, which delayed implementation and the new standard is now effective for fiscal years beginning after December 15, 2022, including the interim periods within those fiscal years. The Company expects the provisions of this standard to impact the Company’s consolidated financial statements, in particular, the level of the reserve for credit losses. The Company is continuing to evaluate the extent of the potential impact and expects that portfolio composition and economic conditions at the time of adoption will be a factor.</w:t>
      </w:r>
    </w:p>
    <w:p>
      <w:pPr>
        <w:spacing w:after="0" w:line="21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November 2019, the FASB issued guidance to defer the effective dates for private companies, not-for-profit organizations, and certain smaller reporting companies to apply standards on current expected loan losses (“CECL”). The new effective dates will be fiscal years beginning after December 15, 2022 including interim periods within those fiscal years. In addition, the FASB issued guidance that addresses issues raised by stakeholders during the implementation of ASU 2016-13, “Financial Instruments-loan losses (Topic 326): Measurement of Loan Losses on Financial Instruments.” The amendments affect a variety of Topics in the Accounting Standards Codification. For entities that have not yet adopted the amendments in ASU 2016-13, the amendments are effective for fiscal years beginning after December 15, 2022 including interim periods within those fiscal years. Early adoption is permitted in any interim period as long as an entity has adopted the amendments in ASU 2016-13. While the Company does not expect these amendments to have a material effect on its financial statements, the Company is continuing to evaluate the extent of the potential impact and expects that portfolio composition and economic conditions at the time of adoption will be a factor.</w:t>
      </w:r>
    </w:p>
    <w:p>
      <w:pPr>
        <w:spacing w:after="0" w:line="21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 will apply the ASU through a cumulative-effect adjustment to beginning retained earnings in the year of adoption. While early adoption has been permitted since first quarter 2019, the Company does not expect to early adopt. In addition to the allowance for loan losses, the Company will also record an allowance for credit losses on debt securities instead of applying the impairment model currently utilized. The amount of the adjustments will be impacted by each portfolio’s composition and credit quality at the adoption date as well as economic conditions and forecasts at that time.</w:t>
      </w:r>
    </w:p>
    <w:p>
      <w:pPr>
        <w:spacing w:after="0" w:line="20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April 2019, the FASB issued codification improvements to ASU Topic 326 - Financial Instruments - Credit Loss, Topic 815 - Derivatives and Hedging, and Subtopic 825-10 - Financial Instruments. This codification provides technical corrections and clarifies issues related to fair value hedges. The Company early adopted this guidance upon issuance, and it did not have a material impact on the Company’s consolidated financial statements.</w:t>
      </w:r>
    </w:p>
    <w:p>
      <w:pPr>
        <w:spacing w:after="0" w:line="20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December 2019, the FASB issued guidance to simplify accounting for income taxes by removing specific technical exceptions that often produce information investors have a hard time understanding. The amendments also improve consistent application of and simplify GAAP for other areas of Topic 740 by clarifying and amending existing guidance. The amendments are effective for fiscal years beginning after December 15, 2020, including interim periods within those fiscal years. The Company adopted the guidance during the first quarter of 2021 and it did not have a material impact on the Company’s financial statements.</w:t>
      </w:r>
    </w:p>
    <w:p>
      <w:pPr>
        <w:spacing w:after="0" w:line="20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This new ASU provides temporary optional expedients and exceptions to GAAP guidance on contract modifications and hedge accounting to ease the financial reporting burdens of the expected market transition from the London Interbank Offered Rate (“LIBOR”) and other interbank offered rates to alternative reference rates. Entities can elect not to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6" w:name="page17"/>
    <w:bookmarkEnd w:id="16"/>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 This amended guidance and the ability to elect its temporary optional expedients and exceptions are effective for the Company as of March 12, 2020 through December 31, 2022. The adoption of ASU 2020-04 Topic 848 is not expected to have a material impact on the Company’s financial statements.</w:t>
      </w:r>
    </w:p>
    <w:p>
      <w:pPr>
        <w:spacing w:after="0" w:line="21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March 2020, various regulatory agencies, including the Board of Governors of the Federal Reserve System and the Federal Deposit Insurance Corporation (“agencies”), issued an interagency statement on loan modifications and reporting for financial institutions working with customers affected by COVID-19. The interagency statement was effective immediately and impacted accounting for loan modifications. Under ASC 310-40, “Receivables - Troubled Debt Restructurings by Creditors,” a restructuring of debt constitutes a TDR if the creditor, for economic or legal reasons related to the debtor’s financial difficulties, grants a concession to the debtor that it would not otherwise consider. The agencies confirmed with the FASB that short-term modifications made on a good faith basis in response to COVID-19 to borrowers who were current prior to any relief, are not to be considered TDRs. Such modifications include short-term (e.g., six months) modifications that include payment deferrals of (i) principal and interest, (ii) interest only and (iii) principal only, fee waivers, extensions of repayment terms, or other delays in payment that are deemed insignificant. Borrowers considered current are those that are less than 30 days past due on their contractual payments at the time a modification program is implemented. As of June 30, 2021, the Company has offered payment deferrals for commercial and consumer customers for up to six months. The loan modifications offered to borrowers provided the borrower with payment relief in the form of reduced or deferred payments for up to 90 days (six months in selected instances) during which time interest is continuing to accrue. It is not expected that this interagency guidance will have a material impact on the Company’s financial statements; however, this impact cannot be quantified at this time.</w:t>
      </w:r>
    </w:p>
    <w:p>
      <w:pPr>
        <w:spacing w:after="0" w:line="21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are not expected to have a material impact on the Company's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23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Certain reclassifications have been made to amounts reported in prior periods to conform to the current period presentation. The reclassifications had no material effect on net income or total stockholders'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through the date the financial statements were available to be issued and no subsequent events occurred requiring accrual or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443865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Cash and cash equivalents include cash and amounts due from banks, interest bearing deposits and federal funds sold. The Bank is required by regulations to maintain an average cash reserve balance based on a percentage of deposits. At June 30, 2021 and December 31, 2020, the requirements were satisfied by amounts on deposit with the Federal Reserve Bank and cash on hand.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amortized cost and estimated fair value of investment securities at June 30, 2021 and December 31, 2020 are summarized as follows: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Investment Securities Available for Sale</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(in thousands)</w:t>
      </w:r>
    </w:p>
    <w:p>
      <w:pPr>
        <w:spacing w:after="0" w:line="2" w:lineRule="exact"/>
        <w:rPr>
          <w:sz w:val="20"/>
          <w:szCs w:val="20"/>
          <w:color w:val="auto"/>
        </w:rPr>
      </w:pPr>
    </w:p>
    <w:tbl>
      <w:tblPr>
        <w:tblLayout w:type="fixed"/>
        <w:tblInd w:w="32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 2021</w:t>
            </w:r>
          </w:p>
        </w:tc>
        <w:tc>
          <w:tcPr>
            <w:tcW w:w="5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89"/>
              <w:spacing w:after="0" w:line="159"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ind w:left="140"/>
              <w:spacing w:after="0" w:line="15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69"/>
              <w:spacing w:after="0" w:line="15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09"/>
              <w:spacing w:after="0" w:line="15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35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gridSpan w:val="2"/>
          </w:tcPr>
          <w:p>
            <w:pPr>
              <w:ind w:left="180"/>
              <w:spacing w:after="0" w:line="146" w:lineRule="exact"/>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2"/>
                <w:szCs w:val="12"/>
                <w:color w:val="auto"/>
              </w:rPr>
            </w:pPr>
          </w:p>
        </w:tc>
        <w:tc>
          <w:tcPr>
            <w:tcW w:w="1300" w:type="dxa"/>
            <w:vAlign w:val="bottom"/>
            <w:gridSpan w:val="2"/>
          </w:tcPr>
          <w:p>
            <w:pPr>
              <w:ind w:left="140"/>
              <w:spacing w:after="0" w:line="146" w:lineRule="exact"/>
              <w:rPr>
                <w:sz w:val="20"/>
                <w:szCs w:val="20"/>
                <w:color w:val="auto"/>
              </w:rPr>
            </w:pPr>
            <w:r>
              <w:rPr>
                <w:rFonts w:ascii="Arial" w:cs="Arial" w:eastAsia="Arial" w:hAnsi="Arial"/>
                <w:sz w:val="14"/>
                <w:szCs w:val="14"/>
                <w:b w:val="1"/>
                <w:bCs w:val="1"/>
                <w:color w:val="auto"/>
              </w:rPr>
              <w:t>Gains</w:t>
            </w:r>
          </w:p>
        </w:tc>
        <w:tc>
          <w:tcPr>
            <w:tcW w:w="520" w:type="dxa"/>
            <w:vAlign w:val="bottom"/>
          </w:tcPr>
          <w:p>
            <w:pPr>
              <w:spacing w:after="0"/>
              <w:rPr>
                <w:sz w:val="12"/>
                <w:szCs w:val="12"/>
                <w:color w:val="auto"/>
              </w:rPr>
            </w:pPr>
          </w:p>
        </w:tc>
        <w:tc>
          <w:tcPr>
            <w:tcW w:w="1320" w:type="dxa"/>
            <w:vAlign w:val="bottom"/>
            <w:gridSpan w:val="2"/>
          </w:tcPr>
          <w:p>
            <w:pPr>
              <w:ind w:left="100"/>
              <w:spacing w:after="0" w:line="146" w:lineRule="exact"/>
              <w:rPr>
                <w:sz w:val="20"/>
                <w:szCs w:val="20"/>
                <w:color w:val="auto"/>
              </w:rPr>
            </w:pPr>
            <w:r>
              <w:rPr>
                <w:rFonts w:ascii="Arial" w:cs="Arial" w:eastAsia="Arial" w:hAnsi="Arial"/>
                <w:sz w:val="14"/>
                <w:szCs w:val="14"/>
                <w:b w:val="1"/>
                <w:bCs w:val="1"/>
                <w:color w:val="auto"/>
              </w:rPr>
              <w:t>Losses</w:t>
            </w:r>
          </w:p>
        </w:tc>
        <w:tc>
          <w:tcPr>
            <w:tcW w:w="560" w:type="dxa"/>
            <w:vAlign w:val="bottom"/>
          </w:tcPr>
          <w:p>
            <w:pPr>
              <w:spacing w:after="0"/>
              <w:rPr>
                <w:sz w:val="12"/>
                <w:szCs w:val="12"/>
                <w:color w:val="auto"/>
              </w:rPr>
            </w:pPr>
          </w:p>
        </w:tc>
        <w:tc>
          <w:tcPr>
            <w:tcW w:w="980" w:type="dxa"/>
            <w:vAlign w:val="bottom"/>
          </w:tcPr>
          <w:p>
            <w:pPr>
              <w:jc w:val="right"/>
              <w:ind w:right="409"/>
              <w:spacing w:after="0" w:line="146"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shd w:val="clear" w:color="auto" w:fill="CCEEFF"/>
          </w:tcPr>
          <w:p>
            <w:pPr>
              <w:spacing w:after="0"/>
              <w:rPr>
                <w:sz w:val="13"/>
                <w:szCs w:val="13"/>
                <w:color w:val="auto"/>
              </w:rPr>
            </w:pPr>
          </w:p>
        </w:tc>
        <w:tc>
          <w:tcPr>
            <w:tcW w:w="358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b w:val="1"/>
                <w:bCs w:val="1"/>
                <w:i w:val="1"/>
                <w:iCs w:val="1"/>
                <w:color w:val="auto"/>
              </w:rPr>
              <w:t>Available for sale</w:t>
            </w:r>
          </w:p>
        </w:tc>
        <w:tc>
          <w:tcPr>
            <w:tcW w:w="5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580" w:type="dxa"/>
            <w:vAlign w:val="bottom"/>
            <w:gridSpan w:val="2"/>
          </w:tcPr>
          <w:p>
            <w:pPr>
              <w:ind w:left="120"/>
              <w:spacing w:after="0"/>
              <w:rPr>
                <w:sz w:val="20"/>
                <w:szCs w:val="20"/>
                <w:color w:val="auto"/>
              </w:rPr>
            </w:pPr>
            <w:r>
              <w:rPr>
                <w:rFonts w:ascii="Arial" w:cs="Arial" w:eastAsia="Arial" w:hAnsi="Arial"/>
                <w:sz w:val="14"/>
                <w:szCs w:val="14"/>
                <w:color w:val="auto"/>
              </w:rPr>
              <w:t>U.S. Treasuries</w:t>
            </w:r>
          </w:p>
        </w:tc>
        <w:tc>
          <w:tcPr>
            <w:tcW w:w="56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102,315</w:t>
            </w:r>
          </w:p>
        </w:tc>
        <w:tc>
          <w:tcPr>
            <w:tcW w:w="12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2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16"/>
                <w:szCs w:val="16"/>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102,1</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Municipal</w:t>
            </w: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10,831</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580" w:type="dxa"/>
            <w:vAlign w:val="bottom"/>
            <w:gridSpan w:val="2"/>
          </w:tcPr>
          <w:p>
            <w:pPr>
              <w:ind w:left="120"/>
              <w:spacing w:after="0"/>
              <w:rPr>
                <w:sz w:val="20"/>
                <w:szCs w:val="20"/>
                <w:color w:val="auto"/>
              </w:rPr>
            </w:pPr>
            <w:r>
              <w:rPr>
                <w:rFonts w:ascii="Arial" w:cs="Arial" w:eastAsia="Arial" w:hAnsi="Arial"/>
                <w:sz w:val="14"/>
                <w:szCs w:val="14"/>
                <w:color w:val="auto"/>
              </w:rPr>
              <w:t>Corporate</w:t>
            </w: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7,000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Asset-backed securities</w:t>
            </w: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10,452</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w:t>
            </w:r>
          </w:p>
        </w:tc>
        <w:tc>
          <w:tcPr>
            <w:tcW w:w="0" w:type="dxa"/>
            <w:vAlign w:val="bottom"/>
          </w:tcPr>
          <w:p>
            <w:pPr>
              <w:spacing w:after="0"/>
              <w:rPr>
                <w:sz w:val="1"/>
                <w:szCs w:val="1"/>
                <w:color w:val="auto"/>
              </w:rPr>
            </w:pPr>
          </w:p>
        </w:tc>
      </w:tr>
      <w:tr>
        <w:trPr>
          <w:trHeight w:val="185"/>
        </w:trPr>
        <w:tc>
          <w:tcPr>
            <w:tcW w:w="340" w:type="dxa"/>
            <w:vAlign w:val="bottom"/>
            <w:tcBorders>
              <w:bottom w:val="single" w:sz="8" w:color="CCEEFF"/>
            </w:tcBorders>
          </w:tcPr>
          <w:p>
            <w:pPr>
              <w:spacing w:after="0"/>
              <w:rPr>
                <w:sz w:val="16"/>
                <w:szCs w:val="16"/>
                <w:color w:val="auto"/>
              </w:rPr>
            </w:pPr>
          </w:p>
        </w:tc>
        <w:tc>
          <w:tcPr>
            <w:tcW w:w="3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Mortgage-backed securities</w:t>
            </w: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29,697</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758</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30,1</w:t>
            </w:r>
          </w:p>
        </w:tc>
        <w:tc>
          <w:tcPr>
            <w:tcW w:w="0" w:type="dxa"/>
            <w:vAlign w:val="bottom"/>
          </w:tcPr>
          <w:p>
            <w:pPr>
              <w:spacing w:after="0"/>
              <w:rPr>
                <w:sz w:val="1"/>
                <w:szCs w:val="1"/>
                <w:color w:val="auto"/>
              </w:rPr>
            </w:pPr>
          </w:p>
        </w:tc>
      </w:tr>
      <w:tr>
        <w:trPr>
          <w:trHeight w:val="204"/>
        </w:trPr>
        <w:tc>
          <w:tcPr>
            <w:tcW w:w="340" w:type="dxa"/>
            <w:vAlign w:val="bottom"/>
            <w:tcBorders>
              <w:bottom w:val="single" w:sz="8" w:color="CCEEFF"/>
            </w:tcBorders>
            <w:shd w:val="clear" w:color="auto" w:fill="CCEEFF"/>
          </w:tcPr>
          <w:p>
            <w:pPr>
              <w:spacing w:after="0"/>
              <w:rPr>
                <w:sz w:val="17"/>
                <w:szCs w:val="17"/>
                <w:color w:val="auto"/>
              </w:rPr>
            </w:pPr>
          </w:p>
        </w:tc>
        <w:tc>
          <w:tcPr>
            <w:tcW w:w="3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160,295</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975</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(755)</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160,5</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2020</w:t>
            </w: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580" w:type="dxa"/>
            <w:vAlign w:val="bottom"/>
            <w:gridSpan w:val="2"/>
          </w:tcPr>
          <w:p>
            <w:pPr>
              <w:spacing w:after="0"/>
              <w:rPr>
                <w:sz w:val="20"/>
                <w:szCs w:val="20"/>
                <w:color w:val="auto"/>
              </w:rPr>
            </w:pPr>
            <w:r>
              <w:rPr>
                <w:rFonts w:ascii="Arial" w:cs="Arial" w:eastAsia="Arial" w:hAnsi="Arial"/>
                <w:sz w:val="14"/>
                <w:szCs w:val="14"/>
                <w:i w:val="1"/>
                <w:iCs w:val="1"/>
                <w:color w:val="auto"/>
              </w:rPr>
              <w:t>Available for sale</w:t>
            </w: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Municipal</w:t>
            </w: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10,836</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580" w:type="dxa"/>
            <w:vAlign w:val="bottom"/>
            <w:gridSpan w:val="2"/>
          </w:tcPr>
          <w:p>
            <w:pPr>
              <w:ind w:left="120"/>
              <w:spacing w:after="0"/>
              <w:rPr>
                <w:sz w:val="20"/>
                <w:szCs w:val="20"/>
                <w:color w:val="auto"/>
              </w:rPr>
            </w:pPr>
            <w:r>
              <w:rPr>
                <w:rFonts w:ascii="Arial" w:cs="Arial" w:eastAsia="Arial" w:hAnsi="Arial"/>
                <w:sz w:val="14"/>
                <w:szCs w:val="14"/>
                <w:color w:val="auto"/>
              </w:rPr>
              <w:t>Corporate</w:t>
            </w: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5,759</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Asset-backed securities</w:t>
            </w: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10,839</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6"/>
        </w:trPr>
        <w:tc>
          <w:tcPr>
            <w:tcW w:w="340" w:type="dxa"/>
            <w:vAlign w:val="bottom"/>
            <w:tcBorders>
              <w:bottom w:val="single" w:sz="8" w:color="CCEEFF"/>
            </w:tcBorders>
          </w:tcPr>
          <w:p>
            <w:pPr>
              <w:spacing w:after="0"/>
              <w:rPr>
                <w:sz w:val="16"/>
                <w:szCs w:val="16"/>
                <w:color w:val="auto"/>
              </w:rPr>
            </w:pPr>
          </w:p>
        </w:tc>
        <w:tc>
          <w:tcPr>
            <w:tcW w:w="3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Mortgage-backed securities</w:t>
            </w: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70,016</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2,208</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204"/>
        </w:trPr>
        <w:tc>
          <w:tcPr>
            <w:tcW w:w="340" w:type="dxa"/>
            <w:vAlign w:val="bottom"/>
            <w:tcBorders>
              <w:bottom w:val="single" w:sz="8" w:color="CCEEFF"/>
            </w:tcBorders>
            <w:shd w:val="clear" w:color="auto" w:fill="CCEEFF"/>
          </w:tcPr>
          <w:p>
            <w:pPr>
              <w:spacing w:after="0"/>
              <w:rPr>
                <w:sz w:val="17"/>
                <w:szCs w:val="17"/>
                <w:color w:val="auto"/>
              </w:rPr>
            </w:pPr>
          </w:p>
        </w:tc>
        <w:tc>
          <w:tcPr>
            <w:tcW w:w="3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97,450</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2,388</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There were 28 securities sold during the six months ended June 30, 2021. Proceeds from sales of securities sold during the six months ended June 30, 2021 were $66.5 million. The investment sales resulted in realized gains of $153 thousand for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15" w:right="239" w:bottom="1440" w:gutter="0" w:footer="0" w:header="0"/>
        </w:sectPr>
      </w:pPr>
    </w:p>
    <w:bookmarkStart w:id="18" w:name="page19"/>
    <w:bookmarkEnd w:id="18"/>
    <w:p>
      <w:pPr>
        <w:ind w:left="6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-173990</wp:posOffset>
            </wp:positionV>
            <wp:extent cx="653732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6350</wp:posOffset>
            </wp:positionV>
            <wp:extent cx="65373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3 - Investment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related to unrealized losses in the investment portfolio as of June 30, 2021 and December 31, 2020 is summarized as follows: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Investment Securities Unrealized Losses</w:t>
      </w:r>
    </w:p>
    <w:p>
      <w:pPr>
        <w:spacing w:after="0" w:line="33" w:lineRule="exact"/>
        <w:rPr>
          <w:sz w:val="20"/>
          <w:szCs w:val="20"/>
          <w:color w:val="auto"/>
        </w:rPr>
      </w:pPr>
    </w:p>
    <w:tbl>
      <w:tblPr>
        <w:tblLayout w:type="fixed"/>
        <w:tblInd w:w="42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2260" w:type="dxa"/>
            <w:vAlign w:val="bottom"/>
            <w:gridSpan w:val="4"/>
          </w:tcPr>
          <w:p>
            <w:pPr>
              <w:spacing w:after="0"/>
              <w:rPr>
                <w:sz w:val="20"/>
                <w:szCs w:val="20"/>
                <w:color w:val="auto"/>
              </w:rPr>
            </w:pPr>
            <w:r>
              <w:rPr>
                <w:rFonts w:ascii="Arial" w:cs="Arial" w:eastAsia="Arial" w:hAnsi="Arial"/>
                <w:sz w:val="11"/>
                <w:szCs w:val="11"/>
                <w:color w:val="auto"/>
              </w:rPr>
              <w:t>(in thousands)</w:t>
            </w:r>
          </w:p>
        </w:tc>
        <w:tc>
          <w:tcPr>
            <w:tcW w:w="440" w:type="dxa"/>
            <w:vAlign w:val="bottom"/>
          </w:tcPr>
          <w:p>
            <w:pPr>
              <w:spacing w:after="0"/>
              <w:rPr>
                <w:sz w:val="16"/>
                <w:szCs w:val="16"/>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Less than 12 months</w:t>
            </w:r>
          </w:p>
        </w:tc>
        <w:tc>
          <w:tcPr>
            <w:tcW w:w="420" w:type="dxa"/>
            <w:vAlign w:val="bottom"/>
          </w:tcPr>
          <w:p>
            <w:pPr>
              <w:spacing w:after="0"/>
              <w:rPr>
                <w:sz w:val="16"/>
                <w:szCs w:val="16"/>
                <w:color w:val="auto"/>
              </w:rPr>
            </w:pPr>
          </w:p>
        </w:tc>
        <w:tc>
          <w:tcPr>
            <w:tcW w:w="2520" w:type="dxa"/>
            <w:vAlign w:val="bottom"/>
            <w:gridSpan w:val="5"/>
          </w:tcPr>
          <w:p>
            <w:pPr>
              <w:ind w:left="480"/>
              <w:spacing w:after="0"/>
              <w:rPr>
                <w:sz w:val="20"/>
                <w:szCs w:val="20"/>
                <w:color w:val="auto"/>
              </w:rPr>
            </w:pPr>
            <w:r>
              <w:rPr>
                <w:rFonts w:ascii="Arial" w:cs="Arial" w:eastAsia="Arial" w:hAnsi="Arial"/>
                <w:sz w:val="14"/>
                <w:szCs w:val="14"/>
                <w:b w:val="1"/>
                <w:bCs w:val="1"/>
                <w:color w:val="auto"/>
              </w:rPr>
              <w:t>12 months or longer</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rPr>
              <w:t>Total</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2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2021</w:t>
            </w:r>
          </w:p>
        </w:tc>
        <w:tc>
          <w:tcPr>
            <w:tcW w:w="4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260"/>
              <w:spacing w:after="0" w:line="139" w:lineRule="exact"/>
              <w:rPr>
                <w:sz w:val="20"/>
                <w:szCs w:val="20"/>
                <w:color w:val="auto"/>
              </w:rPr>
            </w:pPr>
            <w:r>
              <w:rPr>
                <w:rFonts w:ascii="Arial" w:cs="Arial" w:eastAsia="Arial" w:hAnsi="Arial"/>
                <w:sz w:val="14"/>
                <w:szCs w:val="14"/>
                <w:b w:val="1"/>
                <w:bCs w:val="1"/>
                <w:color w:val="auto"/>
              </w:rPr>
              <w:t>Fair</w:t>
            </w:r>
          </w:p>
        </w:tc>
        <w:tc>
          <w:tcPr>
            <w:tcW w:w="4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89"/>
              <w:spacing w:after="0" w:line="13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20"/>
              <w:spacing w:after="0" w:line="139" w:lineRule="exact"/>
              <w:rPr>
                <w:sz w:val="20"/>
                <w:szCs w:val="20"/>
                <w:color w:val="auto"/>
              </w:rPr>
            </w:pPr>
            <w:r>
              <w:rPr>
                <w:rFonts w:ascii="Arial" w:cs="Arial" w:eastAsia="Arial" w:hAnsi="Arial"/>
                <w:sz w:val="14"/>
                <w:szCs w:val="14"/>
                <w:b w:val="1"/>
                <w:bCs w:val="1"/>
                <w:color w:val="auto"/>
              </w:rPr>
              <w:t>Fair</w:t>
            </w:r>
          </w:p>
        </w:tc>
        <w:tc>
          <w:tcPr>
            <w:tcW w:w="4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09"/>
              <w:spacing w:after="0" w:line="139" w:lineRule="exact"/>
              <w:rPr>
                <w:sz w:val="20"/>
                <w:szCs w:val="20"/>
                <w:color w:val="auto"/>
              </w:rPr>
            </w:pPr>
            <w:r>
              <w:rPr>
                <w:rFonts w:ascii="Arial" w:cs="Arial" w:eastAsia="Arial" w:hAnsi="Arial"/>
                <w:sz w:val="14"/>
                <w:szCs w:val="14"/>
                <w:b w:val="1"/>
                <w:bCs w:val="1"/>
                <w:color w:val="auto"/>
              </w:rPr>
              <w:t>Fair</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ind w:left="40"/>
              <w:spacing w:after="0" w:line="146" w:lineRule="exact"/>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2"/>
                <w:szCs w:val="12"/>
                <w:color w:val="auto"/>
              </w:rPr>
            </w:pPr>
          </w:p>
        </w:tc>
        <w:tc>
          <w:tcPr>
            <w:tcW w:w="102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Losses</w:t>
            </w:r>
          </w:p>
        </w:tc>
        <w:tc>
          <w:tcPr>
            <w:tcW w:w="420" w:type="dxa"/>
            <w:vAlign w:val="bottom"/>
          </w:tcPr>
          <w:p>
            <w:pPr>
              <w:spacing w:after="0"/>
              <w:rPr>
                <w:sz w:val="12"/>
                <w:szCs w:val="12"/>
                <w:color w:val="auto"/>
              </w:rPr>
            </w:pPr>
          </w:p>
        </w:tc>
        <w:tc>
          <w:tcPr>
            <w:tcW w:w="92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2"/>
                <w:szCs w:val="12"/>
                <w:color w:val="auto"/>
              </w:rPr>
            </w:pPr>
          </w:p>
        </w:tc>
        <w:tc>
          <w:tcPr>
            <w:tcW w:w="1140" w:type="dxa"/>
            <w:vAlign w:val="bottom"/>
            <w:gridSpan w:val="2"/>
          </w:tcPr>
          <w:p>
            <w:pPr>
              <w:ind w:left="40"/>
              <w:spacing w:after="0" w:line="146" w:lineRule="exact"/>
              <w:rPr>
                <w:sz w:val="20"/>
                <w:szCs w:val="20"/>
                <w:color w:val="auto"/>
              </w:rPr>
            </w:pPr>
            <w:r>
              <w:rPr>
                <w:rFonts w:ascii="Arial" w:cs="Arial" w:eastAsia="Arial" w:hAnsi="Arial"/>
                <w:sz w:val="14"/>
                <w:szCs w:val="14"/>
                <w:b w:val="1"/>
                <w:bCs w:val="1"/>
                <w:color w:val="auto"/>
              </w:rPr>
              <w:t>Losses</w:t>
            </w:r>
          </w:p>
        </w:tc>
        <w:tc>
          <w:tcPr>
            <w:tcW w:w="440" w:type="dxa"/>
            <w:vAlign w:val="bottom"/>
          </w:tcPr>
          <w:p>
            <w:pPr>
              <w:spacing w:after="0"/>
              <w:rPr>
                <w:sz w:val="12"/>
                <w:szCs w:val="12"/>
                <w:color w:val="auto"/>
              </w:rPr>
            </w:pPr>
          </w:p>
        </w:tc>
        <w:tc>
          <w:tcPr>
            <w:tcW w:w="880" w:type="dxa"/>
            <w:vAlign w:val="bottom"/>
          </w:tcPr>
          <w:p>
            <w:pPr>
              <w:jc w:val="right"/>
              <w:ind w:right="409"/>
              <w:spacing w:after="0" w:line="146"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ind w:right="189"/>
              <w:spacing w:after="0" w:line="146" w:lineRule="exact"/>
              <w:rPr>
                <w:sz w:val="20"/>
                <w:szCs w:val="20"/>
                <w:color w:val="auto"/>
              </w:rPr>
            </w:pPr>
            <w:r>
              <w:rPr>
                <w:rFonts w:ascii="Arial" w:cs="Arial" w:eastAsia="Arial" w:hAnsi="Arial"/>
                <w:sz w:val="14"/>
                <w:szCs w:val="14"/>
                <w:b w:val="1"/>
                <w:bCs w:val="1"/>
                <w:color w:val="auto"/>
                <w:w w:val="95"/>
              </w:rPr>
              <w:t>Losses</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600" w:type="dxa"/>
            <w:vAlign w:val="bottom"/>
            <w:gridSpan w:val="5"/>
          </w:tcPr>
          <w:p>
            <w:pPr>
              <w:ind w:left="20"/>
              <w:spacing w:after="0"/>
              <w:rPr>
                <w:sz w:val="20"/>
                <w:szCs w:val="20"/>
                <w:color w:val="auto"/>
              </w:rPr>
            </w:pPr>
            <w:r>
              <w:rPr>
                <w:rFonts w:ascii="Arial" w:cs="Arial" w:eastAsia="Arial" w:hAnsi="Arial"/>
                <w:sz w:val="14"/>
                <w:szCs w:val="14"/>
                <w:color w:val="auto"/>
              </w:rPr>
              <w:t>U.S. Treasuries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58,858</w:t>
            </w: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left="669"/>
              <w:spacing w:after="0"/>
              <w:rPr>
                <w:sz w:val="20"/>
                <w:szCs w:val="20"/>
                <w:color w:val="auto"/>
              </w:rPr>
            </w:pPr>
            <w:r>
              <w:rPr>
                <w:rFonts w:ascii="Arial" w:cs="Arial" w:eastAsia="Arial" w:hAnsi="Arial"/>
                <w:sz w:val="14"/>
                <w:szCs w:val="14"/>
                <w:b w:val="1"/>
                <w:bCs w:val="1"/>
                <w:color w:val="auto"/>
                <w:w w:val="99"/>
              </w:rPr>
              <w:t>—</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58,858</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Municipal</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9,150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left="569"/>
              <w:spacing w:after="0"/>
              <w:rPr>
                <w:sz w:val="20"/>
                <w:szCs w:val="20"/>
                <w:color w:val="auto"/>
              </w:rPr>
            </w:pPr>
            <w:r>
              <w:rPr>
                <w:rFonts w:ascii="Arial" w:cs="Arial" w:eastAsia="Arial" w:hAnsi="Arial"/>
                <w:sz w:val="14"/>
                <w:szCs w:val="14"/>
                <w:b w:val="1"/>
                <w:bCs w:val="1"/>
                <w:color w:val="auto"/>
                <w:w w:val="99"/>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9,150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2260" w:type="dxa"/>
            <w:vAlign w:val="bottom"/>
            <w:gridSpan w:val="4"/>
          </w:tcPr>
          <w:p>
            <w:pPr>
              <w:spacing w:after="0"/>
              <w:rPr>
                <w:sz w:val="20"/>
                <w:szCs w:val="20"/>
                <w:color w:val="auto"/>
              </w:rPr>
            </w:pPr>
            <w:r>
              <w:rPr>
                <w:rFonts w:ascii="Arial" w:cs="Arial" w:eastAsia="Arial" w:hAnsi="Arial"/>
                <w:sz w:val="14"/>
                <w:szCs w:val="14"/>
                <w:color w:val="auto"/>
              </w:rPr>
              <w:t>Corporate</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3,966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140" w:type="dxa"/>
            <w:vAlign w:val="bottom"/>
            <w:gridSpan w:val="2"/>
          </w:tcPr>
          <w:p>
            <w:pPr>
              <w:jc w:val="center"/>
              <w:ind w:left="569"/>
              <w:spacing w:after="0"/>
              <w:rPr>
                <w:sz w:val="20"/>
                <w:szCs w:val="20"/>
                <w:color w:val="auto"/>
              </w:rPr>
            </w:pPr>
            <w:r>
              <w:rPr>
                <w:rFonts w:ascii="Arial" w:cs="Arial" w:eastAsia="Arial" w:hAnsi="Arial"/>
                <w:sz w:val="14"/>
                <w:szCs w:val="14"/>
                <w:b w:val="1"/>
                <w:bCs w:val="1"/>
                <w:color w:val="auto"/>
                <w:w w:val="99"/>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3,966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3,534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left="569"/>
              <w:spacing w:after="0"/>
              <w:rPr>
                <w:sz w:val="20"/>
                <w:szCs w:val="20"/>
                <w:color w:val="auto"/>
              </w:rPr>
            </w:pPr>
            <w:r>
              <w:rPr>
                <w:rFonts w:ascii="Arial" w:cs="Arial" w:eastAsia="Arial" w:hAnsi="Arial"/>
                <w:sz w:val="14"/>
                <w:szCs w:val="14"/>
                <w:b w:val="1"/>
                <w:bCs w:val="1"/>
                <w:color w:val="auto"/>
                <w:w w:val="99"/>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3,534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0" w:type="dxa"/>
            <w:vAlign w:val="bottom"/>
            <w:gridSpan w:val="5"/>
          </w:tcPr>
          <w:p>
            <w:pPr>
              <w:ind w:left="20"/>
              <w:spacing w:after="0"/>
              <w:rPr>
                <w:sz w:val="20"/>
                <w:szCs w:val="20"/>
                <w:color w:val="auto"/>
              </w:rPr>
            </w:pPr>
            <w:r>
              <w:rPr>
                <w:rFonts w:ascii="Arial" w:cs="Arial" w:eastAsia="Arial" w:hAnsi="Arial"/>
                <w:sz w:val="14"/>
                <w:szCs w:val="14"/>
                <w:color w:val="auto"/>
              </w:rPr>
              <w:t>Mortgage-backed securities</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18,085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(304)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140" w:type="dxa"/>
            <w:vAlign w:val="bottom"/>
            <w:gridSpan w:val="2"/>
          </w:tcPr>
          <w:p>
            <w:pPr>
              <w:jc w:val="center"/>
              <w:ind w:left="569"/>
              <w:spacing w:after="0"/>
              <w:rPr>
                <w:sz w:val="20"/>
                <w:szCs w:val="20"/>
                <w:color w:val="auto"/>
              </w:rPr>
            </w:pPr>
            <w:r>
              <w:rPr>
                <w:rFonts w:ascii="Arial" w:cs="Arial" w:eastAsia="Arial" w:hAnsi="Arial"/>
                <w:sz w:val="14"/>
                <w:szCs w:val="14"/>
                <w:b w:val="1"/>
                <w:bCs w:val="1"/>
                <w:color w:val="auto"/>
                <w:w w:val="99"/>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18,085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260" w:type="dxa"/>
            <w:vAlign w:val="bottom"/>
            <w:tcBorders>
              <w:top w:val="single" w:sz="8" w:color="CCEEFF"/>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93,593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center"/>
              <w:ind w:left="669"/>
              <w:spacing w:after="0"/>
              <w:rPr>
                <w:sz w:val="20"/>
                <w:szCs w:val="20"/>
                <w:color w:val="auto"/>
              </w:rPr>
            </w:pPr>
            <w:r>
              <w:rPr>
                <w:rFonts w:ascii="Arial" w:cs="Arial" w:eastAsia="Arial" w:hAnsi="Arial"/>
                <w:sz w:val="14"/>
                <w:szCs w:val="14"/>
                <w:b w:val="1"/>
                <w:bCs w:val="1"/>
                <w:color w:val="auto"/>
                <w:w w:val="99"/>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93,593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2020</w:t>
            </w:r>
          </w:p>
        </w:tc>
        <w:tc>
          <w:tcPr>
            <w:tcW w:w="8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2260" w:type="dxa"/>
            <w:vAlign w:val="bottom"/>
            <w:gridSpan w:val="4"/>
          </w:tcPr>
          <w:p>
            <w:pPr>
              <w:spacing w:after="0"/>
              <w:rPr>
                <w:sz w:val="20"/>
                <w:szCs w:val="20"/>
                <w:color w:val="auto"/>
              </w:rPr>
            </w:pPr>
            <w:r>
              <w:rPr>
                <w:rFonts w:ascii="Arial" w:cs="Arial" w:eastAsia="Arial" w:hAnsi="Arial"/>
                <w:sz w:val="14"/>
                <w:szCs w:val="14"/>
                <w:color w:val="auto"/>
              </w:rPr>
              <w:t>Municipal</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3,151</w:t>
            </w: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569"/>
              <w:spacing w:after="0"/>
              <w:rPr>
                <w:sz w:val="20"/>
                <w:szCs w:val="20"/>
                <w:color w:val="auto"/>
              </w:rPr>
            </w:pPr>
            <w:r>
              <w:rPr>
                <w:rFonts w:ascii="Arial" w:cs="Arial" w:eastAsia="Arial" w:hAnsi="Arial"/>
                <w:sz w:val="14"/>
                <w:szCs w:val="14"/>
                <w:color w:val="auto"/>
                <w:w w:val="99"/>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3,151</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Corporate</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center"/>
              <w:ind w:left="649"/>
              <w:spacing w:after="0"/>
              <w:rPr>
                <w:sz w:val="20"/>
                <w:szCs w:val="20"/>
                <w:color w:val="auto"/>
              </w:rPr>
            </w:pPr>
            <w:r>
              <w:rPr>
                <w:rFonts w:ascii="Arial" w:cs="Arial" w:eastAsia="Arial" w:hAnsi="Arial"/>
                <w:sz w:val="14"/>
                <w:szCs w:val="14"/>
                <w:color w:val="auto"/>
                <w:w w:val="96"/>
              </w:rPr>
              <w:t>(16)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5"/>
        </w:trPr>
        <w:tc>
          <w:tcPr>
            <w:tcW w:w="2600" w:type="dxa"/>
            <w:vAlign w:val="bottom"/>
            <w:tcBorders>
              <w:bottom w:val="single" w:sz="8" w:color="CCEEFF"/>
            </w:tcBorders>
            <w:gridSpan w:val="5"/>
          </w:tcPr>
          <w:p>
            <w:pPr>
              <w:ind w:left="20"/>
              <w:spacing w:after="0"/>
              <w:rPr>
                <w:sz w:val="20"/>
                <w:szCs w:val="20"/>
                <w:color w:val="auto"/>
              </w:rPr>
            </w:pPr>
            <w:r>
              <w:rPr>
                <w:rFonts w:ascii="Arial" w:cs="Arial" w:eastAsia="Arial" w:hAnsi="Arial"/>
                <w:sz w:val="14"/>
                <w:szCs w:val="14"/>
                <w:color w:val="auto"/>
              </w:rPr>
              <w:t>Mortgage-backed securities</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669"/>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340" w:type="dxa"/>
            <w:vAlign w:val="bottom"/>
            <w:shd w:val="clear" w:color="auto" w:fill="CCEEFF"/>
          </w:tcPr>
          <w:p>
            <w:pPr>
              <w:spacing w:after="0"/>
              <w:rPr>
                <w:sz w:val="17"/>
                <w:szCs w:val="17"/>
                <w:color w:val="auto"/>
              </w:rPr>
            </w:pPr>
          </w:p>
        </w:tc>
        <w:tc>
          <w:tcPr>
            <w:tcW w:w="226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ind w:left="649"/>
              <w:spacing w:after="0"/>
              <w:rPr>
                <w:sz w:val="20"/>
                <w:szCs w:val="20"/>
                <w:color w:val="auto"/>
              </w:rPr>
            </w:pPr>
            <w:r>
              <w:rPr>
                <w:rFonts w:ascii="Arial" w:cs="Arial" w:eastAsia="Arial" w:hAnsi="Arial"/>
                <w:sz w:val="14"/>
                <w:szCs w:val="14"/>
                <w:color w:val="auto"/>
                <w:w w:val="96"/>
              </w:rPr>
              <w:t>(16)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left="100" w:right="100" w:firstLine="318"/>
        <w:spacing w:after="0" w:line="247" w:lineRule="auto"/>
        <w:rPr>
          <w:sz w:val="20"/>
          <w:szCs w:val="20"/>
          <w:color w:val="auto"/>
        </w:rPr>
      </w:pPr>
      <w:r>
        <w:rPr>
          <w:rFonts w:ascii="Arial" w:cs="Arial" w:eastAsia="Arial" w:hAnsi="Arial"/>
          <w:sz w:val="18"/>
          <w:szCs w:val="18"/>
          <w:color w:val="auto"/>
        </w:rPr>
        <w:t>At June 30, 2021, there were no securities and at December 31, 2020 there was one security that had been in an unrealized loss position for greater than twelve months. Management believes that the unrealized loss at June 30, 2021 resulted from changes in the interest rates and current market conditions and not as a result of credit deterioration. Management has the ability and the intent to hold these investment securities until maturity or until they recover in value.</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pledged securities at June 30, 2021 and December 31, 2020 is shown below:</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Pledged Securities</w:t>
      </w:r>
    </w:p>
    <w:p>
      <w:pPr>
        <w:spacing w:after="0" w:line="33"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89"/>
              <w:spacing w:after="0"/>
              <w:rPr>
                <w:sz w:val="20"/>
                <w:szCs w:val="20"/>
                <w:color w:val="auto"/>
              </w:rPr>
            </w:pPr>
            <w:r>
              <w:rPr>
                <w:rFonts w:ascii="Arial" w:cs="Arial" w:eastAsia="Arial" w:hAnsi="Arial"/>
                <w:sz w:val="14"/>
                <w:szCs w:val="14"/>
                <w:b w:val="1"/>
                <w:bCs w:val="1"/>
                <w:color w:val="auto"/>
              </w:rPr>
              <w:t>December 31, 2020</w:t>
            </w:r>
          </w:p>
        </w:tc>
      </w:tr>
      <w:tr>
        <w:trPr>
          <w:trHeight w:val="139"/>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jc w:val="center"/>
              <w:ind w:right="649"/>
              <w:spacing w:after="0" w:line="139" w:lineRule="exact"/>
              <w:rPr>
                <w:sz w:val="20"/>
                <w:szCs w:val="20"/>
                <w:color w:val="auto"/>
              </w:rPr>
            </w:pPr>
            <w:r>
              <w:rPr>
                <w:rFonts w:ascii="Arial" w:cs="Arial" w:eastAsia="Arial" w:hAnsi="Arial"/>
                <w:sz w:val="14"/>
                <w:szCs w:val="14"/>
                <w:b w:val="1"/>
                <w:bCs w:val="1"/>
                <w:color w:val="auto"/>
              </w:rPr>
              <w:t>Amortized</w:t>
            </w:r>
          </w:p>
        </w:tc>
        <w:tc>
          <w:tcPr>
            <w:tcW w:w="800" w:type="dxa"/>
            <w:vAlign w:val="bottom"/>
          </w:tcPr>
          <w:p>
            <w:pPr>
              <w:jc w:val="center"/>
              <w:ind w:right="349"/>
              <w:spacing w:after="0" w:line="13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9"/>
              </w:rPr>
              <w:t>Amortized</w:t>
            </w:r>
          </w:p>
        </w:tc>
        <w:tc>
          <w:tcPr>
            <w:tcW w:w="260" w:type="dxa"/>
            <w:vAlign w:val="bottom"/>
          </w:tcPr>
          <w:p>
            <w:pPr>
              <w:spacing w:after="0"/>
              <w:rPr>
                <w:sz w:val="12"/>
                <w:szCs w:val="12"/>
                <w:color w:val="auto"/>
              </w:rPr>
            </w:pPr>
          </w:p>
        </w:tc>
        <w:tc>
          <w:tcPr>
            <w:tcW w:w="960" w:type="dxa"/>
            <w:vAlign w:val="bottom"/>
          </w:tcPr>
          <w:p>
            <w:pPr>
              <w:jc w:val="center"/>
              <w:ind w:right="189"/>
              <w:spacing w:after="0" w:line="139" w:lineRule="exact"/>
              <w:rPr>
                <w:sz w:val="20"/>
                <w:szCs w:val="20"/>
                <w:color w:val="auto"/>
              </w:rPr>
            </w:pPr>
            <w:r>
              <w:rPr>
                <w:rFonts w:ascii="Arial" w:cs="Arial" w:eastAsia="Arial" w:hAnsi="Arial"/>
                <w:sz w:val="14"/>
                <w:szCs w:val="14"/>
                <w:b w:val="1"/>
                <w:bCs w:val="1"/>
                <w:color w:val="auto"/>
              </w:rPr>
              <w:t>Fair</w:t>
            </w:r>
          </w:p>
        </w:tc>
      </w:tr>
      <w:tr>
        <w:trPr>
          <w:trHeight w:val="172"/>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6"/>
              </w:rPr>
              <w:t>Cost</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29"/>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rPr>
              <w:t>Value</w:t>
            </w:r>
          </w:p>
        </w:tc>
      </w:tr>
      <w:tr>
        <w:trPr>
          <w:trHeight w:val="17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Federal Home Loan Bank</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ind w:left="8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1,189</w:t>
            </w:r>
          </w:p>
        </w:tc>
      </w:tr>
    </w:tbl>
    <w:p>
      <w:pPr>
        <w:spacing w:after="0" w:line="291" w:lineRule="exact"/>
        <w:rPr>
          <w:sz w:val="20"/>
          <w:szCs w:val="20"/>
          <w:color w:val="auto"/>
        </w:rPr>
      </w:pPr>
    </w:p>
    <w:p>
      <w:pPr>
        <w:jc w:val="both"/>
        <w:ind w:left="100" w:right="100" w:firstLine="318"/>
        <w:spacing w:after="0" w:line="248" w:lineRule="auto"/>
        <w:rPr>
          <w:sz w:val="20"/>
          <w:szCs w:val="20"/>
          <w:color w:val="auto"/>
        </w:rPr>
      </w:pPr>
      <w:r>
        <w:rPr>
          <w:rFonts w:ascii="Arial" w:cs="Arial" w:eastAsia="Arial" w:hAnsi="Arial"/>
          <w:sz w:val="18"/>
          <w:szCs w:val="18"/>
          <w:color w:val="auto"/>
        </w:rPr>
        <w:t>Contractual maturities of U.S. government-sponsored enterprises, municipals and corporate securities at June 30, 2021 and December 31, 2020 are shown below. Actual maturities will differ from contractual maturities because borrowers may have the right to call or prepay obligations with or without call premiums or prepayment penalties.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ntractual Maturities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June 30, 2021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tcPr>
          <w:p>
            <w:pPr>
              <w:ind w:left="100"/>
              <w:spacing w:after="0" w:line="139" w:lineRule="exact"/>
              <w:rPr>
                <w:sz w:val="20"/>
                <w:szCs w:val="20"/>
                <w:color w:val="auto"/>
              </w:rPr>
            </w:pPr>
            <w:r>
              <w:rPr>
                <w:rFonts w:ascii="Arial" w:cs="Arial" w:eastAsia="Arial" w:hAnsi="Arial"/>
                <w:sz w:val="14"/>
                <w:szCs w:val="14"/>
                <w:b w:val="1"/>
                <w:bCs w:val="1"/>
                <w:color w:val="auto"/>
              </w:rPr>
              <w:t>Amortized</w:t>
            </w:r>
          </w:p>
        </w:tc>
        <w:tc>
          <w:tcPr>
            <w:tcW w:w="920" w:type="dxa"/>
            <w:vAlign w:val="bottom"/>
          </w:tcPr>
          <w:p>
            <w:pPr>
              <w:jc w:val="right"/>
              <w:ind w:right="549"/>
              <w:spacing w:after="0" w:line="13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30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Amortized</w:t>
            </w:r>
          </w:p>
        </w:tc>
        <w:tc>
          <w:tcPr>
            <w:tcW w:w="1200" w:type="dxa"/>
            <w:vAlign w:val="bottom"/>
          </w:tcPr>
          <w:p>
            <w:pPr>
              <w:jc w:val="right"/>
              <w:ind w:right="549"/>
              <w:spacing w:after="0" w:line="13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Arial" w:cs="Arial" w:eastAsia="Arial" w:hAnsi="Arial"/>
                <w:sz w:val="11"/>
                <w:szCs w:val="11"/>
                <w:color w:val="auto"/>
              </w:rPr>
              <w:t>housands)</w:t>
            </w: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ind w:left="440"/>
              <w:spacing w:after="0"/>
              <w:rPr>
                <w:sz w:val="20"/>
                <w:szCs w:val="20"/>
                <w:color w:val="auto"/>
              </w:rPr>
            </w:pPr>
            <w:r>
              <w:rPr>
                <w:rFonts w:ascii="Arial" w:cs="Arial" w:eastAsia="Arial" w:hAnsi="Arial"/>
                <w:sz w:val="14"/>
                <w:szCs w:val="14"/>
                <w:b w:val="1"/>
                <w:bCs w:val="1"/>
                <w:color w:val="auto"/>
              </w:rPr>
              <w:t>Cost</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tcPr>
          <w:p>
            <w:pPr>
              <w:ind w:left="440"/>
              <w:spacing w:after="0"/>
              <w:rPr>
                <w:sz w:val="20"/>
                <w:szCs w:val="20"/>
                <w:color w:val="auto"/>
              </w:rPr>
            </w:pPr>
            <w:r>
              <w:rPr>
                <w:rFonts w:ascii="Arial" w:cs="Arial" w:eastAsia="Arial" w:hAnsi="Arial"/>
                <w:sz w:val="14"/>
                <w:szCs w:val="14"/>
                <w:b w:val="1"/>
                <w:bCs w:val="1"/>
                <w:color w:val="auto"/>
              </w:rPr>
              <w:t>Cost</w:t>
            </w:r>
          </w:p>
        </w:tc>
        <w:tc>
          <w:tcPr>
            <w:tcW w:w="1200" w:type="dxa"/>
            <w:vAlign w:val="bottom"/>
          </w:tcPr>
          <w:p>
            <w:pPr>
              <w:jc w:val="right"/>
              <w:ind w:right="34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640" w:type="dxa"/>
            <w:vAlign w:val="bottom"/>
            <w:gridSpan w:val="2"/>
          </w:tcPr>
          <w:p>
            <w:pPr>
              <w:spacing w:after="0"/>
              <w:rPr>
                <w:sz w:val="20"/>
                <w:szCs w:val="20"/>
                <w:color w:val="auto"/>
              </w:rPr>
            </w:pPr>
            <w:r>
              <w:rPr>
                <w:rFonts w:ascii="Arial" w:cs="Arial" w:eastAsia="Arial" w:hAnsi="Arial"/>
                <w:sz w:val="14"/>
                <w:szCs w:val="14"/>
                <w:color w:val="auto"/>
              </w:rPr>
              <w:t>hin one year</w:t>
            </w:r>
          </w:p>
        </w:tc>
        <w:tc>
          <w:tcPr>
            <w:tcW w:w="21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40" w:type="dxa"/>
            <w:vAlign w:val="bottom"/>
            <w:vMerge w:val="continue"/>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vMerge w:val="continue"/>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20"/>
                <w:szCs w:val="20"/>
                <w:color w:val="auto"/>
              </w:rPr>
            </w:pPr>
            <w:r>
              <w:rPr>
                <w:rFonts w:ascii="Arial" w:cs="Arial" w:eastAsia="Arial" w:hAnsi="Arial"/>
                <w:sz w:val="12"/>
                <w:szCs w:val="12"/>
                <w:color w:val="auto"/>
                <w:w w:val="74"/>
              </w:rPr>
              <w:t>er</w:t>
            </w:r>
          </w:p>
        </w:tc>
        <w:tc>
          <w:tcPr>
            <w:tcW w:w="3540" w:type="dxa"/>
            <w:vAlign w:val="bottom"/>
            <w:shd w:val="clear" w:color="auto" w:fill="CCEEFF"/>
          </w:tcPr>
          <w:p>
            <w:pPr>
              <w:ind w:left="60"/>
              <w:spacing w:after="0"/>
              <w:rPr>
                <w:sz w:val="20"/>
                <w:szCs w:val="20"/>
                <w:color w:val="auto"/>
              </w:rPr>
            </w:pPr>
            <w:r>
              <w:rPr>
                <w:rFonts w:ascii="Arial" w:cs="Arial" w:eastAsia="Arial" w:hAnsi="Arial"/>
                <w:sz w:val="14"/>
                <w:szCs w:val="14"/>
                <w:color w:val="auto"/>
              </w:rPr>
              <w:t>one to five years</w:t>
            </w: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30,329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30,172</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640" w:type="dxa"/>
            <w:vAlign w:val="bottom"/>
            <w:gridSpan w:val="2"/>
          </w:tcPr>
          <w:p>
            <w:pPr>
              <w:spacing w:after="0"/>
              <w:rPr>
                <w:sz w:val="20"/>
                <w:szCs w:val="20"/>
                <w:color w:val="auto"/>
              </w:rPr>
            </w:pPr>
            <w:r>
              <w:rPr>
                <w:rFonts w:ascii="Arial" w:cs="Arial" w:eastAsia="Arial" w:hAnsi="Arial"/>
                <w:sz w:val="14"/>
                <w:szCs w:val="14"/>
                <w:color w:val="auto"/>
              </w:rPr>
              <w:t>er five to ten years</w:t>
            </w: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78,986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78,918</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5,500</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5,524</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20"/>
                <w:szCs w:val="20"/>
                <w:color w:val="auto"/>
              </w:rPr>
            </w:pPr>
            <w:r>
              <w:rPr>
                <w:rFonts w:ascii="Arial" w:cs="Arial" w:eastAsia="Arial" w:hAnsi="Arial"/>
                <w:sz w:val="12"/>
                <w:szCs w:val="12"/>
                <w:color w:val="auto"/>
                <w:w w:val="74"/>
              </w:rPr>
              <w:t>er</w:t>
            </w:r>
          </w:p>
        </w:tc>
        <w:tc>
          <w:tcPr>
            <w:tcW w:w="354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ten years</w:t>
            </w: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21,283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21,274</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21,934</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22,051</w:t>
            </w:r>
          </w:p>
        </w:tc>
        <w:tc>
          <w:tcPr>
            <w:tcW w:w="0" w:type="dxa"/>
            <w:vAlign w:val="bottom"/>
          </w:tcPr>
          <w:p>
            <w:pPr>
              <w:spacing w:after="0"/>
              <w:rPr>
                <w:sz w:val="1"/>
                <w:szCs w:val="1"/>
                <w:color w:val="auto"/>
              </w:rPr>
            </w:pPr>
          </w:p>
        </w:tc>
      </w:tr>
      <w:tr>
        <w:trPr>
          <w:trHeight w:val="185"/>
        </w:trPr>
        <w:tc>
          <w:tcPr>
            <w:tcW w:w="3640" w:type="dxa"/>
            <w:vAlign w:val="bottom"/>
            <w:gridSpan w:val="2"/>
          </w:tcPr>
          <w:p>
            <w:pPr>
              <w:spacing w:after="0"/>
              <w:rPr>
                <w:sz w:val="20"/>
                <w:szCs w:val="20"/>
                <w:color w:val="auto"/>
              </w:rPr>
            </w:pPr>
            <w:r>
              <w:rPr>
                <w:rFonts w:ascii="Arial" w:cs="Arial" w:eastAsia="Arial" w:hAnsi="Arial"/>
                <w:sz w:val="14"/>
                <w:szCs w:val="14"/>
                <w:color w:val="auto"/>
              </w:rPr>
              <w:t>rtgage-backed securities</w:t>
            </w:r>
            <w:r>
              <w:rPr>
                <w:rFonts w:ascii="Arial" w:cs="Arial" w:eastAsia="Arial" w:hAnsi="Arial"/>
                <w:sz w:val="9"/>
                <w:szCs w:val="9"/>
                <w:color w:val="auto"/>
              </w:rPr>
              <w:t>(1)</w:t>
            </w: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29,697</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30,151</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70,016</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72,212</w:t>
            </w:r>
          </w:p>
        </w:tc>
        <w:tc>
          <w:tcPr>
            <w:tcW w:w="0" w:type="dxa"/>
            <w:vAlign w:val="bottom"/>
          </w:tcPr>
          <w:p>
            <w:pPr>
              <w:spacing w:after="0"/>
              <w:rPr>
                <w:sz w:val="1"/>
                <w:szCs w:val="1"/>
                <w:color w:val="auto"/>
              </w:rPr>
            </w:pPr>
          </w:p>
        </w:tc>
      </w:tr>
      <w:tr>
        <w:trPr>
          <w:trHeight w:val="212"/>
        </w:trPr>
        <w:tc>
          <w:tcPr>
            <w:tcW w:w="3640" w:type="dxa"/>
            <w:vAlign w:val="bottom"/>
            <w:gridSpan w:val="2"/>
          </w:tcPr>
          <w:p>
            <w:pPr>
              <w:spacing w:after="0"/>
              <w:rPr>
                <w:sz w:val="20"/>
                <w:szCs w:val="20"/>
                <w:color w:val="auto"/>
              </w:rPr>
            </w:pPr>
            <w:r>
              <w:rPr>
                <w:rFonts w:ascii="Arial" w:cs="Arial" w:eastAsia="Arial" w:hAnsi="Arial"/>
                <w:sz w:val="14"/>
                <w:szCs w:val="14"/>
                <w:color w:val="auto"/>
              </w:rPr>
              <w:t>otal</w:t>
            </w:r>
          </w:p>
        </w:tc>
        <w:tc>
          <w:tcPr>
            <w:tcW w:w="21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160,295$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160,515</w:t>
            </w: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97,450$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-159385</wp:posOffset>
            </wp:positionV>
            <wp:extent cx="6915785" cy="142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15785" cy="142875"/>
                    </a:xfrm>
                    <a:prstGeom prst="rect">
                      <a:avLst/>
                    </a:prstGeom>
                    <a:noFill/>
                  </pic:spPr>
                </pic:pic>
              </a:graphicData>
            </a:graphic>
          </wp:anchor>
        </w:drawing>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_______________</w:t>
      </w:r>
    </w:p>
    <w:p>
      <w:pPr>
        <w:ind w:left="260" w:hanging="154"/>
        <w:spacing w:after="0" w:line="199" w:lineRule="auto"/>
        <w:tabs>
          <w:tab w:leader="none" w:pos="260" w:val="left"/>
        </w:tabs>
        <w:numPr>
          <w:ilvl w:val="0"/>
          <w:numId w:val="3"/>
        </w:numPr>
        <w:rPr>
          <w:rFonts w:ascii="Arial" w:cs="Arial" w:eastAsia="Arial" w:hAnsi="Arial"/>
          <w:sz w:val="14"/>
          <w:szCs w:val="14"/>
          <w:color w:val="auto"/>
          <w:vertAlign w:val="superscript"/>
        </w:rPr>
      </w:pPr>
      <w:r>
        <w:rPr>
          <w:rFonts w:ascii="Arial" w:cs="Arial" w:eastAsia="Arial" w:hAnsi="Arial"/>
          <w:sz w:val="11"/>
          <w:szCs w:val="11"/>
          <w:color w:val="auto"/>
        </w:rPr>
        <w:t>Mortgage-backed securities contractually repay in monthly installments.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252095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440"/>
          </w:cols>
          <w:pgMar w:left="220" w:top="604"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4 - SBA-PPP Loans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Pursuant to the CARES Act, the SBA-PPP provides forgivable loans to small businesses to enable them to maintain payroll, hire back employees who have been laid off, and cover applicable overhead. SBA-PPP loans have an interest rate of 1%, have two or five year terms, and carry a 100% guarantee of the SBA.</w:t>
      </w:r>
    </w:p>
    <w:p>
      <w:pPr>
        <w:spacing w:after="0" w:line="206"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allowance for loan losses for SBA-PPP loans was separately evaluated given the explicit government guarantee. This analysis, which incorporated historical experience with similar SBA guarantees and underwriting, concluded that the likelihood of loss was remote and therefore no allowance for loan losses was assigned to these loans.</w:t>
      </w:r>
    </w:p>
    <w:p>
      <w:pPr>
        <w:spacing w:after="0" w:line="206"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SBA-PPP gross loans receivable, totaled $208.1 million at June 30, 2021, and $204.9 million at December 31, 2020, and were all rated as pass credits and were not past due, nonaccrual, TDR, or otherwise impaired. Unearned net fees associated with the SBA-PPP loans amounted to $5.3 million at June 30, 2021 compared to $3.9 million at December 31, 2020. There were no outstanding commitments to extend additional SBA-PPP loans at June 30, 2021.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Major classifications of portfolio loans as are as follows: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Portfolio Loan Categories</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58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620" w:type="dxa"/>
            <w:vAlign w:val="bottom"/>
          </w:tcPr>
          <w:p>
            <w:pPr>
              <w:spacing w:after="0"/>
              <w:rPr>
                <w:sz w:val="16"/>
                <w:szCs w:val="16"/>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2021</w:t>
            </w:r>
          </w:p>
        </w:tc>
        <w:tc>
          <w:tcPr>
            <w:tcW w:w="520" w:type="dxa"/>
            <w:vAlign w:val="bottom"/>
          </w:tcPr>
          <w:p>
            <w:pPr>
              <w:spacing w:after="0"/>
              <w:rPr>
                <w:sz w:val="16"/>
                <w:szCs w:val="16"/>
                <w:color w:val="auto"/>
              </w:rPr>
            </w:pPr>
          </w:p>
        </w:tc>
        <w:tc>
          <w:tcPr>
            <w:tcW w:w="1560" w:type="dxa"/>
            <w:vAlign w:val="bottom"/>
          </w:tcPr>
          <w:p>
            <w:pPr>
              <w:jc w:val="right"/>
              <w:ind w:right="101"/>
              <w:spacing w:after="0"/>
              <w:rPr>
                <w:sz w:val="20"/>
                <w:szCs w:val="20"/>
                <w:color w:val="auto"/>
              </w:rPr>
            </w:pPr>
            <w:r>
              <w:rPr>
                <w:rFonts w:ascii="Arial" w:cs="Arial" w:eastAsia="Arial" w:hAnsi="Arial"/>
                <w:sz w:val="14"/>
                <w:szCs w:val="14"/>
                <w:b w:val="1"/>
                <w:bCs w:val="1"/>
                <w:color w:val="auto"/>
              </w:rPr>
              <w:t>December 31, 2020</w:t>
            </w:r>
          </w:p>
        </w:tc>
      </w:tr>
      <w:tr>
        <w:trPr>
          <w:trHeight w:val="189"/>
        </w:trPr>
        <w:tc>
          <w:tcPr>
            <w:tcW w:w="6580" w:type="dxa"/>
            <w:vAlign w:val="bottom"/>
          </w:tcPr>
          <w:p>
            <w:pPr>
              <w:ind w:left="340"/>
              <w:spacing w:after="0"/>
              <w:rPr>
                <w:sz w:val="20"/>
                <w:szCs w:val="20"/>
                <w:color w:val="auto"/>
              </w:rPr>
            </w:pPr>
            <w:r>
              <w:rPr>
                <w:rFonts w:ascii="Arial" w:cs="Arial" w:eastAsia="Arial" w:hAnsi="Arial"/>
                <w:sz w:val="16"/>
                <w:szCs w:val="16"/>
                <w:color w:val="auto"/>
              </w:rPr>
              <w:t>Real estate:</w:t>
            </w:r>
          </w:p>
        </w:tc>
        <w:tc>
          <w:tcPr>
            <w:tcW w:w="6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15"/>
        </w:trPr>
        <w:tc>
          <w:tcPr>
            <w:tcW w:w="6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Residential</w:t>
            </w:r>
          </w:p>
        </w:tc>
        <w:tc>
          <w:tcPr>
            <w:tcW w:w="62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w:t>
            </w:r>
          </w:p>
        </w:tc>
        <w:tc>
          <w:tcPr>
            <w:tcW w:w="16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420,015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437,86</w:t>
            </w:r>
          </w:p>
        </w:tc>
      </w:tr>
      <w:tr>
        <w:trPr>
          <w:trHeight w:val="212"/>
        </w:trPr>
        <w:tc>
          <w:tcPr>
            <w:tcW w:w="6580" w:type="dxa"/>
            <w:vAlign w:val="bottom"/>
          </w:tcPr>
          <w:p>
            <w:pPr>
              <w:ind w:left="460"/>
              <w:spacing w:after="0"/>
              <w:rPr>
                <w:sz w:val="20"/>
                <w:szCs w:val="20"/>
                <w:color w:val="auto"/>
              </w:rPr>
            </w:pPr>
            <w:r>
              <w:rPr>
                <w:rFonts w:ascii="Arial" w:cs="Arial" w:eastAsia="Arial" w:hAnsi="Arial"/>
                <w:sz w:val="16"/>
                <w:szCs w:val="16"/>
                <w:color w:val="auto"/>
              </w:rPr>
              <w:t>Commercial</w:t>
            </w:r>
          </w:p>
        </w:tc>
        <w:tc>
          <w:tcPr>
            <w:tcW w:w="620" w:type="dxa"/>
            <w:vAlign w:val="bottom"/>
          </w:tcPr>
          <w:p>
            <w:pPr>
              <w:spacing w:after="0"/>
              <w:rPr>
                <w:sz w:val="18"/>
                <w:szCs w:val="18"/>
                <w:color w:val="auto"/>
              </w:rPr>
            </w:pPr>
          </w:p>
        </w:tc>
        <w:tc>
          <w:tcPr>
            <w:tcW w:w="1620" w:type="dxa"/>
            <w:vAlign w:val="bottom"/>
          </w:tcPr>
          <w:p>
            <w:pPr>
              <w:jc w:val="right"/>
              <w:ind w:right="1"/>
              <w:spacing w:after="0"/>
              <w:rPr>
                <w:sz w:val="20"/>
                <w:szCs w:val="20"/>
                <w:color w:val="auto"/>
              </w:rPr>
            </w:pPr>
            <w:r>
              <w:rPr>
                <w:rFonts w:ascii="Arial" w:cs="Arial" w:eastAsia="Arial" w:hAnsi="Arial"/>
                <w:sz w:val="16"/>
                <w:szCs w:val="16"/>
                <w:b w:val="1"/>
                <w:bCs w:val="1"/>
                <w:color w:val="auto"/>
              </w:rPr>
              <w:t>471,807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392,55</w:t>
            </w:r>
          </w:p>
        </w:tc>
      </w:tr>
      <w:tr>
        <w:trPr>
          <w:trHeight w:val="212"/>
        </w:trPr>
        <w:tc>
          <w:tcPr>
            <w:tcW w:w="6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Construction</w:t>
            </w:r>
          </w:p>
        </w:tc>
        <w:tc>
          <w:tcPr>
            <w:tcW w:w="6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223,832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224,90</w:t>
            </w:r>
          </w:p>
        </w:tc>
      </w:tr>
      <w:tr>
        <w:trPr>
          <w:trHeight w:val="212"/>
        </w:trPr>
        <w:tc>
          <w:tcPr>
            <w:tcW w:w="6580" w:type="dxa"/>
            <w:vAlign w:val="bottom"/>
          </w:tcPr>
          <w:p>
            <w:pPr>
              <w:ind w:left="340"/>
              <w:spacing w:after="0"/>
              <w:rPr>
                <w:sz w:val="20"/>
                <w:szCs w:val="20"/>
                <w:color w:val="auto"/>
              </w:rPr>
            </w:pPr>
            <w:r>
              <w:rPr>
                <w:rFonts w:ascii="Arial" w:cs="Arial" w:eastAsia="Arial" w:hAnsi="Arial"/>
                <w:sz w:val="16"/>
                <w:szCs w:val="16"/>
                <w:color w:val="auto"/>
              </w:rPr>
              <w:t>Commercial and Industrial</w:t>
            </w:r>
          </w:p>
        </w:tc>
        <w:tc>
          <w:tcPr>
            <w:tcW w:w="620" w:type="dxa"/>
            <w:vAlign w:val="bottom"/>
          </w:tcPr>
          <w:p>
            <w:pPr>
              <w:spacing w:after="0"/>
              <w:rPr>
                <w:sz w:val="18"/>
                <w:szCs w:val="18"/>
                <w:color w:val="auto"/>
              </w:rPr>
            </w:pPr>
          </w:p>
        </w:tc>
        <w:tc>
          <w:tcPr>
            <w:tcW w:w="1620" w:type="dxa"/>
            <w:vAlign w:val="bottom"/>
          </w:tcPr>
          <w:p>
            <w:pPr>
              <w:jc w:val="right"/>
              <w:ind w:right="1"/>
              <w:spacing w:after="0"/>
              <w:rPr>
                <w:sz w:val="20"/>
                <w:szCs w:val="20"/>
                <w:color w:val="auto"/>
              </w:rPr>
            </w:pPr>
            <w:r>
              <w:rPr>
                <w:rFonts w:ascii="Arial" w:cs="Arial" w:eastAsia="Arial" w:hAnsi="Arial"/>
                <w:sz w:val="16"/>
                <w:szCs w:val="16"/>
                <w:b w:val="1"/>
                <w:bCs w:val="1"/>
                <w:color w:val="auto"/>
              </w:rPr>
              <w:t>158,392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157,12</w:t>
            </w:r>
          </w:p>
        </w:tc>
      </w:tr>
      <w:tr>
        <w:trPr>
          <w:trHeight w:val="212"/>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Credit card</w:t>
            </w:r>
          </w:p>
        </w:tc>
        <w:tc>
          <w:tcPr>
            <w:tcW w:w="6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121,410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102,18</w:t>
            </w:r>
          </w:p>
        </w:tc>
      </w:tr>
      <w:tr>
        <w:trPr>
          <w:trHeight w:val="212"/>
        </w:trPr>
        <w:tc>
          <w:tcPr>
            <w:tcW w:w="6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consumer</w:t>
            </w:r>
          </w:p>
        </w:tc>
        <w:tc>
          <w:tcPr>
            <w:tcW w:w="6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1,034</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205"/>
        </w:trPr>
        <w:tc>
          <w:tcPr>
            <w:tcW w:w="6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Portfolio loans receivable, gross</w:t>
            </w:r>
          </w:p>
        </w:tc>
        <w:tc>
          <w:tcPr>
            <w:tcW w:w="6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1,396,490</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1,316,27</w:t>
            </w:r>
          </w:p>
        </w:tc>
      </w:tr>
      <w:tr>
        <w:trPr>
          <w:trHeight w:val="212"/>
        </w:trPr>
        <w:tc>
          <w:tcPr>
            <w:tcW w:w="6580" w:type="dxa"/>
            <w:vAlign w:val="bottom"/>
          </w:tcPr>
          <w:p>
            <w:pPr>
              <w:ind w:left="340"/>
              <w:spacing w:after="0"/>
              <w:rPr>
                <w:sz w:val="20"/>
                <w:szCs w:val="20"/>
                <w:color w:val="auto"/>
              </w:rPr>
            </w:pPr>
            <w:r>
              <w:rPr>
                <w:rFonts w:ascii="Arial" w:cs="Arial" w:eastAsia="Arial" w:hAnsi="Arial"/>
                <w:sz w:val="16"/>
                <w:szCs w:val="16"/>
                <w:color w:val="auto"/>
              </w:rPr>
              <w:t>Deferred origination fees, net</w:t>
            </w:r>
          </w:p>
        </w:tc>
        <w:tc>
          <w:tcPr>
            <w:tcW w:w="6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(4,019)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2"/>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Allowance for loan losses</w:t>
            </w:r>
          </w:p>
        </w:tc>
        <w:tc>
          <w:tcPr>
            <w:tcW w:w="6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(24,079)</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w:t>
            </w:r>
          </w:p>
        </w:tc>
      </w:tr>
      <w:tr>
        <w:trPr>
          <w:trHeight w:val="205"/>
        </w:trPr>
        <w:tc>
          <w:tcPr>
            <w:tcW w:w="6580" w:type="dxa"/>
            <w:vAlign w:val="bottom"/>
          </w:tcPr>
          <w:p>
            <w:pPr>
              <w:ind w:left="460"/>
              <w:spacing w:after="0"/>
              <w:rPr>
                <w:sz w:val="20"/>
                <w:szCs w:val="20"/>
                <w:color w:val="auto"/>
              </w:rPr>
            </w:pPr>
            <w:r>
              <w:rPr>
                <w:rFonts w:ascii="Arial" w:cs="Arial" w:eastAsia="Arial" w:hAnsi="Arial"/>
                <w:sz w:val="16"/>
                <w:szCs w:val="16"/>
                <w:color w:val="auto"/>
              </w:rPr>
              <w:t>Portfolio loans receivable, net</w:t>
            </w: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1,368,392</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1,292,06</w:t>
            </w:r>
          </w:p>
        </w:tc>
      </w:tr>
      <w:tr>
        <w:trPr>
          <w:trHeight w:val="20"/>
        </w:trPr>
        <w:tc>
          <w:tcPr>
            <w:tcW w:w="6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Company makes loans to customers located primarily in the Washington, D.C. and Baltimore, Maryland metropolitan areas. Although the loan portfolio is diversified, its performance is influenced by the regional economy. The Company’s loan categories, excluding SBA-PPP loans, previously discussed in Note 4, are described below.</w:t>
      </w:r>
    </w:p>
    <w:p>
      <w:pPr>
        <w:spacing w:after="0" w:line="188"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i w:val="1"/>
          <w:iCs w:val="1"/>
          <w:color w:val="auto"/>
        </w:rPr>
        <w:t>Residential Real Estate Loans</w:t>
      </w:r>
      <w:r>
        <w:rPr>
          <w:rFonts w:ascii="Arial" w:cs="Arial" w:eastAsia="Arial" w:hAnsi="Arial"/>
          <w:sz w:val="18"/>
          <w:szCs w:val="18"/>
          <w:color w:val="auto"/>
        </w:rPr>
        <w:t>. One-to-four family mortgage loans are primarily secured by owner-occupied primary residences and, to a</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investor owned residences. Residential loans are originated through the commercial sales teams and Capital Bank Home Loans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Commercial Real Estate Loans</w:t>
      </w:r>
      <w:r>
        <w:rPr>
          <w:rFonts w:ascii="Arial" w:cs="Arial" w:eastAsia="Arial" w:hAnsi="Arial"/>
          <w:sz w:val="18"/>
          <w:szCs w:val="18"/>
          <w:color w:val="auto"/>
        </w:rPr>
        <w:t>. Commercial real estate loans are originated on owner-occupied and non-owner-occupied properties.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may be more adversely affected by conditions in the real estate markets or in the general economy. Commercial loans that are secured by owner-occupied commercial real estate and primarily collateralized by operating cash flows are also included in this category of loans. As of June 30, 2021, there were approximately $257.4 million of owner-occupied commercial real estate loans, representing approximately 54.6% of the commercial real estate portfolio. Commercial real estate loan terms are generally extended for 10 years or less and amortize generally over 25 years or less. The interest rates on commercial real estate loans generally have initial fixed rate terms that adjust typically at five years.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somewhat diverse in terms and type. This diversity may help reduce the exposure to adverse economic events that affect any single industry.</w:t>
      </w:r>
    </w:p>
    <w:p>
      <w:pPr>
        <w:spacing w:after="0" w:line="19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Construction Loans</w:t>
      </w:r>
      <w:r>
        <w:rPr>
          <w:rFonts w:ascii="Arial" w:cs="Arial" w:eastAsia="Arial" w:hAnsi="Arial"/>
          <w:sz w:val="18"/>
          <w:szCs w:val="18"/>
          <w:color w:val="auto"/>
        </w:rPr>
        <w:t>. Construction loans are offered within the Company’s Washington, D.C. and Baltimore, Maryland metropolitan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areas to builders primarily for the construction of single-family homes and condominium and townhouse conversions or renovations and, to a lesser extent, to individuals. Construction loans typically have terms of 12 to 18 months. The Company frequently transitions the end purchaser to permanent financing or re-underwriting and sale into the secondary market through Capital Bank Home Loans. According to underwriting standards, the ratio of loan principal to collateral value, as established by an independent appraisal, cannot exceed 75% for investor-owned and 80% for owner-occupied properties. Exceptions are sometimes made. Semi-annual stress testing of the construction loan portfolio is conducted, and underlying real estate conditions are monitored as well as trends of sales outcomes versus underwriting valuations as part of ongoing risk management efforts. The borrowers’ progress in construction buildout is monitored to enforce the original underwriting guidelines for construction milestones and completion timelines.</w:t>
      </w:r>
    </w:p>
    <w:p>
      <w:pPr>
        <w:spacing w:after="0" w:line="18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Commercial and Industrial</w:t>
      </w:r>
      <w:r>
        <w:rPr>
          <w:rFonts w:ascii="Arial" w:cs="Arial" w:eastAsia="Arial" w:hAnsi="Arial"/>
          <w:sz w:val="18"/>
          <w:szCs w:val="18"/>
          <w:color w:val="auto"/>
        </w:rPr>
        <w:t>. In addition to other loan products, general commercial loans, including commercial lines of credit,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loans, term loans, equipment financing, 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Personal guaranties from the borrower or other principal are generally obtained.</w:t>
      </w:r>
    </w:p>
    <w:p>
      <w:pPr>
        <w:spacing w:after="0" w:line="185" w:lineRule="exact"/>
        <w:rPr>
          <w:sz w:val="20"/>
          <w:szCs w:val="20"/>
          <w:color w:val="auto"/>
        </w:rPr>
      </w:pPr>
    </w:p>
    <w:p>
      <w:pPr>
        <w:jc w:val="both"/>
        <w:ind w:firstLine="318"/>
        <w:spacing w:after="0" w:line="241" w:lineRule="auto"/>
        <w:rPr>
          <w:sz w:val="20"/>
          <w:szCs w:val="20"/>
          <w:color w:val="auto"/>
        </w:rPr>
      </w:pPr>
      <w:r>
        <w:rPr>
          <w:rFonts w:ascii="Arial" w:cs="Arial" w:eastAsia="Arial" w:hAnsi="Arial"/>
          <w:sz w:val="18"/>
          <w:szCs w:val="18"/>
          <w:i w:val="1"/>
          <w:iCs w:val="1"/>
          <w:color w:val="auto"/>
        </w:rPr>
        <w:t>Credit Cards</w:t>
      </w:r>
      <w:r>
        <w:rPr>
          <w:rFonts w:ascii="Arial" w:cs="Arial" w:eastAsia="Arial" w:hAnsi="Arial"/>
          <w:sz w:val="18"/>
          <w:szCs w:val="18"/>
          <w:color w:val="auto"/>
        </w:rPr>
        <w:t>. Our OpenSky</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card division provides credit cards on a nationwide basis to under-banked populations and those looking</w:t>
      </w:r>
      <w:r>
        <w:rPr>
          <w:rFonts w:ascii="Arial" w:cs="Arial" w:eastAsia="Arial" w:hAnsi="Arial"/>
          <w:sz w:val="18"/>
          <w:szCs w:val="18"/>
          <w:i w:val="1"/>
          <w:iCs w:val="1"/>
          <w:color w:val="auto"/>
        </w:rPr>
        <w:t xml:space="preserve"> </w:t>
      </w:r>
      <w:r>
        <w:rPr>
          <w:rFonts w:ascii="Arial" w:cs="Arial" w:eastAsia="Arial" w:hAnsi="Arial"/>
          <w:sz w:val="18"/>
          <w:szCs w:val="18"/>
          <w:color w:val="auto"/>
        </w:rPr>
        <w:t>to rebuild their credit scores through a fully digital and mobile platform. Most of the lines of credit are secured by a noninterest bearing demand account at the Bank in an amount equal to the full credit limit of the credit card. In addition, using a proprietary scoring model, which considers credit score and repayment history (typically a minimum of six months of on-time repayments, but ultimately determined on a case-by-case basis), the Bank offers certain existing customers an unsecured line in excess of their secured line of credit. Approximately $115.9 million and $98.5 million of the credit card balances were secured by savings deposits held by the Company as of June 30, 2021 and December 31, 2020, respectively.</w:t>
      </w:r>
    </w:p>
    <w:p>
      <w:pPr>
        <w:spacing w:after="0" w:line="195"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To a limited extent and typically as an accommodation to existing customers, personal consumer loans,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for example, term loans, car loans or boat loans are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Loans acquired through acquisitions are recorded at estimated fair value on their purchase date with no carryover of the related allowance for loan losses. In estimating the fair value of loans acquired, certain factors were considered, including the remaining lives of the acquired loans, payment history, estimated prepayments, estimated loss ratios, estimated value of the underlying collateral, and the net present value of cash flows expected. Discounts on loans that were not considered impaired at acquisition were recorded as an accretable discount, which will be recognized in interest income over the terms of the related loans. For loans considered to be impaired at acquisition, the difference between the contractually required payments and expected cash flows are recorded as a non-accretable discount. The remaining non-accretable discounts on loans acquired was $285 thousand as of June 30, 2021 and December 31, 2020. Loans with non-accretable discounts had carrying values of $825 thousand and $836 thousand as of June 30, 2021 and December 31, 2020, respectively.</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Accretable discounts on loans acquired is summarized as follows: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Accretable Discounts on Loans Acquired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16"/>
                <w:szCs w:val="16"/>
                <w:color w:val="auto"/>
              </w:rPr>
            </w:pPr>
          </w:p>
        </w:tc>
        <w:tc>
          <w:tcPr>
            <w:tcW w:w="2960" w:type="dxa"/>
            <w:vAlign w:val="bottom"/>
            <w:gridSpan w:val="5"/>
          </w:tcPr>
          <w:p>
            <w:pPr>
              <w:ind w:left="38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6"/>
                <w:szCs w:val="16"/>
                <w:color w:val="auto"/>
              </w:rPr>
            </w:pPr>
          </w:p>
        </w:tc>
        <w:tc>
          <w:tcPr>
            <w:tcW w:w="2940" w:type="dxa"/>
            <w:vAlign w:val="bottom"/>
            <w:gridSpan w:val="5"/>
          </w:tcPr>
          <w:p>
            <w:pPr>
              <w:jc w:val="right"/>
              <w:ind w:right="629"/>
              <w:spacing w:after="0"/>
              <w:rPr>
                <w:sz w:val="20"/>
                <w:szCs w:val="20"/>
                <w:color w:val="auto"/>
              </w:rPr>
            </w:pPr>
            <w:r>
              <w:rPr>
                <w:rFonts w:ascii="Arial" w:cs="Arial" w:eastAsia="Arial" w:hAnsi="Arial"/>
                <w:sz w:val="14"/>
                <w:szCs w:val="14"/>
                <w:b w:val="1"/>
                <w:bCs w:val="1"/>
                <w:color w:val="auto"/>
              </w:rPr>
              <w:t>For the Six Months Ended</w:t>
            </w:r>
          </w:p>
        </w:tc>
      </w:tr>
      <w:tr>
        <w:trPr>
          <w:trHeight w:val="179"/>
        </w:trPr>
        <w:tc>
          <w:tcPr>
            <w:tcW w:w="49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June 30, 2020</w:t>
            </w:r>
          </w:p>
        </w:tc>
      </w:tr>
      <w:tr>
        <w:trPr>
          <w:trHeight w:val="17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Accretable discount at beginning of period</w:t>
            </w: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218</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w:t>
            </w: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w:t>
            </w:r>
          </w:p>
        </w:tc>
      </w:tr>
      <w:tr>
        <w:trPr>
          <w:trHeight w:val="186"/>
        </w:trPr>
        <w:tc>
          <w:tcPr>
            <w:tcW w:w="4980" w:type="dxa"/>
            <w:vAlign w:val="bottom"/>
          </w:tcPr>
          <w:p>
            <w:pPr>
              <w:ind w:left="100"/>
              <w:spacing w:after="0"/>
              <w:rPr>
                <w:sz w:val="20"/>
                <w:szCs w:val="20"/>
                <w:color w:val="auto"/>
              </w:rPr>
            </w:pPr>
            <w:r>
              <w:rPr>
                <w:rFonts w:ascii="Arial" w:cs="Arial" w:eastAsia="Arial" w:hAnsi="Arial"/>
                <w:sz w:val="14"/>
                <w:szCs w:val="14"/>
                <w:color w:val="auto"/>
              </w:rPr>
              <w:t>Less: Accretion and payoff of loans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185"/>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changes, net</w:t>
            </w:r>
          </w:p>
        </w:tc>
        <w:tc>
          <w:tcPr>
            <w:tcW w:w="1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980" w:type="dxa"/>
            <w:vAlign w:val="bottom"/>
          </w:tcPr>
          <w:p>
            <w:pPr>
              <w:ind w:left="20"/>
              <w:spacing w:after="0"/>
              <w:rPr>
                <w:sz w:val="20"/>
                <w:szCs w:val="20"/>
                <w:color w:val="auto"/>
              </w:rPr>
            </w:pPr>
            <w:r>
              <w:rPr>
                <w:rFonts w:ascii="Arial" w:cs="Arial" w:eastAsia="Arial" w:hAnsi="Arial"/>
                <w:sz w:val="14"/>
                <w:szCs w:val="14"/>
                <w:color w:val="auto"/>
              </w:rPr>
              <w:t>Accretable discount at end of period</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212</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w:t>
            </w: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440"/>
        <w:spacing w:after="0" w:line="251" w:lineRule="auto"/>
        <w:rPr>
          <w:sz w:val="20"/>
          <w:szCs w:val="20"/>
          <w:color w:val="auto"/>
        </w:rPr>
      </w:pPr>
      <w:r>
        <w:rPr>
          <w:rFonts w:ascii="Arial" w:cs="Arial" w:eastAsia="Arial" w:hAnsi="Arial"/>
          <w:sz w:val="18"/>
          <w:szCs w:val="18"/>
          <w:color w:val="auto"/>
        </w:rPr>
        <w:t>The following tables set forth the changes in the allowance for loan losses and an allocation of the allowance for loan losses by class for the three and six months ended June 30, 2021 and June 30, 2020.</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Allowance for Loan Losses</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(in thousands)</w:t>
      </w:r>
    </w:p>
    <w:p>
      <w:pPr>
        <w:spacing w:after="0" w:line="11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 2021</w:t>
            </w:r>
          </w:p>
        </w:tc>
        <w:tc>
          <w:tcPr>
            <w:tcW w:w="960" w:type="dxa"/>
            <w:vAlign w:val="bottom"/>
            <w:vMerge w:val="restart"/>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Beginning</w:t>
            </w:r>
          </w:p>
        </w:tc>
        <w:tc>
          <w:tcPr>
            <w:tcW w:w="4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Provision for</w:t>
            </w:r>
          </w:p>
        </w:tc>
        <w:tc>
          <w:tcPr>
            <w:tcW w:w="44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Charge-Offs</w:t>
            </w:r>
          </w:p>
        </w:tc>
        <w:tc>
          <w:tcPr>
            <w:tcW w:w="4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Recoveries</w:t>
            </w:r>
          </w:p>
        </w:tc>
        <w:tc>
          <w:tcPr>
            <w:tcW w:w="44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51"/>
        </w:trPr>
        <w:tc>
          <w:tcPr>
            <w:tcW w:w="340" w:type="dxa"/>
            <w:vAlign w:val="bottom"/>
          </w:tcPr>
          <w:p>
            <w:pPr>
              <w:spacing w:after="0"/>
              <w:rPr>
                <w:sz w:val="12"/>
                <w:szCs w:val="12"/>
                <w:color w:val="auto"/>
              </w:rPr>
            </w:pPr>
          </w:p>
        </w:tc>
        <w:tc>
          <w:tcPr>
            <w:tcW w:w="2360" w:type="dxa"/>
            <w:vAlign w:val="bottom"/>
            <w:tcBorders>
              <w:bottom w:val="single" w:sz="8" w:color="auto"/>
            </w:tcBorders>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Balance</w:t>
            </w:r>
          </w:p>
        </w:tc>
        <w:tc>
          <w:tcPr>
            <w:tcW w:w="1500" w:type="dxa"/>
            <w:vAlign w:val="bottom"/>
            <w:gridSpan w:val="3"/>
          </w:tcPr>
          <w:p>
            <w:pPr>
              <w:ind w:left="260"/>
              <w:spacing w:after="0" w:line="146" w:lineRule="exact"/>
              <w:rPr>
                <w:sz w:val="20"/>
                <w:szCs w:val="20"/>
                <w:color w:val="auto"/>
              </w:rPr>
            </w:pPr>
            <w:r>
              <w:rPr>
                <w:rFonts w:ascii="Arial" w:cs="Arial" w:eastAsia="Arial" w:hAnsi="Arial"/>
                <w:sz w:val="14"/>
                <w:szCs w:val="14"/>
                <w:b w:val="1"/>
                <w:bCs w:val="1"/>
                <w:color w:val="auto"/>
              </w:rPr>
              <w:t>Loan Losses</w:t>
            </w:r>
          </w:p>
        </w:tc>
        <w:tc>
          <w:tcPr>
            <w:tcW w:w="4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ind w:right="149"/>
              <w:spacing w:after="0" w:line="146"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2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tcPr>
          <w:p>
            <w:pPr>
              <w:spacing w:after="0"/>
              <w:rPr>
                <w:sz w:val="13"/>
                <w:szCs w:val="13"/>
                <w:color w:val="auto"/>
              </w:rPr>
            </w:pPr>
          </w:p>
        </w:tc>
        <w:tc>
          <w:tcPr>
            <w:tcW w:w="332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6,816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7,362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415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4,644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2,449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176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2,232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3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23,550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24,0</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2021</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40" w:type="dxa"/>
            <w:vAlign w:val="bottom"/>
          </w:tcPr>
          <w:p>
            <w:pPr>
              <w:spacing w:after="0"/>
              <w:rPr>
                <w:sz w:val="24"/>
                <w:szCs w:val="24"/>
                <w:color w:val="auto"/>
              </w:rPr>
            </w:pPr>
          </w:p>
        </w:tc>
        <w:tc>
          <w:tcPr>
            <w:tcW w:w="332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21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Real estate:</w:t>
            </w:r>
          </w:p>
        </w:tc>
        <w:tc>
          <w:tcPr>
            <w:tcW w:w="1140" w:type="dxa"/>
            <w:vAlign w:val="bottom"/>
            <w:gridSpan w:val="2"/>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7,153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32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6,786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991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4,595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2,417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313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2,462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3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23,434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24,0</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22" w:name="page23"/>
    <w:bookmarkEnd w:id="22"/>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-173990</wp:posOffset>
            </wp:positionV>
            <wp:extent cx="696658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96658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Allowance for Loan Losses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 2020</w:t>
            </w:r>
          </w:p>
        </w:tc>
        <w:tc>
          <w:tcPr>
            <w:tcW w:w="960" w:type="dxa"/>
            <w:vAlign w:val="bottom"/>
            <w:vMerge w:val="restart"/>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Beginning</w:t>
            </w:r>
          </w:p>
        </w:tc>
        <w:tc>
          <w:tcPr>
            <w:tcW w:w="4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Provision for</w:t>
            </w:r>
          </w:p>
        </w:tc>
        <w:tc>
          <w:tcPr>
            <w:tcW w:w="44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Charge-Offs</w:t>
            </w:r>
          </w:p>
        </w:tc>
        <w:tc>
          <w:tcPr>
            <w:tcW w:w="4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Recoveries</w:t>
            </w:r>
          </w:p>
        </w:tc>
        <w:tc>
          <w:tcPr>
            <w:tcW w:w="44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51"/>
        </w:trPr>
        <w:tc>
          <w:tcPr>
            <w:tcW w:w="340" w:type="dxa"/>
            <w:vAlign w:val="bottom"/>
          </w:tcPr>
          <w:p>
            <w:pPr>
              <w:spacing w:after="0"/>
              <w:rPr>
                <w:sz w:val="12"/>
                <w:szCs w:val="12"/>
                <w:color w:val="auto"/>
              </w:rPr>
            </w:pPr>
          </w:p>
        </w:tc>
        <w:tc>
          <w:tcPr>
            <w:tcW w:w="2360" w:type="dxa"/>
            <w:vAlign w:val="bottom"/>
            <w:tcBorders>
              <w:bottom w:val="single" w:sz="8" w:color="auto"/>
            </w:tcBorders>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Balance</w:t>
            </w:r>
          </w:p>
        </w:tc>
        <w:tc>
          <w:tcPr>
            <w:tcW w:w="1500" w:type="dxa"/>
            <w:vAlign w:val="bottom"/>
            <w:gridSpan w:val="3"/>
          </w:tcPr>
          <w:p>
            <w:pPr>
              <w:ind w:left="260"/>
              <w:spacing w:after="0" w:line="146" w:lineRule="exact"/>
              <w:rPr>
                <w:sz w:val="20"/>
                <w:szCs w:val="20"/>
                <w:color w:val="auto"/>
              </w:rPr>
            </w:pPr>
            <w:r>
              <w:rPr>
                <w:rFonts w:ascii="Arial" w:cs="Arial" w:eastAsia="Arial" w:hAnsi="Arial"/>
                <w:sz w:val="14"/>
                <w:szCs w:val="14"/>
                <w:b w:val="1"/>
                <w:bCs w:val="1"/>
                <w:color w:val="auto"/>
              </w:rPr>
              <w:t>Loan Losses</w:t>
            </w:r>
          </w:p>
        </w:tc>
        <w:tc>
          <w:tcPr>
            <w:tcW w:w="4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ind w:right="149"/>
              <w:spacing w:after="0" w:line="146"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2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tcPr>
          <w:p>
            <w:pPr>
              <w:spacing w:after="0"/>
              <w:rPr>
                <w:sz w:val="13"/>
                <w:szCs w:val="13"/>
                <w:color w:val="auto"/>
              </w:rPr>
            </w:pPr>
          </w:p>
        </w:tc>
        <w:tc>
          <w:tcPr>
            <w:tcW w:w="332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4,971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4,423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3,032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1,663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1,414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3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15,514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2020</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40" w:type="dxa"/>
            <w:vAlign w:val="bottom"/>
          </w:tcPr>
          <w:p>
            <w:pPr>
              <w:spacing w:after="0"/>
              <w:rPr>
                <w:sz w:val="24"/>
                <w:szCs w:val="24"/>
                <w:color w:val="auto"/>
              </w:rPr>
            </w:pPr>
          </w:p>
        </w:tc>
        <w:tc>
          <w:tcPr>
            <w:tcW w:w="332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21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Real estate:</w:t>
            </w:r>
          </w:p>
        </w:tc>
        <w:tc>
          <w:tcPr>
            <w:tcW w:w="1140" w:type="dxa"/>
            <w:vAlign w:val="bottom"/>
            <w:gridSpan w:val="2"/>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4,135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32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3,573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1,660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2,668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1,548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1,367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3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13,301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252095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604"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following tables present, by class and reserving methodology, the allocation of the allowance for loan losses and the gross investment in loans. The allowance for loan losses consists of specific and general components. The specific component relates to loans that are individually classified as impaired. The general component covers non-impaired loans and is based on historical loss experience adjusted for current economic factors.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Allowance for Loan Loss Composition</w:t>
      </w:r>
    </w:p>
    <w:p>
      <w:pPr>
        <w:spacing w:after="0" w:line="67"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60" w:type="dxa"/>
            <w:vAlign w:val="bottom"/>
            <w:gridSpan w:val="5"/>
          </w:tcPr>
          <w:p>
            <w:pPr>
              <w:ind w:left="520"/>
              <w:spacing w:after="0"/>
              <w:rPr>
                <w:sz w:val="20"/>
                <w:szCs w:val="20"/>
                <w:color w:val="auto"/>
              </w:rPr>
            </w:pPr>
            <w:r>
              <w:rPr>
                <w:rFonts w:ascii="Arial" w:cs="Arial" w:eastAsia="Arial" w:hAnsi="Arial"/>
                <w:sz w:val="12"/>
                <w:szCs w:val="12"/>
                <w:b w:val="1"/>
                <w:bCs w:val="1"/>
                <w:color w:val="auto"/>
              </w:rPr>
              <w:t>Allowance for Loan Losses</w:t>
            </w:r>
          </w:p>
        </w:tc>
        <w:tc>
          <w:tcPr>
            <w:tcW w:w="520" w:type="dxa"/>
            <w:vAlign w:val="bottom"/>
          </w:tcPr>
          <w:p>
            <w:pPr>
              <w:spacing w:after="0"/>
              <w:rPr>
                <w:sz w:val="12"/>
                <w:szCs w:val="12"/>
                <w:color w:val="auto"/>
              </w:rPr>
            </w:pPr>
          </w:p>
        </w:tc>
        <w:tc>
          <w:tcPr>
            <w:tcW w:w="2680" w:type="dxa"/>
            <w:vAlign w:val="bottom"/>
            <w:gridSpan w:val="4"/>
          </w:tcPr>
          <w:p>
            <w:pPr>
              <w:jc w:val="right"/>
              <w:ind w:right="650"/>
              <w:spacing w:after="0"/>
              <w:rPr>
                <w:sz w:val="20"/>
                <w:szCs w:val="20"/>
                <w:color w:val="auto"/>
              </w:rPr>
            </w:pPr>
            <w:r>
              <w:rPr>
                <w:rFonts w:ascii="Arial" w:cs="Arial" w:eastAsia="Arial" w:hAnsi="Arial"/>
                <w:sz w:val="12"/>
                <w:szCs w:val="12"/>
                <w:b w:val="1"/>
                <w:bCs w:val="1"/>
                <w:color w:val="auto"/>
              </w:rPr>
              <w:t>Outstanding Portfolio</w:t>
            </w: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960" w:type="dxa"/>
            <w:vAlign w:val="bottom"/>
            <w:gridSpan w:val="5"/>
          </w:tcPr>
          <w:p>
            <w:pPr>
              <w:ind w:left="400"/>
              <w:spacing w:after="0" w:line="120" w:lineRule="exact"/>
              <w:rPr>
                <w:sz w:val="20"/>
                <w:szCs w:val="20"/>
                <w:color w:val="auto"/>
              </w:rPr>
            </w:pPr>
            <w:r>
              <w:rPr>
                <w:rFonts w:ascii="Arial" w:cs="Arial" w:eastAsia="Arial" w:hAnsi="Arial"/>
                <w:sz w:val="12"/>
                <w:szCs w:val="12"/>
                <w:b w:val="1"/>
                <w:bCs w:val="1"/>
                <w:color w:val="auto"/>
              </w:rPr>
              <w:t>Ending Balance Evaluated</w:t>
            </w:r>
          </w:p>
        </w:tc>
        <w:tc>
          <w:tcPr>
            <w:tcW w:w="520" w:type="dxa"/>
            <w:vAlign w:val="bottom"/>
          </w:tcPr>
          <w:p>
            <w:pPr>
              <w:spacing w:after="0"/>
              <w:rPr>
                <w:sz w:val="10"/>
                <w:szCs w:val="10"/>
                <w:color w:val="auto"/>
              </w:rPr>
            </w:pPr>
          </w:p>
        </w:tc>
        <w:tc>
          <w:tcPr>
            <w:tcW w:w="2680" w:type="dxa"/>
            <w:vAlign w:val="bottom"/>
            <w:gridSpan w:val="4"/>
          </w:tcPr>
          <w:p>
            <w:pPr>
              <w:jc w:val="right"/>
              <w:ind w:right="670"/>
              <w:spacing w:after="0" w:line="120" w:lineRule="exact"/>
              <w:rPr>
                <w:sz w:val="20"/>
                <w:szCs w:val="20"/>
                <w:color w:val="auto"/>
              </w:rPr>
            </w:pPr>
            <w:r>
              <w:rPr>
                <w:rFonts w:ascii="Arial" w:cs="Arial" w:eastAsia="Arial" w:hAnsi="Arial"/>
                <w:sz w:val="12"/>
                <w:szCs w:val="12"/>
                <w:b w:val="1"/>
                <w:bCs w:val="1"/>
                <w:color w:val="auto"/>
              </w:rPr>
              <w:t>Loan Balances Evaluated</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400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5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2"/>
                <w:szCs w:val="12"/>
                <w:b w:val="1"/>
                <w:bCs w:val="1"/>
                <w:color w:val="auto"/>
              </w:rPr>
              <w:t>for Impairment:</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2"/>
                <w:szCs w:val="12"/>
                <w:b w:val="1"/>
                <w:bCs w:val="1"/>
                <w:color w:val="auto"/>
              </w:rPr>
              <w:t>for Impairment:</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June 30, 2021</w:t>
            </w:r>
          </w:p>
        </w:tc>
        <w:tc>
          <w:tcPr>
            <w:tcW w:w="308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Individually</w:t>
            </w:r>
          </w:p>
        </w:tc>
        <w:tc>
          <w:tcPr>
            <w:tcW w:w="5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Collectively</w:t>
            </w:r>
          </w:p>
        </w:tc>
        <w:tc>
          <w:tcPr>
            <w:tcW w:w="5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Individually</w:t>
            </w:r>
          </w:p>
        </w:tc>
        <w:tc>
          <w:tcPr>
            <w:tcW w:w="540" w:type="dxa"/>
            <w:vAlign w:val="bottom"/>
          </w:tcPr>
          <w:p>
            <w:pPr>
              <w:spacing w:after="0"/>
              <w:rPr>
                <w:sz w:val="14"/>
                <w:szCs w:val="14"/>
                <w:color w:val="auto"/>
              </w:rPr>
            </w:pPr>
          </w:p>
        </w:tc>
        <w:tc>
          <w:tcPr>
            <w:tcW w:w="920" w:type="dxa"/>
            <w:vAlign w:val="bottom"/>
          </w:tcPr>
          <w:p>
            <w:pPr>
              <w:jc w:val="right"/>
              <w:ind w:right="50"/>
              <w:spacing w:after="0"/>
              <w:rPr>
                <w:sz w:val="20"/>
                <w:szCs w:val="20"/>
                <w:color w:val="auto"/>
              </w:rPr>
            </w:pPr>
            <w:r>
              <w:rPr>
                <w:rFonts w:ascii="Arial" w:cs="Arial" w:eastAsia="Arial" w:hAnsi="Arial"/>
                <w:sz w:val="12"/>
                <w:szCs w:val="12"/>
                <w:b w:val="1"/>
                <w:bCs w:val="1"/>
                <w:color w:val="auto"/>
              </w:rPr>
              <w:t>Collectively</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0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tcPr>
          <w:p>
            <w:pPr>
              <w:spacing w:after="0"/>
              <w:rPr>
                <w:sz w:val="13"/>
                <w:szCs w:val="13"/>
                <w:color w:val="auto"/>
              </w:rPr>
            </w:pPr>
          </w:p>
        </w:tc>
        <w:tc>
          <w:tcPr>
            <w:tcW w:w="400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40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6,709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4,583</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415,4</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400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5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7,777</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471,7</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40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5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4,543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2,550</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221,2</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5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2,299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713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157,6</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5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121,4</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5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4000" w:type="dxa"/>
            <w:vAlign w:val="bottom"/>
            <w:tcBorders>
              <w:top w:val="single" w:sz="8" w:color="CCEEFF"/>
              <w:bottom w:val="single" w:sz="8" w:color="CCEEFF"/>
            </w:tcBorders>
            <w:gridSpan w:val="3"/>
            <w:shd w:val="clear" w:color="auto" w:fill="CCEEFF"/>
          </w:tcPr>
          <w:p>
            <w:pPr>
              <w:ind w:left="200"/>
              <w:spacing w:after="0" w:line="179" w:lineRule="exact"/>
              <w:rPr>
                <w:sz w:val="20"/>
                <w:szCs w:val="20"/>
                <w:color w:val="auto"/>
              </w:rPr>
            </w:pPr>
            <w:r>
              <w:rPr>
                <w:rFonts w:ascii="Arial" w:cs="Arial" w:eastAsia="Arial" w:hAnsi="Arial"/>
                <w:sz w:val="16"/>
                <w:szCs w:val="16"/>
                <w:color w:val="auto"/>
              </w:rPr>
              <w:t>Total</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236</w:t>
            </w: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23,843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7,911</w:t>
            </w: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1,388,5</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2020</w:t>
            </w:r>
          </w:p>
        </w:tc>
        <w:tc>
          <w:tcPr>
            <w:tcW w:w="27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40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4,537</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433,1</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400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5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6,786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2,358</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390,1</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40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5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4,595</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5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2,164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1,182</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5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5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4000" w:type="dxa"/>
            <w:vAlign w:val="bottom"/>
            <w:tcBorders>
              <w:top w:val="single" w:sz="8" w:color="CCEEFF"/>
              <w:bottom w:val="single" w:sz="8" w:color="CCEEFF"/>
            </w:tcBorders>
            <w:gridSpan w:val="3"/>
            <w:shd w:val="clear" w:color="auto" w:fill="CCEEFF"/>
          </w:tcPr>
          <w:p>
            <w:pPr>
              <w:ind w:left="200"/>
              <w:spacing w:after="0" w:line="179" w:lineRule="exact"/>
              <w:rPr>
                <w:sz w:val="20"/>
                <w:szCs w:val="20"/>
                <w:color w:val="auto"/>
              </w:rPr>
            </w:pPr>
            <w:r>
              <w:rPr>
                <w:rFonts w:ascii="Arial" w:cs="Arial" w:eastAsia="Arial" w:hAnsi="Arial"/>
                <w:sz w:val="16"/>
                <w:szCs w:val="16"/>
                <w:color w:val="auto"/>
              </w:rPr>
              <w:t>Total</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23,181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1,306,3</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Past due loans, segregated by age and class of loans, as of June 30, 2021 and December 31, 2020 were as follows:</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Portfolio Loans Past Due</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360" w:type="dxa"/>
            <w:vAlign w:val="bottom"/>
            <w:gridSpan w:val="3"/>
            <w:vMerge w:val="restart"/>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Accruing</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33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restart"/>
          </w:tcPr>
          <w:p>
            <w:pPr>
              <w:jc w:val="center"/>
              <w:ind w:right="240"/>
              <w:spacing w:after="0" w:line="120" w:lineRule="exact"/>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7"/>
                <w:szCs w:val="7"/>
                <w:color w:val="auto"/>
              </w:rPr>
            </w:pPr>
          </w:p>
        </w:tc>
        <w:tc>
          <w:tcPr>
            <w:tcW w:w="940" w:type="dxa"/>
            <w:vAlign w:val="bottom"/>
            <w:gridSpan w:val="2"/>
            <w:vMerge w:val="restart"/>
          </w:tcPr>
          <w:p>
            <w:pPr>
              <w:jc w:val="center"/>
              <w:ind w:right="240"/>
              <w:spacing w:after="0" w:line="120" w:lineRule="exact"/>
              <w:rPr>
                <w:sz w:val="20"/>
                <w:szCs w:val="20"/>
                <w:color w:val="auto"/>
              </w:rPr>
            </w:pPr>
            <w:r>
              <w:rPr>
                <w:rFonts w:ascii="Arial" w:cs="Arial" w:eastAsia="Arial" w:hAnsi="Arial"/>
                <w:sz w:val="12"/>
                <w:szCs w:val="12"/>
                <w:b w:val="1"/>
                <w:bCs w:val="1"/>
                <w:color w:val="auto"/>
              </w:rPr>
              <w:t>90 or More</w:t>
            </w: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vMerge w:val="restart"/>
          </w:tcPr>
          <w:p>
            <w:pPr>
              <w:jc w:val="center"/>
              <w:ind w:right="300"/>
              <w:spacing w:after="0" w:line="120" w:lineRule="exact"/>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7"/>
                <w:szCs w:val="7"/>
                <w:color w:val="auto"/>
              </w:rPr>
            </w:pPr>
          </w:p>
        </w:tc>
        <w:tc>
          <w:tcPr>
            <w:tcW w:w="1000" w:type="dxa"/>
            <w:vAlign w:val="bottom"/>
            <w:gridSpan w:val="2"/>
            <w:vMerge w:val="restart"/>
          </w:tcPr>
          <w:p>
            <w:pPr>
              <w:jc w:val="center"/>
              <w:ind w:right="260"/>
              <w:spacing w:after="0" w:line="120" w:lineRule="exact"/>
              <w:rPr>
                <w:sz w:val="20"/>
                <w:szCs w:val="20"/>
                <w:color w:val="auto"/>
              </w:rPr>
            </w:pPr>
            <w:r>
              <w:rPr>
                <w:rFonts w:ascii="Arial" w:cs="Arial" w:eastAsia="Arial" w:hAnsi="Arial"/>
                <w:sz w:val="12"/>
                <w:szCs w:val="12"/>
                <w:b w:val="1"/>
                <w:bCs w:val="1"/>
                <w:color w:val="auto"/>
              </w:rPr>
              <w:t>Loans 90 or</w:t>
            </w: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Total Past</w:t>
            </w:r>
          </w:p>
        </w:tc>
        <w:tc>
          <w:tcPr>
            <w:tcW w:w="200" w:type="dxa"/>
            <w:vAlign w:val="bottom"/>
          </w:tcPr>
          <w:p>
            <w:pPr>
              <w:spacing w:after="0"/>
              <w:rPr>
                <w:sz w:val="2"/>
                <w:szCs w:val="2"/>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rPr>
              <w:t>Current</w:t>
            </w:r>
          </w:p>
        </w:tc>
        <w:tc>
          <w:tcPr>
            <w:tcW w:w="1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2"/>
                <w:szCs w:val="12"/>
                <w:b w:val="1"/>
                <w:bCs w:val="1"/>
                <w:color w:val="auto"/>
              </w:rPr>
              <w:t>Non-accrual</w:t>
            </w:r>
          </w:p>
        </w:tc>
        <w:tc>
          <w:tcPr>
            <w:tcW w:w="0" w:type="dxa"/>
            <w:vAlign w:val="bottom"/>
          </w:tcPr>
          <w:p>
            <w:pPr>
              <w:spacing w:after="0" w:line="20" w:lineRule="exact"/>
              <w:rPr>
                <w:sz w:val="1"/>
                <w:szCs w:val="1"/>
                <w:color w:val="auto"/>
              </w:rPr>
            </w:pPr>
          </w:p>
        </w:tc>
      </w:tr>
      <w:tr>
        <w:trPr>
          <w:trHeight w:val="119"/>
        </w:trPr>
        <w:tc>
          <w:tcPr>
            <w:tcW w:w="3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rPr>
              <w:t>30-89 Days</w:t>
            </w: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rPr>
              <w:t>Days</w:t>
            </w: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320"/>
              <w:spacing w:after="0" w:line="120" w:lineRule="exact"/>
              <w:rPr>
                <w:sz w:val="20"/>
                <w:szCs w:val="20"/>
                <w:color w:val="auto"/>
              </w:rPr>
            </w:pPr>
            <w:r>
              <w:rPr>
                <w:rFonts w:ascii="Arial" w:cs="Arial" w:eastAsia="Arial" w:hAnsi="Arial"/>
                <w:sz w:val="12"/>
                <w:szCs w:val="12"/>
                <w:b w:val="1"/>
                <w:bCs w:val="1"/>
                <w:color w:val="auto"/>
              </w:rPr>
              <w:t>Portfolio</w:t>
            </w:r>
          </w:p>
        </w:tc>
        <w:tc>
          <w:tcPr>
            <w:tcW w:w="120" w:type="dxa"/>
            <w:vAlign w:val="bottom"/>
          </w:tcPr>
          <w:p>
            <w:pPr>
              <w:spacing w:after="0"/>
              <w:rPr>
                <w:sz w:val="10"/>
                <w:szCs w:val="10"/>
                <w:color w:val="auto"/>
              </w:rPr>
            </w:pPr>
          </w:p>
        </w:tc>
        <w:tc>
          <w:tcPr>
            <w:tcW w:w="10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rPr>
              <w:t>More Days</w:t>
            </w:r>
          </w:p>
        </w:tc>
        <w:tc>
          <w:tcPr>
            <w:tcW w:w="1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Due Loans</w:t>
            </w:r>
          </w:p>
        </w:tc>
        <w:tc>
          <w:tcPr>
            <w:tcW w:w="20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Loans</w:t>
            </w:r>
          </w:p>
        </w:tc>
        <w:tc>
          <w:tcPr>
            <w:tcW w:w="18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Past Due</w:t>
            </w:r>
          </w:p>
        </w:tc>
        <w:tc>
          <w:tcPr>
            <w:tcW w:w="140" w:type="dxa"/>
            <w:vAlign w:val="bottom"/>
          </w:tcPr>
          <w:p>
            <w:pPr>
              <w:spacing w:after="0"/>
              <w:rPr>
                <w:sz w:val="12"/>
                <w:szCs w:val="12"/>
                <w:color w:val="auto"/>
              </w:rPr>
            </w:pPr>
          </w:p>
        </w:tc>
        <w:tc>
          <w:tcPr>
            <w:tcW w:w="940" w:type="dxa"/>
            <w:vAlign w:val="bottom"/>
          </w:tcPr>
          <w:p>
            <w:pPr>
              <w:jc w:val="right"/>
              <w:ind w:right="290"/>
              <w:spacing w:after="0"/>
              <w:rPr>
                <w:sz w:val="20"/>
                <w:szCs w:val="20"/>
                <w:color w:val="auto"/>
              </w:rPr>
            </w:pPr>
            <w:r>
              <w:rPr>
                <w:rFonts w:ascii="Arial" w:cs="Arial" w:eastAsia="Arial" w:hAnsi="Arial"/>
                <w:sz w:val="12"/>
                <w:szCs w:val="12"/>
                <w:b w:val="1"/>
                <w:bCs w:val="1"/>
                <w:color w:val="auto"/>
              </w:rPr>
              <w:t>Loans</w:t>
            </w: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4"/>
                <w:szCs w:val="14"/>
                <w:color w:val="auto"/>
              </w:rPr>
              <w:t>Real estate:</w:t>
            </w:r>
          </w:p>
        </w:tc>
        <w:tc>
          <w:tcPr>
            <w:tcW w:w="244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920" w:type="dxa"/>
            <w:vAlign w:val="bottom"/>
            <w:vMerge w:val="continue"/>
          </w:tcPr>
          <w:p>
            <w:pPr>
              <w:spacing w:after="0"/>
              <w:rPr>
                <w:sz w:val="13"/>
                <w:szCs w:val="13"/>
                <w:color w:val="auto"/>
              </w:rPr>
            </w:pPr>
          </w:p>
        </w:tc>
        <w:tc>
          <w:tcPr>
            <w:tcW w:w="24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415,414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420,015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4,583</w:t>
            </w:r>
          </w:p>
        </w:tc>
        <w:tc>
          <w:tcPr>
            <w:tcW w:w="0" w:type="dxa"/>
            <w:vAlign w:val="bottom"/>
          </w:tcPr>
          <w:p>
            <w:pPr>
              <w:spacing w:after="0"/>
              <w:rPr>
                <w:sz w:val="1"/>
                <w:szCs w:val="1"/>
                <w:color w:val="auto"/>
              </w:rPr>
            </w:pPr>
          </w:p>
        </w:tc>
      </w:tr>
      <w:tr>
        <w:trPr>
          <w:trHeight w:val="186"/>
        </w:trPr>
        <w:tc>
          <w:tcPr>
            <w:tcW w:w="336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471,527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471,807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215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185"/>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3,657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220,175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223,832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2,800</w:t>
            </w:r>
          </w:p>
        </w:tc>
        <w:tc>
          <w:tcPr>
            <w:tcW w:w="0" w:type="dxa"/>
            <w:vAlign w:val="bottom"/>
          </w:tcPr>
          <w:p>
            <w:pPr>
              <w:spacing w:after="0"/>
              <w:rPr>
                <w:sz w:val="1"/>
                <w:szCs w:val="1"/>
                <w:color w:val="auto"/>
              </w:rPr>
            </w:pPr>
          </w:p>
        </w:tc>
      </w:tr>
      <w:tr>
        <w:trPr>
          <w:trHeight w:val="186"/>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157,773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158,392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713</w:t>
            </w:r>
          </w:p>
        </w:tc>
        <w:tc>
          <w:tcPr>
            <w:tcW w:w="0" w:type="dxa"/>
            <w:vAlign w:val="bottom"/>
          </w:tcPr>
          <w:p>
            <w:pPr>
              <w:spacing w:after="0"/>
              <w:rPr>
                <w:sz w:val="1"/>
                <w:szCs w:val="1"/>
                <w:color w:val="auto"/>
              </w:rPr>
            </w:pPr>
          </w:p>
        </w:tc>
      </w:tr>
      <w:tr>
        <w:trPr>
          <w:trHeight w:val="185"/>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11,246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110,164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121,410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1,034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33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12,446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7,957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20,403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1,376,087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1,396,490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217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8,161</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3,895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214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306</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6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December 31, 2020</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Real estate:</w:t>
            </w:r>
          </w:p>
        </w:tc>
        <w:tc>
          <w:tcPr>
            <w:tcW w:w="20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433,292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437,860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3,581</w:t>
            </w:r>
          </w:p>
        </w:tc>
        <w:tc>
          <w:tcPr>
            <w:tcW w:w="0" w:type="dxa"/>
            <w:vAlign w:val="bottom"/>
          </w:tcPr>
          <w:p>
            <w:pPr>
              <w:spacing w:after="0"/>
              <w:rPr>
                <w:sz w:val="1"/>
                <w:szCs w:val="1"/>
                <w:color w:val="auto"/>
              </w:rPr>
            </w:pPr>
          </w:p>
        </w:tc>
      </w:tr>
      <w:tr>
        <w:trPr>
          <w:trHeight w:val="185"/>
        </w:trPr>
        <w:tc>
          <w:tcPr>
            <w:tcW w:w="336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389,931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392,550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2,358</w:t>
            </w:r>
          </w:p>
        </w:tc>
        <w:tc>
          <w:tcPr>
            <w:tcW w:w="0" w:type="dxa"/>
            <w:vAlign w:val="bottom"/>
          </w:tcPr>
          <w:p>
            <w:pPr>
              <w:spacing w:after="0"/>
              <w:rPr>
                <w:sz w:val="1"/>
                <w:szCs w:val="1"/>
                <w:color w:val="auto"/>
              </w:rPr>
            </w:pPr>
          </w:p>
        </w:tc>
      </w:tr>
      <w:tr>
        <w:trPr>
          <w:trHeight w:val="186"/>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223,018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0" w:type="dxa"/>
            <w:vAlign w:val="bottom"/>
          </w:tcPr>
          <w:p>
            <w:pPr>
              <w:spacing w:after="0"/>
              <w:rPr>
                <w:sz w:val="1"/>
                <w:szCs w:val="1"/>
                <w:color w:val="auto"/>
              </w:rPr>
            </w:pPr>
          </w:p>
        </w:tc>
      </w:tr>
      <w:tr>
        <w:trPr>
          <w:trHeight w:val="185"/>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155,900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157,127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85"/>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88,369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1,649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3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1,292,159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1,316,276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9,007</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4,675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225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There were not any loans in the process of foreclosure at June 30, 2021. At December 31, 2020 there was a loan secured by a one-to-four family residential property in the process of foreclosure that amounted to $175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24"/>
          <w:szCs w:val="24"/>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-173355</wp:posOffset>
            </wp:positionV>
            <wp:extent cx="696658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96658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ectPr>
          <w:pgSz w:w="11900" w:h="16838" w:orient="portrait"/>
          <w:cols w:equalWidth="0" w:num="1">
            <w:col w:w="11020"/>
          </w:cols>
          <w:pgMar w:left="640" w:top="6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Impaired loans were as follows:</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Impaired Loans</w:t>
      </w:r>
    </w:p>
    <w:p>
      <w:pPr>
        <w:spacing w:after="0" w:line="308" w:lineRule="exact"/>
        <w:rPr>
          <w:sz w:val="20"/>
          <w:szCs w:val="20"/>
          <w:color w:val="auto"/>
        </w:rPr>
      </w:pPr>
    </w:p>
    <w:p>
      <w:pPr>
        <w:ind w:left="340"/>
        <w:spacing w:after="0"/>
        <w:rPr>
          <w:sz w:val="20"/>
          <w:szCs w:val="20"/>
          <w:color w:val="auto"/>
        </w:rPr>
      </w:pPr>
      <w:r>
        <w:rPr>
          <w:rFonts w:ascii="Arial" w:cs="Arial" w:eastAsia="Arial" w:hAnsi="Arial"/>
          <w:sz w:val="11"/>
          <w:szCs w:val="11"/>
          <w:color w:val="auto"/>
        </w:rPr>
        <w:t>(in thousands)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4"/>
          <w:szCs w:val="14"/>
          <w:b w:val="1"/>
          <w:bCs w:val="1"/>
          <w:u w:val="single" w:color="auto"/>
          <w:color w:val="auto"/>
        </w:rPr>
        <w:t>June 30, 2021</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Real estate:</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Residential</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Commercial</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Construction</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Commercial and Industrial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440" w:type="dxa"/>
            <w:vAlign w:val="bottom"/>
          </w:tcPr>
          <w:p>
            <w:pPr>
              <w:spacing w:after="0"/>
              <w:rPr>
                <w:sz w:val="12"/>
                <w:szCs w:val="12"/>
                <w:color w:val="auto"/>
              </w:rPr>
            </w:pPr>
          </w:p>
        </w:tc>
        <w:tc>
          <w:tcPr>
            <w:tcW w:w="1100" w:type="dxa"/>
            <w:vAlign w:val="bottom"/>
            <w:gridSpan w:val="2"/>
          </w:tcPr>
          <w:p>
            <w:pPr>
              <w:ind w:left="220"/>
              <w:spacing w:after="0"/>
              <w:rPr>
                <w:sz w:val="20"/>
                <w:szCs w:val="20"/>
                <w:color w:val="auto"/>
              </w:rPr>
            </w:pPr>
            <w:r>
              <w:rPr>
                <w:rFonts w:ascii="Arial" w:cs="Arial" w:eastAsia="Arial" w:hAnsi="Arial"/>
                <w:sz w:val="12"/>
                <w:szCs w:val="12"/>
                <w:b w:val="1"/>
                <w:bCs w:val="1"/>
                <w:color w:val="auto"/>
              </w:rPr>
              <w:t>Unpaid</w:t>
            </w:r>
          </w:p>
        </w:tc>
        <w:tc>
          <w:tcPr>
            <w:tcW w:w="440" w:type="dxa"/>
            <w:vAlign w:val="bottom"/>
          </w:tcPr>
          <w:p>
            <w:pPr>
              <w:spacing w:after="0"/>
              <w:rPr>
                <w:sz w:val="12"/>
                <w:szCs w:val="12"/>
                <w:color w:val="auto"/>
              </w:rPr>
            </w:pPr>
          </w:p>
        </w:tc>
        <w:tc>
          <w:tcPr>
            <w:tcW w:w="1100" w:type="dxa"/>
            <w:vAlign w:val="bottom"/>
            <w:gridSpan w:val="2"/>
          </w:tcPr>
          <w:p>
            <w:pPr>
              <w:ind w:left="140"/>
              <w:spacing w:after="0"/>
              <w:rPr>
                <w:sz w:val="20"/>
                <w:szCs w:val="20"/>
                <w:color w:val="auto"/>
              </w:rPr>
            </w:pPr>
            <w:r>
              <w:rPr>
                <w:rFonts w:ascii="Arial" w:cs="Arial" w:eastAsia="Arial" w:hAnsi="Arial"/>
                <w:sz w:val="12"/>
                <w:szCs w:val="12"/>
                <w:b w:val="1"/>
                <w:bCs w:val="1"/>
                <w:color w:val="auto"/>
              </w:rPr>
              <w:t>Recorded</w:t>
            </w:r>
          </w:p>
        </w:tc>
        <w:tc>
          <w:tcPr>
            <w:tcW w:w="1500" w:type="dxa"/>
            <w:vAlign w:val="bottom"/>
            <w:gridSpan w:val="3"/>
          </w:tcPr>
          <w:p>
            <w:pPr>
              <w:ind w:left="560"/>
              <w:spacing w:after="0"/>
              <w:rPr>
                <w:sz w:val="20"/>
                <w:szCs w:val="20"/>
                <w:color w:val="auto"/>
              </w:rPr>
            </w:pPr>
            <w:r>
              <w:rPr>
                <w:rFonts w:ascii="Arial" w:cs="Arial" w:eastAsia="Arial" w:hAnsi="Arial"/>
                <w:sz w:val="12"/>
                <w:szCs w:val="12"/>
                <w:b w:val="1"/>
                <w:bCs w:val="1"/>
                <w:color w:val="auto"/>
              </w:rPr>
              <w:t>Recorded</w:t>
            </w:r>
          </w:p>
        </w:tc>
        <w:tc>
          <w:tcPr>
            <w:tcW w:w="420" w:type="dxa"/>
            <w:vAlign w:val="bottom"/>
          </w:tcPr>
          <w:p>
            <w:pPr>
              <w:spacing w:after="0"/>
              <w:rPr>
                <w:sz w:val="12"/>
                <w:szCs w:val="12"/>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Total</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540" w:type="dxa"/>
            <w:vAlign w:val="bottom"/>
            <w:gridSpan w:val="3"/>
          </w:tcPr>
          <w:p>
            <w:pPr>
              <w:jc w:val="center"/>
              <w:ind w:right="120"/>
              <w:spacing w:after="0" w:line="120" w:lineRule="exact"/>
              <w:rPr>
                <w:sz w:val="20"/>
                <w:szCs w:val="20"/>
                <w:color w:val="auto"/>
              </w:rPr>
            </w:pPr>
            <w:r>
              <w:rPr>
                <w:rFonts w:ascii="Arial" w:cs="Arial" w:eastAsia="Arial" w:hAnsi="Arial"/>
                <w:sz w:val="12"/>
                <w:szCs w:val="12"/>
                <w:b w:val="1"/>
                <w:bCs w:val="1"/>
                <w:color w:val="auto"/>
              </w:rPr>
              <w:t>Contractual</w:t>
            </w:r>
          </w:p>
        </w:tc>
        <w:tc>
          <w:tcPr>
            <w:tcW w:w="1540" w:type="dxa"/>
            <w:vAlign w:val="bottom"/>
            <w:gridSpan w:val="3"/>
          </w:tcPr>
          <w:p>
            <w:pPr>
              <w:jc w:val="center"/>
              <w:ind w:right="120"/>
              <w:spacing w:after="0" w:line="120" w:lineRule="exact"/>
              <w:rPr>
                <w:sz w:val="20"/>
                <w:szCs w:val="20"/>
                <w:color w:val="auto"/>
              </w:rPr>
            </w:pPr>
            <w:r>
              <w:rPr>
                <w:rFonts w:ascii="Arial" w:cs="Arial" w:eastAsia="Arial" w:hAnsi="Arial"/>
                <w:sz w:val="12"/>
                <w:szCs w:val="12"/>
                <w:b w:val="1"/>
                <w:bCs w:val="1"/>
                <w:color w:val="auto"/>
              </w:rPr>
              <w:t>Investment</w:t>
            </w:r>
          </w:p>
        </w:tc>
        <w:tc>
          <w:tcPr>
            <w:tcW w:w="1040" w:type="dxa"/>
            <w:vAlign w:val="bottom"/>
          </w:tcPr>
          <w:p>
            <w:pPr>
              <w:jc w:val="center"/>
              <w:ind w:left="256"/>
              <w:spacing w:after="0" w:line="120" w:lineRule="exact"/>
              <w:rPr>
                <w:sz w:val="20"/>
                <w:szCs w:val="20"/>
                <w:color w:val="auto"/>
              </w:rPr>
            </w:pPr>
            <w:r>
              <w:rPr>
                <w:rFonts w:ascii="Arial" w:cs="Arial" w:eastAsia="Arial" w:hAnsi="Arial"/>
                <w:sz w:val="12"/>
                <w:szCs w:val="12"/>
                <w:b w:val="1"/>
                <w:bCs w:val="1"/>
                <w:color w:val="auto"/>
              </w:rPr>
              <w:t>Investment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180" w:type="dxa"/>
            <w:vAlign w:val="bottom"/>
            <w:vMerge w:val="restart"/>
          </w:tcPr>
          <w:p>
            <w:pPr>
              <w:jc w:val="right"/>
              <w:ind w:right="34"/>
              <w:spacing w:after="0"/>
              <w:rPr>
                <w:sz w:val="20"/>
                <w:szCs w:val="20"/>
                <w:color w:val="auto"/>
              </w:rPr>
            </w:pPr>
            <w:r>
              <w:rPr>
                <w:rFonts w:ascii="Arial" w:cs="Arial" w:eastAsia="Arial" w:hAnsi="Arial"/>
                <w:sz w:val="12"/>
                <w:szCs w:val="12"/>
                <w:b w:val="1"/>
                <w:bCs w:val="1"/>
                <w:color w:val="auto"/>
              </w:rPr>
              <w:t>Related</w:t>
            </w: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1100" w:type="dxa"/>
            <w:vAlign w:val="bottom"/>
            <w:gridSpan w:val="2"/>
          </w:tcPr>
          <w:p>
            <w:pPr>
              <w:jc w:val="center"/>
              <w:ind w:right="560"/>
              <w:spacing w:after="0" w:line="120" w:lineRule="exact"/>
              <w:rPr>
                <w:sz w:val="20"/>
                <w:szCs w:val="20"/>
                <w:color w:val="auto"/>
              </w:rPr>
            </w:pPr>
            <w:r>
              <w:rPr>
                <w:rFonts w:ascii="Arial" w:cs="Arial" w:eastAsia="Arial" w:hAnsi="Arial"/>
                <w:sz w:val="12"/>
                <w:szCs w:val="12"/>
                <w:b w:val="1"/>
                <w:bCs w:val="1"/>
                <w:color w:val="auto"/>
              </w:rPr>
              <w:t>Principal</w:t>
            </w:r>
          </w:p>
        </w:tc>
        <w:tc>
          <w:tcPr>
            <w:tcW w:w="440" w:type="dxa"/>
            <w:vAlign w:val="bottom"/>
          </w:tcPr>
          <w:p>
            <w:pPr>
              <w:spacing w:after="0"/>
              <w:rPr>
                <w:sz w:val="10"/>
                <w:szCs w:val="10"/>
                <w:color w:val="auto"/>
              </w:rPr>
            </w:pPr>
          </w:p>
        </w:tc>
        <w:tc>
          <w:tcPr>
            <w:tcW w:w="1100" w:type="dxa"/>
            <w:vAlign w:val="bottom"/>
            <w:gridSpan w:val="2"/>
          </w:tcPr>
          <w:p>
            <w:pPr>
              <w:jc w:val="center"/>
              <w:ind w:right="560"/>
              <w:spacing w:after="0" w:line="120" w:lineRule="exact"/>
              <w:rPr>
                <w:sz w:val="20"/>
                <w:szCs w:val="20"/>
                <w:color w:val="auto"/>
              </w:rPr>
            </w:pPr>
            <w:r>
              <w:rPr>
                <w:rFonts w:ascii="Arial" w:cs="Arial" w:eastAsia="Arial" w:hAnsi="Arial"/>
                <w:sz w:val="12"/>
                <w:szCs w:val="12"/>
                <w:b w:val="1"/>
                <w:bCs w:val="1"/>
                <w:color w:val="auto"/>
              </w:rPr>
              <w:t>With No</w:t>
            </w:r>
          </w:p>
        </w:tc>
        <w:tc>
          <w:tcPr>
            <w:tcW w:w="1040" w:type="dxa"/>
            <w:vAlign w:val="bottom"/>
          </w:tcPr>
          <w:p>
            <w:pPr>
              <w:jc w:val="center"/>
              <w:ind w:left="276"/>
              <w:spacing w:after="0" w:line="120" w:lineRule="exact"/>
              <w:rPr>
                <w:sz w:val="20"/>
                <w:szCs w:val="20"/>
                <w:color w:val="auto"/>
              </w:rPr>
            </w:pPr>
            <w:r>
              <w:rPr>
                <w:rFonts w:ascii="Arial" w:cs="Arial" w:eastAsia="Arial" w:hAnsi="Arial"/>
                <w:sz w:val="12"/>
                <w:szCs w:val="12"/>
                <w:b w:val="1"/>
                <w:bCs w:val="1"/>
                <w:color w:val="auto"/>
                <w:w w:val="99"/>
              </w:rPr>
              <w:t>With</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jc w:val="center"/>
              <w:ind w:right="540"/>
              <w:spacing w:after="0" w:line="120" w:lineRule="exact"/>
              <w:rPr>
                <w:sz w:val="20"/>
                <w:szCs w:val="20"/>
                <w:color w:val="auto"/>
              </w:rPr>
            </w:pPr>
            <w:r>
              <w:rPr>
                <w:rFonts w:ascii="Arial" w:cs="Arial" w:eastAsia="Arial" w:hAnsi="Arial"/>
                <w:sz w:val="12"/>
                <w:szCs w:val="12"/>
                <w:b w:val="1"/>
                <w:bCs w:val="1"/>
                <w:color w:val="auto"/>
              </w:rPr>
              <w:t>Recorded</w:t>
            </w: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3"/>
              <w:spacing w:after="0"/>
              <w:rPr>
                <w:sz w:val="20"/>
                <w:szCs w:val="20"/>
                <w:color w:val="auto"/>
              </w:rPr>
            </w:pPr>
            <w:r>
              <w:rPr>
                <w:rFonts w:ascii="Arial" w:cs="Arial" w:eastAsia="Arial" w:hAnsi="Arial"/>
                <w:sz w:val="12"/>
                <w:szCs w:val="12"/>
                <w:b w:val="1"/>
                <w:bCs w:val="1"/>
                <w:color w:val="auto"/>
                <w:w w:val="99"/>
              </w:rPr>
              <w:t>Balance</w:t>
            </w:r>
          </w:p>
        </w:tc>
        <w:tc>
          <w:tcPr>
            <w:tcW w:w="120" w:type="dxa"/>
            <w:vAlign w:val="bottom"/>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Allowance</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center"/>
              <w:ind w:left="256"/>
              <w:spacing w:after="0"/>
              <w:rPr>
                <w:sz w:val="20"/>
                <w:szCs w:val="20"/>
                <w:color w:val="auto"/>
              </w:rPr>
            </w:pPr>
            <w:r>
              <w:rPr>
                <w:rFonts w:ascii="Arial" w:cs="Arial" w:eastAsia="Arial" w:hAnsi="Arial"/>
                <w:sz w:val="12"/>
                <w:szCs w:val="12"/>
                <w:b w:val="1"/>
                <w:bCs w:val="1"/>
                <w:color w:val="auto"/>
              </w:rPr>
              <w:t>Allowance</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Investment</w:t>
            </w:r>
          </w:p>
        </w:tc>
        <w:tc>
          <w:tcPr>
            <w:tcW w:w="120" w:type="dxa"/>
            <w:vAlign w:val="bottom"/>
          </w:tcPr>
          <w:p>
            <w:pPr>
              <w:spacing w:after="0"/>
              <w:rPr>
                <w:sz w:val="14"/>
                <w:szCs w:val="14"/>
                <w:color w:val="auto"/>
              </w:rPr>
            </w:pP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2"/>
                <w:szCs w:val="12"/>
                <w:b w:val="1"/>
                <w:bCs w:val="1"/>
                <w:color w:val="auto"/>
              </w:rPr>
              <w:t>Allowance</w:t>
            </w:r>
          </w:p>
        </w:tc>
        <w:tc>
          <w:tcPr>
            <w:tcW w:w="0" w:type="dxa"/>
            <w:vAlign w:val="bottom"/>
          </w:tcPr>
          <w:p>
            <w:pPr>
              <w:spacing w:after="0"/>
              <w:rPr>
                <w:sz w:val="1"/>
                <w:szCs w:val="1"/>
                <w:color w:val="auto"/>
              </w:rPr>
            </w:pPr>
          </w:p>
        </w:tc>
      </w:tr>
      <w:tr>
        <w:trPr>
          <w:trHeight w:val="356"/>
        </w:trPr>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4,791</w:t>
            </w: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4"/>
                <w:szCs w:val="14"/>
                <w:b w:val="1"/>
                <w:bCs w:val="1"/>
                <w:color w:val="auto"/>
              </w:rPr>
              <w:t>4,583</w:t>
            </w:r>
          </w:p>
        </w:tc>
        <w:tc>
          <w:tcPr>
            <w:tcW w:w="120" w:type="dxa"/>
            <w:vAlign w:val="bottom"/>
          </w:tcPr>
          <w:p>
            <w:pPr>
              <w:spacing w:after="0"/>
              <w:rPr>
                <w:sz w:val="24"/>
                <w:szCs w:val="24"/>
                <w:color w:val="auto"/>
              </w:rPr>
            </w:pPr>
          </w:p>
        </w:tc>
        <w:tc>
          <w:tcPr>
            <w:tcW w:w="1040" w:type="dxa"/>
            <w:vAlign w:val="bottom"/>
          </w:tcPr>
          <w:p>
            <w:pPr>
              <w:jc w:val="right"/>
              <w:ind w:right="576"/>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4,583</w:t>
            </w:r>
          </w:p>
        </w:tc>
        <w:tc>
          <w:tcPr>
            <w:tcW w:w="120" w:type="dxa"/>
            <w:vAlign w:val="bottom"/>
          </w:tcPr>
          <w:p>
            <w:pPr>
              <w:spacing w:after="0"/>
              <w:rPr>
                <w:sz w:val="24"/>
                <w:szCs w:val="24"/>
                <w:color w:val="auto"/>
              </w:rPr>
            </w:pPr>
          </w:p>
        </w:tc>
        <w:tc>
          <w:tcPr>
            <w:tcW w:w="1180" w:type="dxa"/>
            <w:vAlign w:val="bottom"/>
          </w:tcPr>
          <w:p>
            <w:pPr>
              <w:jc w:val="right"/>
              <w:ind w:right="6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b w:val="1"/>
                <w:bCs w:val="1"/>
                <w:color w:val="auto"/>
              </w:rPr>
              <w:t>65</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2,666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b w:val="1"/>
                <w:bCs w:val="1"/>
                <w:color w:val="auto"/>
              </w:rPr>
              <w:t>2,550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2,550</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869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b w:val="1"/>
                <w:bCs w:val="1"/>
                <w:color w:val="auto"/>
              </w:rPr>
              <w:t>340</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jc w:val="right"/>
              <w:ind w:right="9"/>
              <w:spacing w:after="0"/>
              <w:rPr>
                <w:sz w:val="20"/>
                <w:szCs w:val="20"/>
                <w:color w:val="auto"/>
              </w:rPr>
            </w:pPr>
            <w:r>
              <w:rPr>
                <w:rFonts w:ascii="Arial" w:cs="Arial" w:eastAsia="Arial" w:hAnsi="Arial"/>
                <w:sz w:val="14"/>
                <w:szCs w:val="14"/>
                <w:b w:val="1"/>
                <w:bCs w:val="1"/>
                <w:color w:val="auto"/>
              </w:rPr>
              <w:t>373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713</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-469265</wp:posOffset>
            </wp:positionV>
            <wp:extent cx="6995160" cy="1174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1747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-233680</wp:posOffset>
            </wp:positionV>
            <wp:extent cx="6995160" cy="1181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181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020" w:space="720"/>
            <w:col w:w="7280"/>
          </w:cols>
          <w:pgMar w:left="640" w:top="614" w:right="2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4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70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7,538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06"/>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Acquired loans included above</w:t>
            </w:r>
          </w:p>
        </w:tc>
        <w:tc>
          <w:tcPr>
            <w:tcW w:w="70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360</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360</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7"/>
                <w:szCs w:val="17"/>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66"/>
        </w:trPr>
        <w:tc>
          <w:tcPr>
            <w:tcW w:w="3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2020</w:t>
            </w:r>
          </w:p>
        </w:tc>
        <w:tc>
          <w:tcPr>
            <w:tcW w:w="2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r>
      <w:tr>
        <w:trPr>
          <w:trHeight w:val="185"/>
        </w:trPr>
        <w:tc>
          <w:tcPr>
            <w:tcW w:w="34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4"/>
                <w:szCs w:val="14"/>
                <w:color w:val="auto"/>
              </w:rPr>
              <w:t>Real estate:</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6"/>
        </w:trPr>
        <w:tc>
          <w:tcPr>
            <w:tcW w:w="340" w:type="dxa"/>
            <w:vAlign w:val="bottom"/>
            <w:shd w:val="clear" w:color="auto" w:fill="CCEEFF"/>
          </w:tcPr>
          <w:p>
            <w:pPr>
              <w:spacing w:after="0"/>
              <w:rPr>
                <w:sz w:val="16"/>
                <w:szCs w:val="16"/>
                <w:color w:val="auto"/>
              </w:rPr>
            </w:pPr>
          </w:p>
        </w:tc>
        <w:tc>
          <w:tcPr>
            <w:tcW w:w="3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7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4,537</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r>
      <w:tr>
        <w:trPr>
          <w:trHeight w:val="185"/>
        </w:trPr>
        <w:tc>
          <w:tcPr>
            <w:tcW w:w="340" w:type="dxa"/>
            <w:vAlign w:val="bottom"/>
          </w:tcPr>
          <w:p>
            <w:pPr>
              <w:spacing w:after="0"/>
              <w:rPr>
                <w:sz w:val="16"/>
                <w:szCs w:val="16"/>
                <w:color w:val="auto"/>
              </w:rPr>
            </w:pPr>
          </w:p>
        </w:tc>
        <w:tc>
          <w:tcPr>
            <w:tcW w:w="3400" w:type="dxa"/>
            <w:vAlign w:val="bottom"/>
            <w:gridSpan w:val="2"/>
          </w:tcPr>
          <w:p>
            <w:pPr>
              <w:ind w:left="120"/>
              <w:spacing w:after="0"/>
              <w:rPr>
                <w:sz w:val="20"/>
                <w:szCs w:val="20"/>
                <w:color w:val="auto"/>
              </w:rPr>
            </w:pPr>
            <w:r>
              <w:rPr>
                <w:rFonts w:ascii="Arial" w:cs="Arial" w:eastAsia="Arial" w:hAnsi="Arial"/>
                <w:sz w:val="14"/>
                <w:szCs w:val="14"/>
                <w:color w:val="auto"/>
              </w:rPr>
              <w:t>Commercial</w:t>
            </w:r>
          </w:p>
        </w:tc>
        <w:tc>
          <w:tcPr>
            <w:tcW w:w="7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2,490</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2,358</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2,358</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6"/>
        </w:trPr>
        <w:tc>
          <w:tcPr>
            <w:tcW w:w="340" w:type="dxa"/>
            <w:vAlign w:val="bottom"/>
            <w:shd w:val="clear" w:color="auto" w:fill="CCEEFF"/>
          </w:tcPr>
          <w:p>
            <w:pPr>
              <w:spacing w:after="0"/>
              <w:rPr>
                <w:sz w:val="16"/>
                <w:szCs w:val="16"/>
                <w:color w:val="auto"/>
              </w:rPr>
            </w:pPr>
          </w:p>
        </w:tc>
        <w:tc>
          <w:tcPr>
            <w:tcW w:w="3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1,886</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185"/>
        </w:trPr>
        <w:tc>
          <w:tcPr>
            <w:tcW w:w="340" w:type="dxa"/>
            <w:vAlign w:val="bottom"/>
            <w:tcBorders>
              <w:bottom w:val="single" w:sz="8" w:color="CCEEFF"/>
            </w:tcBorders>
          </w:tcPr>
          <w:p>
            <w:pPr>
              <w:spacing w:after="0"/>
              <w:rPr>
                <w:sz w:val="16"/>
                <w:szCs w:val="16"/>
                <w:color w:val="auto"/>
              </w:rPr>
            </w:pPr>
          </w:p>
        </w:tc>
        <w:tc>
          <w:tcPr>
            <w:tcW w:w="34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Commercial and Industrial</w:t>
            </w:r>
          </w:p>
        </w:tc>
        <w:tc>
          <w:tcPr>
            <w:tcW w:w="7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1,344</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791</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391</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04"/>
        </w:trPr>
        <w:tc>
          <w:tcPr>
            <w:tcW w:w="34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70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9,790</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9,572</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391</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9,963</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06"/>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Acquired loans included above</w:t>
            </w:r>
          </w:p>
        </w:tc>
        <w:tc>
          <w:tcPr>
            <w:tcW w:w="7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interest recognized on impaired loans: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Interest Recognized on Impaired Loans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b w:val="1"/>
                <w:bCs w:val="1"/>
                <w:color w:val="auto"/>
              </w:rPr>
              <w:t>For the Three Months Ended June 30,</w:t>
            </w:r>
          </w:p>
        </w:tc>
        <w:tc>
          <w:tcPr>
            <w:tcW w:w="29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For the Six Months Ended June 30, 20</w:t>
            </w:r>
          </w:p>
        </w:tc>
        <w:tc>
          <w:tcPr>
            <w:tcW w:w="0" w:type="dxa"/>
            <w:vAlign w:val="bottom"/>
          </w:tcPr>
          <w:p>
            <w:pPr>
              <w:spacing w:after="0"/>
              <w:rPr>
                <w:sz w:val="1"/>
                <w:szCs w:val="1"/>
                <w:color w:val="auto"/>
              </w:rPr>
            </w:pPr>
          </w:p>
        </w:tc>
      </w:tr>
      <w:tr>
        <w:trPr>
          <w:trHeight w:val="172"/>
        </w:trPr>
        <w:tc>
          <w:tcPr>
            <w:tcW w:w="47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40" w:type="dxa"/>
            <w:vAlign w:val="bottom"/>
            <w:gridSpan w:val="3"/>
          </w:tcPr>
          <w:p>
            <w:pPr>
              <w:ind w:left="260"/>
              <w:spacing w:after="0" w:line="113" w:lineRule="exact"/>
              <w:rPr>
                <w:sz w:val="20"/>
                <w:szCs w:val="20"/>
                <w:color w:val="auto"/>
              </w:rPr>
            </w:pPr>
            <w:r>
              <w:rPr>
                <w:rFonts w:ascii="Arial" w:cs="Arial" w:eastAsia="Arial" w:hAnsi="Arial"/>
                <w:sz w:val="12"/>
                <w:szCs w:val="12"/>
                <w:b w:val="1"/>
                <w:bCs w:val="1"/>
                <w:color w:val="auto"/>
              </w:rPr>
              <w:t>Average</w:t>
            </w:r>
          </w:p>
        </w:tc>
        <w:tc>
          <w:tcPr>
            <w:tcW w:w="1000" w:type="dxa"/>
            <w:vAlign w:val="bottom"/>
            <w:vMerge w:val="restart"/>
          </w:tcPr>
          <w:p>
            <w:pPr>
              <w:jc w:val="right"/>
              <w:ind w:right="14"/>
              <w:spacing w:after="0"/>
              <w:rPr>
                <w:sz w:val="20"/>
                <w:szCs w:val="20"/>
                <w:color w:val="auto"/>
              </w:rPr>
            </w:pPr>
            <w:r>
              <w:rPr>
                <w:rFonts w:ascii="Arial" w:cs="Arial" w:eastAsia="Arial" w:hAnsi="Arial"/>
                <w:sz w:val="12"/>
                <w:szCs w:val="12"/>
                <w:b w:val="1"/>
                <w:bCs w:val="1"/>
                <w:color w:val="auto"/>
              </w:rPr>
              <w:t>Interest</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40" w:type="dxa"/>
            <w:vAlign w:val="bottom"/>
            <w:gridSpan w:val="2"/>
          </w:tcPr>
          <w:p>
            <w:pPr>
              <w:ind w:left="260"/>
              <w:spacing w:after="0" w:line="113" w:lineRule="exact"/>
              <w:rPr>
                <w:sz w:val="20"/>
                <w:szCs w:val="20"/>
                <w:color w:val="auto"/>
              </w:rPr>
            </w:pPr>
            <w:r>
              <w:rPr>
                <w:rFonts w:ascii="Arial" w:cs="Arial" w:eastAsia="Arial" w:hAnsi="Arial"/>
                <w:sz w:val="12"/>
                <w:szCs w:val="12"/>
                <w:b w:val="1"/>
                <w:bCs w:val="1"/>
                <w:color w:val="auto"/>
              </w:rPr>
              <w:t>Average</w:t>
            </w:r>
          </w:p>
        </w:tc>
        <w:tc>
          <w:tcPr>
            <w:tcW w:w="1300" w:type="dxa"/>
            <w:vAlign w:val="bottom"/>
            <w:vMerge w:val="restart"/>
          </w:tcPr>
          <w:p>
            <w:pPr>
              <w:jc w:val="right"/>
              <w:ind w:right="94"/>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119"/>
        </w:trPr>
        <w:tc>
          <w:tcPr>
            <w:tcW w:w="4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40" w:type="dxa"/>
            <w:vAlign w:val="bottom"/>
            <w:gridSpan w:val="3"/>
          </w:tcPr>
          <w:p>
            <w:pPr>
              <w:ind w:left="60"/>
              <w:spacing w:after="0" w:line="120" w:lineRule="exact"/>
              <w:rPr>
                <w:sz w:val="20"/>
                <w:szCs w:val="20"/>
                <w:color w:val="auto"/>
              </w:rPr>
            </w:pPr>
            <w:r>
              <w:rPr>
                <w:rFonts w:ascii="Arial" w:cs="Arial" w:eastAsia="Arial" w:hAnsi="Arial"/>
                <w:sz w:val="12"/>
                <w:szCs w:val="12"/>
                <w:b w:val="1"/>
                <w:bCs w:val="1"/>
                <w:color w:val="auto"/>
              </w:rPr>
              <w:t>Recorded</w:t>
            </w:r>
          </w:p>
        </w:tc>
        <w:tc>
          <w:tcPr>
            <w:tcW w:w="10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40" w:type="dxa"/>
            <w:vAlign w:val="bottom"/>
            <w:gridSpan w:val="2"/>
          </w:tcPr>
          <w:p>
            <w:pPr>
              <w:jc w:val="center"/>
              <w:ind w:right="560"/>
              <w:spacing w:after="0" w:line="120" w:lineRule="exact"/>
              <w:rPr>
                <w:sz w:val="20"/>
                <w:szCs w:val="20"/>
                <w:color w:val="auto"/>
              </w:rPr>
            </w:pPr>
            <w:r>
              <w:rPr>
                <w:rFonts w:ascii="Arial" w:cs="Arial" w:eastAsia="Arial" w:hAnsi="Arial"/>
                <w:sz w:val="12"/>
                <w:szCs w:val="12"/>
                <w:b w:val="1"/>
                <w:bCs w:val="1"/>
                <w:color w:val="auto"/>
              </w:rPr>
              <w:t>Recorded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78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4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Investment</w:t>
            </w:r>
          </w:p>
        </w:tc>
        <w:tc>
          <w:tcPr>
            <w:tcW w:w="1000" w:type="dxa"/>
            <w:vAlign w:val="bottom"/>
          </w:tcPr>
          <w:p>
            <w:pPr>
              <w:jc w:val="right"/>
              <w:ind w:right="54"/>
              <w:spacing w:after="0"/>
              <w:rPr>
                <w:sz w:val="20"/>
                <w:szCs w:val="20"/>
                <w:color w:val="auto"/>
              </w:rPr>
            </w:pPr>
            <w:r>
              <w:rPr>
                <w:rFonts w:ascii="Arial" w:cs="Arial" w:eastAsia="Arial" w:hAnsi="Arial"/>
                <w:sz w:val="12"/>
                <w:szCs w:val="12"/>
                <w:b w:val="1"/>
                <w:bCs w:val="1"/>
                <w:color w:val="auto"/>
              </w:rPr>
              <w:t>Recognized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rPr>
              <w:t>Investment</w:t>
            </w:r>
          </w:p>
        </w:tc>
        <w:tc>
          <w:tcPr>
            <w:tcW w:w="1300" w:type="dxa"/>
            <w:vAlign w:val="bottom"/>
          </w:tcPr>
          <w:p>
            <w:pPr>
              <w:jc w:val="right"/>
              <w:ind w:right="114"/>
              <w:spacing w:after="0"/>
              <w:rPr>
                <w:sz w:val="20"/>
                <w:szCs w:val="20"/>
                <w:color w:val="auto"/>
              </w:rPr>
            </w:pPr>
            <w:r>
              <w:rPr>
                <w:rFonts w:ascii="Arial" w:cs="Arial" w:eastAsia="Arial" w:hAnsi="Arial"/>
                <w:sz w:val="12"/>
                <w:szCs w:val="12"/>
                <w:b w:val="1"/>
                <w:bCs w:val="1"/>
                <w:color w:val="auto"/>
              </w:rPr>
              <w:t>Recognized</w:t>
            </w:r>
          </w:p>
        </w:tc>
        <w:tc>
          <w:tcPr>
            <w:tcW w:w="0" w:type="dxa"/>
            <w:vAlign w:val="bottom"/>
          </w:tcPr>
          <w:p>
            <w:pPr>
              <w:spacing w:after="0"/>
              <w:rPr>
                <w:sz w:val="1"/>
                <w:szCs w:val="1"/>
                <w:color w:val="auto"/>
              </w:rPr>
            </w:pPr>
          </w:p>
        </w:tc>
      </w:tr>
      <w:tr>
        <w:trPr>
          <w:trHeight w:val="172"/>
        </w:trPr>
        <w:tc>
          <w:tcPr>
            <w:tcW w:w="4780" w:type="dxa"/>
            <w:vAlign w:val="bottom"/>
          </w:tcPr>
          <w:p>
            <w:pPr>
              <w:ind w:left="340"/>
              <w:spacing w:after="0"/>
              <w:rPr>
                <w:sz w:val="20"/>
                <w:szCs w:val="20"/>
                <w:color w:val="auto"/>
              </w:rPr>
            </w:pPr>
            <w:r>
              <w:rPr>
                <w:rFonts w:ascii="Arial" w:cs="Arial" w:eastAsia="Arial" w:hAnsi="Arial"/>
                <w:sz w:val="14"/>
                <w:szCs w:val="14"/>
                <w:color w:val="auto"/>
              </w:rPr>
              <w:t>Real estate:</w:t>
            </w:r>
          </w:p>
        </w:tc>
        <w:tc>
          <w:tcPr>
            <w:tcW w:w="4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Residential</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4,952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34"/>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4,955</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780" w:type="dxa"/>
            <w:vAlign w:val="bottom"/>
          </w:tcPr>
          <w:p>
            <w:pPr>
              <w:ind w:left="460"/>
              <w:spacing w:after="0"/>
              <w:rPr>
                <w:sz w:val="20"/>
                <w:szCs w:val="20"/>
                <w:color w:val="auto"/>
              </w:rPr>
            </w:pPr>
            <w:r>
              <w:rPr>
                <w:rFonts w:ascii="Arial" w:cs="Arial" w:eastAsia="Arial" w:hAnsi="Arial"/>
                <w:sz w:val="14"/>
                <w:szCs w:val="14"/>
                <w:color w:val="auto"/>
              </w:rPr>
              <w:t>Commercial</w:t>
            </w:r>
          </w:p>
        </w:tc>
        <w:tc>
          <w:tcPr>
            <w:tcW w:w="420" w:type="dxa"/>
            <w:vAlign w:val="bottom"/>
          </w:tcPr>
          <w:p>
            <w:pPr>
              <w:spacing w:after="0"/>
              <w:rPr>
                <w:sz w:val="16"/>
                <w:szCs w:val="16"/>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b w:val="1"/>
                <w:bCs w:val="1"/>
                <w:color w:val="auto"/>
              </w:rPr>
              <w:t>1,080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1,094</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Construction</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2,720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2,720</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Commercial and Industrial</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1,154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1,155</w:t>
            </w:r>
          </w:p>
        </w:tc>
        <w:tc>
          <w:tcPr>
            <w:tcW w:w="1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7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9,906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9,924</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243205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614" w:right="239" w:bottom="1440" w:gutter="0" w:footer="0" w:header="0"/>
          <w:type w:val="continuous"/>
        </w:sectPr>
      </w:pPr>
    </w:p>
    <w:bookmarkStart w:id="26" w:name="page27"/>
    <w:bookmarkEnd w:id="26"/>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Interest Recognized on Impaired Loans</w:t>
      </w:r>
    </w:p>
    <w:p>
      <w:pPr>
        <w:spacing w:after="0" w:line="1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020" w:type="dxa"/>
            <w:vAlign w:val="bottom"/>
            <w:gridSpan w:val="7"/>
          </w:tcPr>
          <w:p>
            <w:pPr>
              <w:ind w:left="340"/>
              <w:spacing w:after="0"/>
              <w:rPr>
                <w:sz w:val="20"/>
                <w:szCs w:val="20"/>
                <w:color w:val="auto"/>
              </w:rPr>
            </w:pPr>
            <w:r>
              <w:rPr>
                <w:rFonts w:ascii="Arial" w:cs="Arial" w:eastAsia="Arial" w:hAnsi="Arial"/>
                <w:sz w:val="14"/>
                <w:szCs w:val="14"/>
                <w:b w:val="1"/>
                <w:bCs w:val="1"/>
                <w:color w:val="auto"/>
              </w:rPr>
              <w:t>For the Three Months Ended June 30,</w:t>
            </w:r>
          </w:p>
        </w:tc>
        <w:tc>
          <w:tcPr>
            <w:tcW w:w="420" w:type="dxa"/>
            <w:vAlign w:val="bottom"/>
          </w:tcPr>
          <w:p>
            <w:pPr>
              <w:spacing w:after="0"/>
              <w:rPr>
                <w:sz w:val="14"/>
                <w:szCs w:val="14"/>
                <w:color w:val="auto"/>
              </w:rPr>
            </w:pPr>
          </w:p>
        </w:tc>
        <w:tc>
          <w:tcPr>
            <w:tcW w:w="2300" w:type="dxa"/>
            <w:vAlign w:val="bottom"/>
            <w:gridSpan w:val="4"/>
          </w:tcPr>
          <w:p>
            <w:pPr>
              <w:ind w:left="40"/>
              <w:spacing w:after="0"/>
              <w:rPr>
                <w:sz w:val="20"/>
                <w:szCs w:val="20"/>
                <w:color w:val="auto"/>
              </w:rPr>
            </w:pPr>
            <w:r>
              <w:rPr>
                <w:rFonts w:ascii="Arial" w:cs="Arial" w:eastAsia="Arial" w:hAnsi="Arial"/>
                <w:sz w:val="14"/>
                <w:szCs w:val="14"/>
                <w:b w:val="1"/>
                <w:bCs w:val="1"/>
                <w:color w:val="auto"/>
              </w:rPr>
              <w:t>For the Six Months Ended June 3</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20" w:type="dxa"/>
            <w:vAlign w:val="bottom"/>
            <w:gridSpan w:val="3"/>
          </w:tcPr>
          <w:p>
            <w:pPr>
              <w:jc w:val="right"/>
              <w:ind w:right="640"/>
              <w:spacing w:after="0" w:line="113" w:lineRule="exact"/>
              <w:rPr>
                <w:sz w:val="20"/>
                <w:szCs w:val="20"/>
                <w:color w:val="auto"/>
              </w:rPr>
            </w:pPr>
            <w:r>
              <w:rPr>
                <w:rFonts w:ascii="Arial" w:cs="Arial" w:eastAsia="Arial" w:hAnsi="Arial"/>
                <w:sz w:val="12"/>
                <w:szCs w:val="12"/>
                <w:b w:val="1"/>
                <w:bCs w:val="1"/>
                <w:color w:val="auto"/>
              </w:rPr>
              <w:t>Average</w:t>
            </w:r>
          </w:p>
        </w:tc>
        <w:tc>
          <w:tcPr>
            <w:tcW w:w="900" w:type="dxa"/>
            <w:vAlign w:val="bottom"/>
            <w:vMerge w:val="restart"/>
          </w:tcPr>
          <w:p>
            <w:pPr>
              <w:ind w:left="420"/>
              <w:spacing w:after="0"/>
              <w:rPr>
                <w:sz w:val="20"/>
                <w:szCs w:val="20"/>
                <w:color w:val="auto"/>
              </w:rPr>
            </w:pPr>
            <w:r>
              <w:rPr>
                <w:rFonts w:ascii="Arial" w:cs="Arial" w:eastAsia="Arial" w:hAnsi="Arial"/>
                <w:sz w:val="12"/>
                <w:szCs w:val="12"/>
                <w:b w:val="1"/>
                <w:bCs w:val="1"/>
                <w:color w:val="auto"/>
              </w:rPr>
              <w:t>Interest</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gridSpan w:val="3"/>
          </w:tcPr>
          <w:p>
            <w:pPr>
              <w:jc w:val="right"/>
              <w:ind w:right="660"/>
              <w:spacing w:after="0" w:line="113" w:lineRule="exact"/>
              <w:rPr>
                <w:sz w:val="20"/>
                <w:szCs w:val="20"/>
                <w:color w:val="auto"/>
              </w:rPr>
            </w:pPr>
            <w:r>
              <w:rPr>
                <w:rFonts w:ascii="Arial" w:cs="Arial" w:eastAsia="Arial" w:hAnsi="Arial"/>
                <w:sz w:val="12"/>
                <w:szCs w:val="12"/>
                <w:b w:val="1"/>
                <w:bCs w:val="1"/>
                <w:color w:val="auto"/>
              </w:rPr>
              <w:t>Average</w:t>
            </w:r>
          </w:p>
        </w:tc>
        <w:tc>
          <w:tcPr>
            <w:tcW w:w="960" w:type="dxa"/>
            <w:vAlign w:val="bottom"/>
            <w:vMerge w:val="restart"/>
          </w:tcPr>
          <w:p>
            <w:pPr>
              <w:ind w:left="420"/>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20" w:type="dxa"/>
            <w:vAlign w:val="bottom"/>
            <w:gridSpan w:val="3"/>
          </w:tcPr>
          <w:p>
            <w:pPr>
              <w:jc w:val="center"/>
              <w:ind w:right="740"/>
              <w:spacing w:after="0" w:line="120" w:lineRule="exact"/>
              <w:rPr>
                <w:sz w:val="20"/>
                <w:szCs w:val="20"/>
                <w:color w:val="auto"/>
              </w:rPr>
            </w:pPr>
            <w:r>
              <w:rPr>
                <w:rFonts w:ascii="Arial" w:cs="Arial" w:eastAsia="Arial" w:hAnsi="Arial"/>
                <w:sz w:val="12"/>
                <w:szCs w:val="12"/>
                <w:b w:val="1"/>
                <w:bCs w:val="1"/>
                <w:color w:val="auto"/>
              </w:rPr>
              <w:t>Recorded</w:t>
            </w:r>
          </w:p>
        </w:tc>
        <w:tc>
          <w:tcPr>
            <w:tcW w:w="9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gridSpan w:val="3"/>
          </w:tcPr>
          <w:p>
            <w:pPr>
              <w:jc w:val="center"/>
              <w:ind w:right="760"/>
              <w:spacing w:after="0" w:line="120" w:lineRule="exact"/>
              <w:rPr>
                <w:sz w:val="20"/>
                <w:szCs w:val="20"/>
                <w:color w:val="auto"/>
              </w:rPr>
            </w:pPr>
            <w:r>
              <w:rPr>
                <w:rFonts w:ascii="Arial" w:cs="Arial" w:eastAsia="Arial" w:hAnsi="Arial"/>
                <w:sz w:val="12"/>
                <w:szCs w:val="12"/>
                <w:b w:val="1"/>
                <w:bCs w:val="1"/>
                <w:color w:val="auto"/>
              </w:rPr>
              <w:t>Recorded</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28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1740" w:type="dxa"/>
            <w:vAlign w:val="bottom"/>
            <w:gridSpan w:val="4"/>
          </w:tcPr>
          <w:p>
            <w:pPr>
              <w:jc w:val="center"/>
              <w:ind w:right="320"/>
              <w:spacing w:after="0"/>
              <w:rPr>
                <w:sz w:val="20"/>
                <w:szCs w:val="20"/>
                <w:color w:val="auto"/>
              </w:rPr>
            </w:pPr>
            <w:r>
              <w:rPr>
                <w:rFonts w:ascii="Arial" w:cs="Arial" w:eastAsia="Arial" w:hAnsi="Arial"/>
                <w:sz w:val="12"/>
                <w:szCs w:val="12"/>
                <w:b w:val="1"/>
                <w:bCs w:val="1"/>
                <w:color w:val="auto"/>
              </w:rPr>
              <w:t>Investment</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Recognized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jc w:val="center"/>
              <w:ind w:right="340"/>
              <w:spacing w:after="0"/>
              <w:rPr>
                <w:sz w:val="20"/>
                <w:szCs w:val="20"/>
                <w:color w:val="auto"/>
              </w:rPr>
            </w:pPr>
            <w:r>
              <w:rPr>
                <w:rFonts w:ascii="Arial" w:cs="Arial" w:eastAsia="Arial" w:hAnsi="Arial"/>
                <w:sz w:val="12"/>
                <w:szCs w:val="12"/>
                <w:b w:val="1"/>
                <w:bCs w:val="1"/>
                <w:color w:val="auto"/>
              </w:rPr>
              <w:t>Investment</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Recognized</w:t>
            </w:r>
          </w:p>
        </w:tc>
        <w:tc>
          <w:tcPr>
            <w:tcW w:w="0" w:type="dxa"/>
            <w:vAlign w:val="bottom"/>
          </w:tcPr>
          <w:p>
            <w:pPr>
              <w:spacing w:after="0"/>
              <w:rPr>
                <w:sz w:val="1"/>
                <w:szCs w:val="1"/>
                <w:color w:val="auto"/>
              </w:rPr>
            </w:pPr>
          </w:p>
        </w:tc>
      </w:tr>
      <w:tr>
        <w:trPr>
          <w:trHeight w:val="172"/>
        </w:trPr>
        <w:tc>
          <w:tcPr>
            <w:tcW w:w="5280" w:type="dxa"/>
            <w:vAlign w:val="bottom"/>
          </w:tcPr>
          <w:p>
            <w:pPr>
              <w:ind w:left="340"/>
              <w:spacing w:after="0"/>
              <w:rPr>
                <w:sz w:val="20"/>
                <w:szCs w:val="20"/>
                <w:color w:val="auto"/>
              </w:rPr>
            </w:pPr>
            <w:r>
              <w:rPr>
                <w:rFonts w:ascii="Arial" w:cs="Arial" w:eastAsia="Arial" w:hAnsi="Arial"/>
                <w:sz w:val="14"/>
                <w:szCs w:val="14"/>
                <w:color w:val="auto"/>
              </w:rPr>
              <w:t>Real estate:</w:t>
            </w:r>
          </w:p>
        </w:tc>
        <w:tc>
          <w:tcPr>
            <w:tcW w:w="4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Residential</w:t>
            </w:r>
          </w:p>
        </w:tc>
        <w:tc>
          <w:tcPr>
            <w:tcW w:w="420" w:type="dxa"/>
            <w:vAlign w:val="bottom"/>
            <w:shd w:val="clear" w:color="auto" w:fill="CCEEFF"/>
          </w:tcPr>
          <w:p>
            <w:pPr>
              <w:ind w:left="34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2,373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280" w:type="dxa"/>
            <w:vAlign w:val="bottom"/>
          </w:tcPr>
          <w:p>
            <w:pPr>
              <w:ind w:left="460"/>
              <w:spacing w:after="0"/>
              <w:rPr>
                <w:sz w:val="20"/>
                <w:szCs w:val="20"/>
                <w:color w:val="auto"/>
              </w:rPr>
            </w:pPr>
            <w:r>
              <w:rPr>
                <w:rFonts w:ascii="Arial" w:cs="Arial" w:eastAsia="Arial" w:hAnsi="Arial"/>
                <w:sz w:val="14"/>
                <w:szCs w:val="14"/>
                <w:color w:val="auto"/>
              </w:rPr>
              <w:t>Commercial</w:t>
            </w:r>
          </w:p>
        </w:tc>
        <w:tc>
          <w:tcPr>
            <w:tcW w:w="420" w:type="dxa"/>
            <w:vAlign w:val="bottom"/>
          </w:tcPr>
          <w:p>
            <w:pPr>
              <w:spacing w:after="0"/>
              <w:rPr>
                <w:sz w:val="16"/>
                <w:szCs w:val="16"/>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1,122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Construction</w:t>
            </w: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1,556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80" w:type="dxa"/>
            <w:vAlign w:val="bottom"/>
          </w:tcPr>
          <w:p>
            <w:pPr>
              <w:ind w:left="340"/>
              <w:spacing w:after="0"/>
              <w:rPr>
                <w:sz w:val="20"/>
                <w:szCs w:val="20"/>
                <w:color w:val="auto"/>
              </w:rPr>
            </w:pPr>
            <w:r>
              <w:rPr>
                <w:rFonts w:ascii="Arial" w:cs="Arial" w:eastAsia="Arial" w:hAnsi="Arial"/>
                <w:sz w:val="14"/>
                <w:szCs w:val="14"/>
                <w:color w:val="auto"/>
              </w:rPr>
              <w:t>Commercial and Industrial</w:t>
            </w:r>
          </w:p>
        </w:tc>
        <w:tc>
          <w:tcPr>
            <w:tcW w:w="420" w:type="dxa"/>
            <w:vAlign w:val="bottom"/>
          </w:tcPr>
          <w:p>
            <w:pPr>
              <w:spacing w:after="0"/>
              <w:rPr>
                <w:sz w:val="16"/>
                <w:szCs w:val="16"/>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2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w:t>
            </w:r>
          </w:p>
        </w:tc>
        <w:tc>
          <w:tcPr>
            <w:tcW w:w="4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5,797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Impaired loans include loans acquired on which management has recorded a nonaccretable discount.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quality indicators</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the general economic conditions in the Company’s market.</w:t>
      </w:r>
    </w:p>
    <w:p>
      <w:pPr>
        <w:spacing w:after="0" w:line="206"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Company utilizes a risk grading matrix to assign a risk grade to each of its loans. A description of the general characteristics of loans characterized as classified is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Mention</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206"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Substandard</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206"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Borrowers may exhibit recent or unexpected unprofitable operations, an inadequate debt service coverage ratio, or marginal liquidity and capitalization. These loans require more intense supervision by Company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Doubtful</w:t>
      </w:r>
    </w:p>
    <w:p>
      <w:pPr>
        <w:spacing w:after="0" w:line="239"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A doubtful loan has all the weaknesses inherent as a substandard loan with the added characteristic that the weaknesses make collection or liquidation in full, on the basis of currently existing facts, conditions, and values, highly questionable and improbable.</w:t>
      </w:r>
    </w:p>
    <w:p>
      <w:pPr>
        <w:spacing w:after="0" w:line="203"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The following table presents the balances of classified loans based on the risk grade. Classified loans include Special Mention, Substandard, and Doubtful loans: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Portfolio Loan Classifications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Special Mention</w:t>
            </w:r>
          </w:p>
        </w:tc>
        <w:tc>
          <w:tcPr>
            <w:tcW w:w="16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Substandard</w:t>
            </w:r>
          </w:p>
        </w:tc>
        <w:tc>
          <w:tcPr>
            <w:tcW w:w="1060" w:type="dxa"/>
            <w:vAlign w:val="bottom"/>
          </w:tcPr>
          <w:p>
            <w:pPr>
              <w:jc w:val="right"/>
              <w:ind w:right="29"/>
              <w:spacing w:after="0"/>
              <w:rPr>
                <w:sz w:val="20"/>
                <w:szCs w:val="20"/>
                <w:color w:val="auto"/>
              </w:rPr>
            </w:pPr>
            <w:r>
              <w:rPr>
                <w:rFonts w:ascii="Arial" w:cs="Arial" w:eastAsia="Arial" w:hAnsi="Arial"/>
                <w:sz w:val="14"/>
                <w:szCs w:val="14"/>
                <w:b w:val="1"/>
                <w:bCs w:val="1"/>
                <w:color w:val="auto"/>
              </w:rPr>
              <w:t>Doubtful</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49"/>
              <w:spacing w:after="0"/>
              <w:rPr>
                <w:sz w:val="20"/>
                <w:szCs w:val="20"/>
                <w:color w:val="auto"/>
              </w:rPr>
            </w:pPr>
            <w:r>
              <w:rPr>
                <w:rFonts w:ascii="Arial" w:cs="Arial" w:eastAsia="Arial" w:hAnsi="Arial"/>
                <w:sz w:val="14"/>
                <w:szCs w:val="14"/>
                <w:b w:val="1"/>
                <w:bCs w:val="1"/>
                <w:color w:val="auto"/>
              </w:rPr>
              <w:t>Total</w:t>
            </w:r>
          </w:p>
        </w:tc>
      </w:tr>
      <w:tr>
        <w:trPr>
          <w:trHeight w:val="146"/>
        </w:trPr>
        <w:tc>
          <w:tcPr>
            <w:tcW w:w="20" w:type="dxa"/>
            <w:vAlign w:val="bottom"/>
          </w:tcPr>
          <w:p>
            <w:pPr>
              <w:spacing w:after="0"/>
              <w:rPr>
                <w:sz w:val="12"/>
                <w:szCs w:val="12"/>
                <w:color w:val="auto"/>
              </w:rPr>
            </w:pPr>
          </w:p>
        </w:tc>
        <w:tc>
          <w:tcPr>
            <w:tcW w:w="394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June 30, 2021</w:t>
            </w: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Real estate:</w:t>
            </w:r>
          </w:p>
        </w:tc>
        <w:tc>
          <w:tcPr>
            <w:tcW w:w="3020" w:type="dxa"/>
            <w:vAlign w:val="bottom"/>
            <w:gridSpan w:val="2"/>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940" w:type="dxa"/>
            <w:vAlign w:val="bottom"/>
            <w:gridSpan w:val="3"/>
          </w:tcPr>
          <w:p>
            <w:pPr>
              <w:ind w:left="160"/>
              <w:spacing w:after="0"/>
              <w:rPr>
                <w:sz w:val="20"/>
                <w:szCs w:val="20"/>
                <w:color w:val="auto"/>
              </w:rPr>
            </w:pPr>
            <w:r>
              <w:rPr>
                <w:rFonts w:ascii="Arial" w:cs="Arial" w:eastAsia="Arial" w:hAnsi="Arial"/>
                <w:sz w:val="14"/>
                <w:szCs w:val="14"/>
                <w:color w:val="auto"/>
              </w:rPr>
              <w:t>Residential</w:t>
            </w:r>
          </w:p>
        </w:tc>
        <w:tc>
          <w:tcPr>
            <w:tcW w:w="28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412,673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1,869</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5,473</w:t>
            </w:r>
          </w:p>
        </w:tc>
        <w:tc>
          <w:tcPr>
            <w:tcW w:w="120" w:type="dxa"/>
            <w:vAlign w:val="bottom"/>
          </w:tcPr>
          <w:p>
            <w:pPr>
              <w:spacing w:after="0"/>
              <w:rPr>
                <w:sz w:val="16"/>
                <w:szCs w:val="16"/>
                <w:color w:val="auto"/>
              </w:rPr>
            </w:pPr>
          </w:p>
        </w:tc>
        <w:tc>
          <w:tcPr>
            <w:tcW w:w="1060" w:type="dxa"/>
            <w:vAlign w:val="bottom"/>
          </w:tcPr>
          <w:p>
            <w:pPr>
              <w:jc w:val="right"/>
              <w:ind w:right="889"/>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420,015</w:t>
            </w:r>
          </w:p>
        </w:tc>
      </w:tr>
      <w:tr>
        <w:trPr>
          <w:trHeight w:val="186"/>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464,596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6,822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389</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471,807</w:t>
            </w:r>
          </w:p>
        </w:tc>
      </w:tr>
      <w:tr>
        <w:trPr>
          <w:trHeight w:val="185"/>
        </w:trPr>
        <w:tc>
          <w:tcPr>
            <w:tcW w:w="20" w:type="dxa"/>
            <w:vAlign w:val="bottom"/>
          </w:tcPr>
          <w:p>
            <w:pPr>
              <w:spacing w:after="0"/>
              <w:rPr>
                <w:sz w:val="16"/>
                <w:szCs w:val="16"/>
                <w:color w:val="auto"/>
              </w:rPr>
            </w:pPr>
          </w:p>
        </w:tc>
        <w:tc>
          <w:tcPr>
            <w:tcW w:w="3940" w:type="dxa"/>
            <w:vAlign w:val="bottom"/>
            <w:gridSpan w:val="3"/>
          </w:tcPr>
          <w:p>
            <w:pPr>
              <w:ind w:left="16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219,327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1,705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2,800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223,832</w:t>
            </w:r>
          </w:p>
        </w:tc>
      </w:tr>
      <w:tr>
        <w:trPr>
          <w:trHeight w:val="186"/>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144,387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12,485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1,520</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158,392</w:t>
            </w:r>
          </w:p>
        </w:tc>
      </w:tr>
      <w:tr>
        <w:trPr>
          <w:trHeight w:val="185"/>
        </w:trPr>
        <w:tc>
          <w:tcPr>
            <w:tcW w:w="20" w:type="dxa"/>
            <w:vAlign w:val="bottom"/>
          </w:tcPr>
          <w:p>
            <w:pPr>
              <w:spacing w:after="0"/>
              <w:rPr>
                <w:sz w:val="16"/>
                <w:szCs w:val="16"/>
                <w:color w:val="auto"/>
              </w:rPr>
            </w:pPr>
          </w:p>
        </w:tc>
        <w:tc>
          <w:tcPr>
            <w:tcW w:w="3940" w:type="dxa"/>
            <w:vAlign w:val="bottom"/>
            <w:gridSpan w:val="3"/>
          </w:tcPr>
          <w:p>
            <w:pPr>
              <w:spacing w:after="0"/>
              <w:rPr>
                <w:sz w:val="20"/>
                <w:szCs w:val="20"/>
                <w:color w:val="auto"/>
              </w:rPr>
            </w:pPr>
            <w:r>
              <w:rPr>
                <w:rFonts w:ascii="Arial" w:cs="Arial" w:eastAsia="Arial" w:hAnsi="Arial"/>
                <w:sz w:val="14"/>
                <w:szCs w:val="14"/>
                <w:color w:val="auto"/>
              </w:rPr>
              <w:t>Credit card</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121,410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6"/>
                <w:szCs w:val="16"/>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121,410</w:t>
            </w:r>
          </w:p>
        </w:tc>
      </w:tr>
      <w:tr>
        <w:trPr>
          <w:trHeight w:val="186"/>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1,034</w:t>
            </w:r>
          </w:p>
        </w:tc>
      </w:tr>
      <w:tr>
        <w:trPr>
          <w:trHeight w:val="179"/>
        </w:trPr>
        <w:tc>
          <w:tcPr>
            <w:tcW w:w="20" w:type="dxa"/>
            <w:vAlign w:val="bottom"/>
          </w:tcPr>
          <w:p>
            <w:pPr>
              <w:spacing w:after="0"/>
              <w:rPr>
                <w:sz w:val="15"/>
                <w:szCs w:val="15"/>
                <w:color w:val="auto"/>
              </w:rPr>
            </w:pPr>
          </w:p>
        </w:tc>
        <w:tc>
          <w:tcPr>
            <w:tcW w:w="3940" w:type="dxa"/>
            <w:vAlign w:val="bottom"/>
            <w:gridSpan w:val="3"/>
          </w:tcPr>
          <w:p>
            <w:pPr>
              <w:ind w:left="200"/>
              <w:spacing w:after="0"/>
              <w:rPr>
                <w:sz w:val="20"/>
                <w:szCs w:val="20"/>
                <w:color w:val="auto"/>
              </w:rPr>
            </w:pPr>
            <w:r>
              <w:rPr>
                <w:rFonts w:ascii="Arial" w:cs="Arial" w:eastAsia="Arial" w:hAnsi="Arial"/>
                <w:sz w:val="14"/>
                <w:szCs w:val="14"/>
                <w:color w:val="auto"/>
              </w:rPr>
              <w:t>Portfolio loans receivable, gross</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1,363,427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22,881</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10,182</w:t>
            </w:r>
          </w:p>
        </w:tc>
        <w:tc>
          <w:tcPr>
            <w:tcW w:w="12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1,396,490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128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b w:val="1"/>
                <w:bCs w:val="1"/>
                <w:color w:val="auto"/>
                <w:w w:val="99"/>
              </w:rPr>
              <w:t>December 31, 2020</w:t>
            </w: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5"/>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Real estate:</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940" w:type="dxa"/>
            <w:vAlign w:val="bottom"/>
            <w:gridSpan w:val="3"/>
          </w:tcPr>
          <w:p>
            <w:pPr>
              <w:ind w:left="160"/>
              <w:spacing w:after="0"/>
              <w:rPr>
                <w:sz w:val="20"/>
                <w:szCs w:val="20"/>
                <w:color w:val="auto"/>
              </w:rPr>
            </w:pPr>
            <w:r>
              <w:rPr>
                <w:rFonts w:ascii="Arial" w:cs="Arial" w:eastAsia="Arial" w:hAnsi="Arial"/>
                <w:sz w:val="14"/>
                <w:szCs w:val="14"/>
                <w:color w:val="auto"/>
              </w:rPr>
              <w:t>Residential</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428,260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5,150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4,450</w:t>
            </w:r>
          </w:p>
        </w:tc>
        <w:tc>
          <w:tcPr>
            <w:tcW w:w="120" w:type="dxa"/>
            <w:vAlign w:val="bottom"/>
          </w:tcPr>
          <w:p>
            <w:pPr>
              <w:spacing w:after="0"/>
              <w:rPr>
                <w:sz w:val="16"/>
                <w:szCs w:val="16"/>
                <w:color w:val="auto"/>
              </w:rPr>
            </w:pPr>
          </w:p>
        </w:tc>
        <w:tc>
          <w:tcPr>
            <w:tcW w:w="1060" w:type="dxa"/>
            <w:vAlign w:val="bottom"/>
          </w:tcPr>
          <w:p>
            <w:pPr>
              <w:jc w:val="right"/>
              <w:ind w:right="889"/>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437,860</w:t>
            </w:r>
          </w:p>
        </w:tc>
      </w:tr>
      <w:tr>
        <w:trPr>
          <w:trHeight w:val="185"/>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383,311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392,550</w:t>
            </w:r>
          </w:p>
        </w:tc>
      </w:tr>
      <w:tr>
        <w:trPr>
          <w:trHeight w:val="185"/>
        </w:trPr>
        <w:tc>
          <w:tcPr>
            <w:tcW w:w="20" w:type="dxa"/>
            <w:vAlign w:val="bottom"/>
          </w:tcPr>
          <w:p>
            <w:pPr>
              <w:spacing w:after="0"/>
              <w:rPr>
                <w:sz w:val="16"/>
                <w:szCs w:val="16"/>
                <w:color w:val="auto"/>
              </w:rPr>
            </w:pPr>
          </w:p>
        </w:tc>
        <w:tc>
          <w:tcPr>
            <w:tcW w:w="3940" w:type="dxa"/>
            <w:vAlign w:val="bottom"/>
            <w:gridSpan w:val="3"/>
          </w:tcPr>
          <w:p>
            <w:pPr>
              <w:ind w:left="16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220,057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3,735</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224,904</w:t>
            </w:r>
          </w:p>
        </w:tc>
      </w:tr>
      <w:tr>
        <w:trPr>
          <w:trHeight w:val="185"/>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157,127</w:t>
            </w:r>
          </w:p>
        </w:tc>
      </w:tr>
      <w:tr>
        <w:trPr>
          <w:trHeight w:val="186"/>
        </w:trPr>
        <w:tc>
          <w:tcPr>
            <w:tcW w:w="20" w:type="dxa"/>
            <w:vAlign w:val="bottom"/>
          </w:tcPr>
          <w:p>
            <w:pPr>
              <w:spacing w:after="0"/>
              <w:rPr>
                <w:sz w:val="16"/>
                <w:szCs w:val="16"/>
                <w:color w:val="auto"/>
              </w:rPr>
            </w:pPr>
          </w:p>
        </w:tc>
        <w:tc>
          <w:tcPr>
            <w:tcW w:w="3940" w:type="dxa"/>
            <w:vAlign w:val="bottom"/>
            <w:gridSpan w:val="3"/>
          </w:tcPr>
          <w:p>
            <w:pPr>
              <w:spacing w:after="0"/>
              <w:rPr>
                <w:sz w:val="20"/>
                <w:szCs w:val="20"/>
                <w:color w:val="auto"/>
              </w:rPr>
            </w:pPr>
            <w:r>
              <w:rPr>
                <w:rFonts w:ascii="Arial" w:cs="Arial" w:eastAsia="Arial" w:hAnsi="Arial"/>
                <w:sz w:val="14"/>
                <w:szCs w:val="14"/>
                <w:color w:val="auto"/>
              </w:rPr>
              <w:t>Credit card</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102,186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6"/>
                <w:szCs w:val="16"/>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102,186</w:t>
            </w:r>
          </w:p>
        </w:tc>
      </w:tr>
      <w:tr>
        <w:trPr>
          <w:trHeight w:val="185"/>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1,649</w:t>
            </w:r>
          </w:p>
        </w:tc>
      </w:tr>
      <w:tr>
        <w:trPr>
          <w:trHeight w:val="179"/>
        </w:trPr>
        <w:tc>
          <w:tcPr>
            <w:tcW w:w="20" w:type="dxa"/>
            <w:vAlign w:val="bottom"/>
          </w:tcPr>
          <w:p>
            <w:pPr>
              <w:spacing w:after="0"/>
              <w:rPr>
                <w:sz w:val="15"/>
                <w:szCs w:val="15"/>
                <w:color w:val="auto"/>
              </w:rPr>
            </w:pPr>
          </w:p>
        </w:tc>
        <w:tc>
          <w:tcPr>
            <w:tcW w:w="3940" w:type="dxa"/>
            <w:vAlign w:val="bottom"/>
            <w:gridSpan w:val="3"/>
          </w:tcPr>
          <w:p>
            <w:pPr>
              <w:ind w:left="200"/>
              <w:spacing w:after="0"/>
              <w:rPr>
                <w:sz w:val="20"/>
                <w:szCs w:val="20"/>
                <w:color w:val="auto"/>
              </w:rPr>
            </w:pPr>
            <w:r>
              <w:rPr>
                <w:rFonts w:ascii="Arial" w:cs="Arial" w:eastAsia="Arial" w:hAnsi="Arial"/>
                <w:sz w:val="14"/>
                <w:szCs w:val="14"/>
                <w:color w:val="auto"/>
              </w:rPr>
              <w:t>Portfolio loans receivable, gross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1,280,828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22,909</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12,539</w:t>
            </w:r>
          </w:p>
        </w:tc>
        <w:tc>
          <w:tcPr>
            <w:tcW w:w="120" w:type="dxa"/>
            <w:vAlign w:val="bottom"/>
          </w:tcPr>
          <w:p>
            <w:pPr>
              <w:spacing w:after="0"/>
              <w:rPr>
                <w:sz w:val="15"/>
                <w:szCs w:val="15"/>
                <w:color w:val="auto"/>
              </w:rPr>
            </w:pPr>
          </w:p>
        </w:tc>
        <w:tc>
          <w:tcPr>
            <w:tcW w:w="1060" w:type="dxa"/>
            <w:vAlign w:val="bottom"/>
          </w:tcPr>
          <w:p>
            <w:pPr>
              <w:jc w:val="right"/>
              <w:ind w:right="889"/>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1,316,276</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ind w:left="240" w:hanging="234"/>
        <w:spacing w:after="0" w:line="198" w:lineRule="auto"/>
        <w:tabs>
          <w:tab w:leader="none" w:pos="24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Category includes loans graded exceptional, very good, good, satisfactory and pass/watch, in addition to credit cards and consumer credits that are not graded.</w:t>
      </w:r>
    </w:p>
    <w:p>
      <w:pPr>
        <w:spacing w:after="0" w:line="23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Impaired loans also include certain loans that have been modified in TDRs where economic concessions have been granted to borrowers who have experienced or are expected to experience financial difficulties. These concessions typically result from the Company’s loss mitigation activities and could include reductions in the interest rate, payment extensions, forgiveness of principal, forbearance or other actions. Certain TDRs are classified as nonperforming at the time of restructure and may only be returned to performing status after confirmation of the borrower’s sustained repayment performance for a reasonable period, generally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28" w:name="page29"/>
    <w:bookmarkEnd w:id="28"/>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Modifications such as payment deferrals through June 30, 2021 have been short term in nature and are included in the population of loans deferred and have not impacted TDRs. The status of TDRs is as follows: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Troubled Debt Restructurings</w:t>
      </w:r>
    </w:p>
    <w:p>
      <w:pPr>
        <w:spacing w:after="0" w:line="59"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362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1560" w:type="dxa"/>
            <w:vAlign w:val="bottom"/>
            <w:gridSpan w:val="2"/>
          </w:tcPr>
          <w:p>
            <w:pPr>
              <w:ind w:left="520"/>
              <w:spacing w:after="0"/>
              <w:rPr>
                <w:sz w:val="20"/>
                <w:szCs w:val="20"/>
                <w:color w:val="auto"/>
              </w:rPr>
            </w:pPr>
            <w:r>
              <w:rPr>
                <w:rFonts w:ascii="Arial" w:cs="Arial" w:eastAsia="Arial" w:hAnsi="Arial"/>
                <w:sz w:val="14"/>
                <w:szCs w:val="14"/>
                <w:b w:val="1"/>
                <w:bCs w:val="1"/>
                <w:color w:val="auto"/>
              </w:rPr>
              <w:t>Number of</w:t>
            </w: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Recorded Investment</w:t>
            </w: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June 30, 2021</w:t>
            </w:r>
          </w:p>
        </w:tc>
        <w:tc>
          <w:tcPr>
            <w:tcW w:w="2700" w:type="dxa"/>
            <w:vAlign w:val="bottom"/>
            <w:gridSpan w:val="2"/>
          </w:tcPr>
          <w:p>
            <w:pPr>
              <w:spacing w:after="0"/>
              <w:rPr>
                <w:sz w:val="14"/>
                <w:szCs w:val="14"/>
                <w:color w:val="auto"/>
              </w:rPr>
            </w:pPr>
          </w:p>
        </w:tc>
        <w:tc>
          <w:tcPr>
            <w:tcW w:w="1560" w:type="dxa"/>
            <w:vAlign w:val="bottom"/>
            <w:gridSpan w:val="2"/>
          </w:tcPr>
          <w:p>
            <w:pPr>
              <w:ind w:left="380"/>
              <w:spacing w:after="0"/>
              <w:rPr>
                <w:sz w:val="20"/>
                <w:szCs w:val="20"/>
                <w:color w:val="auto"/>
              </w:rPr>
            </w:pPr>
            <w:r>
              <w:rPr>
                <w:rFonts w:ascii="Arial" w:cs="Arial" w:eastAsia="Arial" w:hAnsi="Arial"/>
                <w:sz w:val="14"/>
                <w:szCs w:val="14"/>
                <w:b w:val="1"/>
                <w:bCs w:val="1"/>
                <w:color w:val="auto"/>
              </w:rPr>
              <w:t>Contracts</w:t>
            </w:r>
          </w:p>
        </w:tc>
        <w:tc>
          <w:tcPr>
            <w:tcW w:w="54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Performing</w:t>
            </w:r>
          </w:p>
        </w:tc>
        <w:tc>
          <w:tcPr>
            <w:tcW w:w="52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Nonperforming</w:t>
            </w:r>
          </w:p>
        </w:tc>
        <w:tc>
          <w:tcPr>
            <w:tcW w:w="620" w:type="dxa"/>
            <w:vAlign w:val="bottom"/>
          </w:tcPr>
          <w:p>
            <w:pPr>
              <w:spacing w:after="0"/>
              <w:rPr>
                <w:sz w:val="14"/>
                <w:szCs w:val="14"/>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2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tcPr>
          <w:p>
            <w:pPr>
              <w:spacing w:after="0"/>
              <w:rPr>
                <w:sz w:val="13"/>
                <w:szCs w:val="13"/>
                <w:color w:val="auto"/>
              </w:rPr>
            </w:pPr>
          </w:p>
        </w:tc>
        <w:tc>
          <w:tcPr>
            <w:tcW w:w="3620" w:type="dxa"/>
            <w:vAlign w:val="bottom"/>
            <w:gridSpan w:val="3"/>
            <w:vMerge w:val="continue"/>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464</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62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gridSpan w:val="2"/>
          </w:tcPr>
          <w:p>
            <w:pPr>
              <w:ind w:left="106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6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9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color w:val="auto"/>
                <w:w w:val="99"/>
              </w:rPr>
              <w:t>December 31, 2020</w:t>
            </w:r>
          </w:p>
        </w:tc>
        <w:tc>
          <w:tcPr>
            <w:tcW w:w="23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62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34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340" w:type="dxa"/>
            <w:vAlign w:val="bottom"/>
            <w:shd w:val="clear" w:color="auto" w:fill="CCEEFF"/>
          </w:tcPr>
          <w:p>
            <w:pPr>
              <w:spacing w:after="0"/>
              <w:rPr>
                <w:sz w:val="17"/>
                <w:szCs w:val="17"/>
                <w:color w:val="auto"/>
              </w:rPr>
            </w:pPr>
          </w:p>
        </w:tc>
        <w:tc>
          <w:tcPr>
            <w:tcW w:w="36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9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There was one new residential TDR during the three and six months ended June 30, 2021 for $319 thousand. The loan is also classified as non-accrual. There was one commercial and industrial TDR that was paid off during the six months ended June 30, 2021 for $200 thousand. The Company had no defaulted TDR loans over the last twelve months.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Outstanding loan commitments were as follows: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Loan Commitments</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56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660" w:type="dxa"/>
            <w:vAlign w:val="bottom"/>
          </w:tcPr>
          <w:p>
            <w:pPr>
              <w:spacing w:after="0"/>
              <w:rPr>
                <w:sz w:val="16"/>
                <w:szCs w:val="16"/>
                <w:color w:val="auto"/>
              </w:rPr>
            </w:pPr>
          </w:p>
        </w:tc>
        <w:tc>
          <w:tcPr>
            <w:tcW w:w="18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2021</w:t>
            </w:r>
          </w:p>
        </w:tc>
        <w:tc>
          <w:tcPr>
            <w:tcW w:w="500" w:type="dxa"/>
            <w:vAlign w:val="bottom"/>
          </w:tcPr>
          <w:p>
            <w:pPr>
              <w:spacing w:after="0"/>
              <w:rPr>
                <w:sz w:val="16"/>
                <w:szCs w:val="16"/>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b w:val="1"/>
                <w:bCs w:val="1"/>
                <w:color w:val="auto"/>
              </w:rPr>
              <w:t>December 31, 2020</w:t>
            </w:r>
          </w:p>
        </w:tc>
      </w:tr>
      <w:tr>
        <w:trPr>
          <w:trHeight w:val="165"/>
        </w:trPr>
        <w:tc>
          <w:tcPr>
            <w:tcW w:w="6560" w:type="dxa"/>
            <w:vAlign w:val="bottom"/>
          </w:tcPr>
          <w:p>
            <w:pPr>
              <w:ind w:left="340"/>
              <w:spacing w:after="0"/>
              <w:rPr>
                <w:sz w:val="20"/>
                <w:szCs w:val="20"/>
                <w:color w:val="auto"/>
              </w:rPr>
            </w:pPr>
            <w:r>
              <w:rPr>
                <w:rFonts w:ascii="Arial" w:cs="Arial" w:eastAsia="Arial" w:hAnsi="Arial"/>
                <w:sz w:val="14"/>
                <w:szCs w:val="14"/>
                <w:color w:val="auto"/>
              </w:rPr>
              <w:t>Unused lines of credit</w:t>
            </w:r>
          </w:p>
        </w:tc>
        <w:tc>
          <w:tcPr>
            <w:tcW w:w="66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185"/>
        </w:trPr>
        <w:tc>
          <w:tcPr>
            <w:tcW w:w="65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Real Estate:</w:t>
            </w:r>
          </w:p>
        </w:tc>
        <w:tc>
          <w:tcPr>
            <w:tcW w:w="6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85"/>
        </w:trPr>
        <w:tc>
          <w:tcPr>
            <w:tcW w:w="6560" w:type="dxa"/>
            <w:vAlign w:val="bottom"/>
          </w:tcPr>
          <w:p>
            <w:pPr>
              <w:ind w:left="540"/>
              <w:spacing w:after="0"/>
              <w:rPr>
                <w:sz w:val="20"/>
                <w:szCs w:val="20"/>
                <w:color w:val="auto"/>
              </w:rPr>
            </w:pPr>
            <w:r>
              <w:rPr>
                <w:rFonts w:ascii="Arial" w:cs="Arial" w:eastAsia="Arial" w:hAnsi="Arial"/>
                <w:sz w:val="14"/>
                <w:szCs w:val="14"/>
                <w:color w:val="auto"/>
              </w:rPr>
              <w:t>Residential</w:t>
            </w:r>
          </w:p>
        </w:tc>
        <w:tc>
          <w:tcPr>
            <w:tcW w:w="66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1720" w:type="dxa"/>
            <w:vAlign w:val="bottom"/>
          </w:tcPr>
          <w:p>
            <w:pPr>
              <w:jc w:val="right"/>
              <w:ind w:right="9"/>
              <w:spacing w:after="0"/>
              <w:rPr>
                <w:sz w:val="20"/>
                <w:szCs w:val="20"/>
                <w:color w:val="auto"/>
              </w:rPr>
            </w:pPr>
            <w:r>
              <w:rPr>
                <w:rFonts w:ascii="Arial" w:cs="Arial" w:eastAsia="Arial" w:hAnsi="Arial"/>
                <w:sz w:val="14"/>
                <w:szCs w:val="14"/>
                <w:b w:val="1"/>
                <w:bCs w:val="1"/>
                <w:color w:val="auto"/>
              </w:rPr>
              <w:t>11,038</w:t>
            </w:r>
          </w:p>
        </w:tc>
        <w:tc>
          <w:tcPr>
            <w:tcW w:w="12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185"/>
        </w:trPr>
        <w:tc>
          <w:tcPr>
            <w:tcW w:w="65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Residential - Home Equity</w:t>
            </w:r>
          </w:p>
        </w:tc>
        <w:tc>
          <w:tcPr>
            <w:tcW w:w="6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35,366</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r>
      <w:tr>
        <w:trPr>
          <w:trHeight w:val="186"/>
        </w:trPr>
        <w:tc>
          <w:tcPr>
            <w:tcW w:w="6560" w:type="dxa"/>
            <w:vAlign w:val="bottom"/>
          </w:tcPr>
          <w:p>
            <w:pPr>
              <w:ind w:left="540"/>
              <w:spacing w:after="0"/>
              <w:rPr>
                <w:sz w:val="20"/>
                <w:szCs w:val="20"/>
                <w:color w:val="auto"/>
              </w:rPr>
            </w:pPr>
            <w:r>
              <w:rPr>
                <w:rFonts w:ascii="Arial" w:cs="Arial" w:eastAsia="Arial" w:hAnsi="Arial"/>
                <w:sz w:val="14"/>
                <w:szCs w:val="14"/>
                <w:color w:val="auto"/>
              </w:rPr>
              <w:t>Commercial</w:t>
            </w:r>
          </w:p>
        </w:tc>
        <w:tc>
          <w:tcPr>
            <w:tcW w:w="660" w:type="dxa"/>
            <w:vAlign w:val="bottom"/>
          </w:tcPr>
          <w:p>
            <w:pPr>
              <w:spacing w:after="0"/>
              <w:rPr>
                <w:sz w:val="16"/>
                <w:szCs w:val="16"/>
                <w:color w:val="auto"/>
              </w:rPr>
            </w:pPr>
          </w:p>
        </w:tc>
        <w:tc>
          <w:tcPr>
            <w:tcW w:w="1720" w:type="dxa"/>
            <w:vAlign w:val="bottom"/>
          </w:tcPr>
          <w:p>
            <w:pPr>
              <w:jc w:val="right"/>
              <w:ind w:right="9"/>
              <w:spacing w:after="0"/>
              <w:rPr>
                <w:sz w:val="20"/>
                <w:szCs w:val="20"/>
                <w:color w:val="auto"/>
              </w:rPr>
            </w:pPr>
            <w:r>
              <w:rPr>
                <w:rFonts w:ascii="Arial" w:cs="Arial" w:eastAsia="Arial" w:hAnsi="Arial"/>
                <w:sz w:val="14"/>
                <w:szCs w:val="14"/>
                <w:b w:val="1"/>
                <w:bCs w:val="1"/>
                <w:color w:val="auto"/>
              </w:rPr>
              <w:t>22,161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185"/>
        </w:trPr>
        <w:tc>
          <w:tcPr>
            <w:tcW w:w="65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Construction</w:t>
            </w:r>
          </w:p>
        </w:tc>
        <w:tc>
          <w:tcPr>
            <w:tcW w:w="6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115,149</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w:t>
            </w:r>
          </w:p>
        </w:tc>
      </w:tr>
      <w:tr>
        <w:trPr>
          <w:trHeight w:val="185"/>
        </w:trPr>
        <w:tc>
          <w:tcPr>
            <w:tcW w:w="6560" w:type="dxa"/>
            <w:vAlign w:val="bottom"/>
          </w:tcPr>
          <w:p>
            <w:pPr>
              <w:ind w:left="460"/>
              <w:spacing w:after="0"/>
              <w:rPr>
                <w:sz w:val="20"/>
                <w:szCs w:val="20"/>
                <w:color w:val="auto"/>
              </w:rPr>
            </w:pPr>
            <w:r>
              <w:rPr>
                <w:rFonts w:ascii="Arial" w:cs="Arial" w:eastAsia="Arial" w:hAnsi="Arial"/>
                <w:sz w:val="14"/>
                <w:szCs w:val="14"/>
                <w:color w:val="auto"/>
              </w:rPr>
              <w:t>Commercial and Industrial</w:t>
            </w:r>
          </w:p>
        </w:tc>
        <w:tc>
          <w:tcPr>
            <w:tcW w:w="660" w:type="dxa"/>
            <w:vAlign w:val="bottom"/>
          </w:tcPr>
          <w:p>
            <w:pPr>
              <w:spacing w:after="0"/>
              <w:rPr>
                <w:sz w:val="16"/>
                <w:szCs w:val="16"/>
                <w:color w:val="auto"/>
              </w:rPr>
            </w:pPr>
          </w:p>
        </w:tc>
        <w:tc>
          <w:tcPr>
            <w:tcW w:w="1720" w:type="dxa"/>
            <w:vAlign w:val="bottom"/>
          </w:tcPr>
          <w:p>
            <w:pPr>
              <w:jc w:val="right"/>
              <w:ind w:right="9"/>
              <w:spacing w:after="0"/>
              <w:rPr>
                <w:sz w:val="20"/>
                <w:szCs w:val="20"/>
                <w:color w:val="auto"/>
              </w:rPr>
            </w:pPr>
            <w:r>
              <w:rPr>
                <w:rFonts w:ascii="Arial" w:cs="Arial" w:eastAsia="Arial" w:hAnsi="Arial"/>
                <w:sz w:val="14"/>
                <w:szCs w:val="14"/>
                <w:b w:val="1"/>
                <w:bCs w:val="1"/>
                <w:color w:val="auto"/>
              </w:rPr>
              <w:t>45,807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50,8</w:t>
            </w:r>
          </w:p>
        </w:tc>
      </w:tr>
      <w:tr>
        <w:trPr>
          <w:trHeight w:val="185"/>
        </w:trPr>
        <w:tc>
          <w:tcPr>
            <w:tcW w:w="65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Secured credit card</w:t>
            </w:r>
          </w:p>
        </w:tc>
        <w:tc>
          <w:tcPr>
            <w:tcW w:w="6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131,117</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r>
      <w:tr>
        <w:trPr>
          <w:trHeight w:val="185"/>
        </w:trPr>
        <w:tc>
          <w:tcPr>
            <w:tcW w:w="65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consumer</w:t>
            </w:r>
          </w:p>
        </w:tc>
        <w:tc>
          <w:tcPr>
            <w:tcW w:w="6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2,696</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04"/>
        </w:trPr>
        <w:tc>
          <w:tcPr>
            <w:tcW w:w="6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66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363,334</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10"/>
        </w:trPr>
        <w:tc>
          <w:tcPr>
            <w:tcW w:w="6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Commitments to originate residential loans held for sale</w:t>
            </w:r>
          </w:p>
        </w:tc>
        <w:tc>
          <w:tcPr>
            <w:tcW w:w="66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3,949</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10"/>
        </w:trPr>
        <w:tc>
          <w:tcPr>
            <w:tcW w:w="6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Letters of credit</w:t>
            </w:r>
          </w:p>
        </w:tc>
        <w:tc>
          <w:tcPr>
            <w:tcW w:w="66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5,132</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at any given time, draw upon their lines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full. Loan commitments generally have variable interest rates, fixed expiration dates, and may require payment of a fee.</w:t>
      </w:r>
    </w:p>
    <w:p>
      <w:pPr>
        <w:spacing w:after="0" w:line="217"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Company's maximum exposure to credit loss in the event of nonperformance by the customer is the contractual amount of the credit commitment. Loan commitments and lines of credit are generally made on the same terms, including collateral, as outstanding loans. Management is not aware of any accounting loss to be incurred by funding these loan commitments. The Company maintains an estimated reserve for off balance sheet items such as unfunded lines of credit, which is reflected in other liabilities, with changes being charged to or released from operating expense. Activity for this account is as follows for the periods presented: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Off Balance Sheet Reserve</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22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460" w:type="dxa"/>
            <w:vAlign w:val="bottom"/>
          </w:tcPr>
          <w:p>
            <w:pPr>
              <w:spacing w:after="0"/>
              <w:rPr>
                <w:sz w:val="16"/>
                <w:szCs w:val="16"/>
                <w:color w:val="auto"/>
              </w:rPr>
            </w:pPr>
          </w:p>
        </w:tc>
        <w:tc>
          <w:tcPr>
            <w:tcW w:w="3120" w:type="dxa"/>
            <w:vAlign w:val="bottom"/>
            <w:gridSpan w:val="5"/>
          </w:tcPr>
          <w:p>
            <w:pPr>
              <w:ind w:left="46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6"/>
                <w:szCs w:val="16"/>
                <w:color w:val="auto"/>
              </w:rPr>
            </w:pPr>
          </w:p>
        </w:tc>
        <w:tc>
          <w:tcPr>
            <w:tcW w:w="2760" w:type="dxa"/>
            <w:vAlign w:val="bottom"/>
            <w:gridSpan w:val="4"/>
          </w:tcPr>
          <w:p>
            <w:pPr>
              <w:jc w:val="right"/>
              <w:ind w:right="409"/>
              <w:spacing w:after="0"/>
              <w:rPr>
                <w:sz w:val="20"/>
                <w:szCs w:val="20"/>
                <w:color w:val="auto"/>
              </w:rPr>
            </w:pPr>
            <w:r>
              <w:rPr>
                <w:rFonts w:ascii="Arial" w:cs="Arial" w:eastAsia="Arial" w:hAnsi="Arial"/>
                <w:sz w:val="14"/>
                <w:szCs w:val="14"/>
                <w:b w:val="1"/>
                <w:bCs w:val="1"/>
                <w:color w:val="auto"/>
              </w:rPr>
              <w:t>For the Six Months Ended</w:t>
            </w:r>
          </w:p>
        </w:tc>
      </w:tr>
      <w:tr>
        <w:trPr>
          <w:trHeight w:val="179"/>
        </w:trPr>
        <w:tc>
          <w:tcPr>
            <w:tcW w:w="42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4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4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r>
      <w:tr>
        <w:trPr>
          <w:trHeight w:val="179"/>
        </w:trPr>
        <w:tc>
          <w:tcPr>
            <w:tcW w:w="42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Balance at beginning of period</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1,822</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4"/>
                <w:szCs w:val="14"/>
                <w:b w:val="1"/>
                <w:bCs w:val="1"/>
                <w:color w:val="auto"/>
              </w:rPr>
              <w:t>1,775</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5"/>
        </w:trPr>
        <w:tc>
          <w:tcPr>
            <w:tcW w:w="4220" w:type="dxa"/>
            <w:vAlign w:val="bottom"/>
          </w:tcPr>
          <w:p>
            <w:pPr>
              <w:ind w:left="340"/>
              <w:spacing w:after="0"/>
              <w:rPr>
                <w:sz w:val="20"/>
                <w:szCs w:val="20"/>
                <w:color w:val="auto"/>
              </w:rPr>
            </w:pPr>
            <w:r>
              <w:rPr>
                <w:rFonts w:ascii="Arial" w:cs="Arial" w:eastAsia="Arial" w:hAnsi="Arial"/>
                <w:sz w:val="14"/>
                <w:szCs w:val="14"/>
                <w:color w:val="auto"/>
              </w:rPr>
              <w:t>Provision for off balance sheet credit commitments</w:t>
            </w:r>
          </w:p>
        </w:tc>
        <w:tc>
          <w:tcPr>
            <w:tcW w:w="4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5"/>
        </w:trPr>
        <w:tc>
          <w:tcPr>
            <w:tcW w:w="4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Recoveries</w:t>
            </w:r>
          </w:p>
        </w:tc>
        <w:tc>
          <w:tcPr>
            <w:tcW w:w="4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4220" w:type="dxa"/>
            <w:vAlign w:val="bottom"/>
          </w:tcPr>
          <w:p>
            <w:pPr>
              <w:ind w:left="340"/>
              <w:spacing w:after="0"/>
              <w:rPr>
                <w:sz w:val="20"/>
                <w:szCs w:val="20"/>
                <w:color w:val="auto"/>
              </w:rPr>
            </w:pPr>
            <w:r>
              <w:rPr>
                <w:rFonts w:ascii="Arial" w:cs="Arial" w:eastAsia="Arial" w:hAnsi="Arial"/>
                <w:sz w:val="14"/>
                <w:szCs w:val="14"/>
                <w:color w:val="auto"/>
              </w:rPr>
              <w:t>Charge-offs</w:t>
            </w:r>
          </w:p>
        </w:tc>
        <w:tc>
          <w:tcPr>
            <w:tcW w:w="4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4"/>
        </w:trPr>
        <w:tc>
          <w:tcPr>
            <w:tcW w:w="42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Balance at end of period</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4"/>
                <w:szCs w:val="14"/>
                <w:b w:val="1"/>
                <w:bCs w:val="1"/>
                <w:color w:val="auto"/>
              </w:rPr>
              <w:t>1,745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Company makes representations and warranties that loans sold to investors meet their program's guidelines and that the information provided by the borrowers is accurate and complete. In the event of a default on a loan sold, the investor may have the right to make a claim for losses due to document deficiencies, program compliance, early payment default, and fraud or borrower misrepresentations.</w:t>
      </w:r>
    </w:p>
    <w:p>
      <w:pPr>
        <w:spacing w:after="0" w:line="206"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Company maintains an estimated reserve for potential losses on mortgage loans sold, which is reflected in other liabilities, with changes being charged to or released from operating expense. Activity in this reserve is as follows for the periods presented:</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Mortgage Loan Put-back Reserve</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28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480" w:type="dxa"/>
            <w:vAlign w:val="bottom"/>
          </w:tcPr>
          <w:p>
            <w:pPr>
              <w:spacing w:after="0"/>
              <w:rPr>
                <w:sz w:val="16"/>
                <w:szCs w:val="16"/>
                <w:color w:val="auto"/>
              </w:rPr>
            </w:pPr>
          </w:p>
        </w:tc>
        <w:tc>
          <w:tcPr>
            <w:tcW w:w="3060" w:type="dxa"/>
            <w:vAlign w:val="bottom"/>
            <w:gridSpan w:val="5"/>
          </w:tcPr>
          <w:p>
            <w:pPr>
              <w:ind w:left="42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6"/>
                <w:szCs w:val="16"/>
                <w:color w:val="auto"/>
              </w:rPr>
            </w:pPr>
          </w:p>
        </w:tc>
        <w:tc>
          <w:tcPr>
            <w:tcW w:w="2720" w:type="dxa"/>
            <w:vAlign w:val="bottom"/>
            <w:gridSpan w:val="4"/>
          </w:tcPr>
          <w:p>
            <w:pPr>
              <w:jc w:val="right"/>
              <w:ind w:right="389"/>
              <w:spacing w:after="0"/>
              <w:rPr>
                <w:sz w:val="20"/>
                <w:szCs w:val="20"/>
                <w:color w:val="auto"/>
              </w:rPr>
            </w:pPr>
            <w:r>
              <w:rPr>
                <w:rFonts w:ascii="Arial" w:cs="Arial" w:eastAsia="Arial" w:hAnsi="Arial"/>
                <w:sz w:val="14"/>
                <w:szCs w:val="14"/>
                <w:b w:val="1"/>
                <w:bCs w:val="1"/>
                <w:color w:val="auto"/>
              </w:rPr>
              <w:t>For the Six Months Ended</w:t>
            </w:r>
          </w:p>
        </w:tc>
      </w:tr>
      <w:tr>
        <w:trPr>
          <w:trHeight w:val="179"/>
        </w:trPr>
        <w:tc>
          <w:tcPr>
            <w:tcW w:w="42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4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4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r>
      <w:tr>
        <w:trPr>
          <w:trHeight w:val="179"/>
        </w:trPr>
        <w:tc>
          <w:tcPr>
            <w:tcW w:w="42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Balance at beginning of period</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1,284</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1,160</w:t>
            </w: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5"/>
        </w:trPr>
        <w:tc>
          <w:tcPr>
            <w:tcW w:w="4280" w:type="dxa"/>
            <w:vAlign w:val="bottom"/>
          </w:tcPr>
          <w:p>
            <w:pPr>
              <w:ind w:left="340"/>
              <w:spacing w:after="0"/>
              <w:rPr>
                <w:sz w:val="20"/>
                <w:szCs w:val="20"/>
                <w:color w:val="auto"/>
              </w:rPr>
            </w:pPr>
            <w:r>
              <w:rPr>
                <w:rFonts w:ascii="Arial" w:cs="Arial" w:eastAsia="Arial" w:hAnsi="Arial"/>
                <w:sz w:val="14"/>
                <w:szCs w:val="14"/>
                <w:color w:val="auto"/>
              </w:rPr>
              <w:t>Provision for mortgage loan put backs</w:t>
            </w:r>
          </w:p>
        </w:tc>
        <w:tc>
          <w:tcPr>
            <w:tcW w:w="4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156</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210</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5"/>
        </w:trPr>
        <w:tc>
          <w:tcPr>
            <w:tcW w:w="4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Charge-offs</w:t>
            </w:r>
          </w:p>
        </w:tc>
        <w:tc>
          <w:tcPr>
            <w:tcW w:w="4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280" w:type="dxa"/>
            <w:vAlign w:val="bottom"/>
          </w:tcPr>
          <w:p>
            <w:pPr>
              <w:ind w:left="340"/>
              <w:spacing w:after="0"/>
              <w:rPr>
                <w:sz w:val="20"/>
                <w:szCs w:val="20"/>
                <w:color w:val="auto"/>
              </w:rPr>
            </w:pPr>
            <w:r>
              <w:rPr>
                <w:rFonts w:ascii="Arial" w:cs="Arial" w:eastAsia="Arial" w:hAnsi="Arial"/>
                <w:sz w:val="14"/>
                <w:szCs w:val="14"/>
                <w:color w:val="auto"/>
              </w:rPr>
              <w:t>Balance at end of period</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1,370</w:t>
            </w:r>
          </w:p>
        </w:tc>
        <w:tc>
          <w:tcPr>
            <w:tcW w:w="1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823</w:t>
            </w:r>
          </w:p>
        </w:tc>
        <w:tc>
          <w:tcPr>
            <w:tcW w:w="14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1,370</w:t>
            </w:r>
          </w:p>
        </w:tc>
        <w:tc>
          <w:tcPr>
            <w:tcW w:w="1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0"/>
        </w:trPr>
        <w:tc>
          <w:tcPr>
            <w:tcW w:w="4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6 -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As part of its mortgage banking activities, the Company enters into interest rate lock commitments, which are commitments to originate loans whereby the interest rate on the loan is determined prior to funding and the customers have locked into that interest rate. The Company then either locks the loan and rate in with an investor and commits to deliver the loan if settlement occurs (Best Efforts) or commits to deliver the locked loan to an investor in a binding (Mandatory) delivery program. Certain loans under rate lock commitments are covered under forward sales contracts. Forward sales contracts are recorded at fair value with changes in fair value recorded in mortgage banking revenue. Interest rate lock commitments and commitments to deliver loans to investors are considered derivatives. The market value of interest rate lock commitments and best efforts contracts are not readily ascertainable with precision because they are not actively traded in stand-alone markets. The Company determines the fair value of rate lock commitments and delivery contracts by estimating the fair value of the underlying asset, which is impacted by current interest rates and takes into consideration the probability that the rate lock commitments will close or will be funded.</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reports the commitment and fair value amounts on the outstanding derivatives: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Derivatives</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(in thousands)</w:t>
            </w: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June 30, 2021</w:t>
            </w: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December 31, 2020</w:t>
            </w:r>
          </w:p>
        </w:tc>
      </w:tr>
      <w:tr>
        <w:trPr>
          <w:trHeight w:val="179"/>
        </w:trPr>
        <w:tc>
          <w:tcPr>
            <w:tcW w:w="67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Notional amount of open forward sales agreements</w:t>
            </w:r>
          </w:p>
        </w:tc>
        <w:tc>
          <w:tcPr>
            <w:tcW w:w="6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76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20,000</w:t>
            </w:r>
          </w:p>
        </w:tc>
        <w:tc>
          <w:tcPr>
            <w:tcW w:w="3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38,00</w:t>
            </w:r>
          </w:p>
        </w:tc>
      </w:tr>
      <w:tr>
        <w:trPr>
          <w:trHeight w:val="185"/>
        </w:trPr>
        <w:tc>
          <w:tcPr>
            <w:tcW w:w="6760" w:type="dxa"/>
            <w:vAlign w:val="bottom"/>
          </w:tcPr>
          <w:p>
            <w:pPr>
              <w:ind w:left="340"/>
              <w:spacing w:after="0"/>
              <w:rPr>
                <w:sz w:val="20"/>
                <w:szCs w:val="20"/>
                <w:color w:val="auto"/>
              </w:rPr>
            </w:pPr>
            <w:r>
              <w:rPr>
                <w:rFonts w:ascii="Arial" w:cs="Arial" w:eastAsia="Arial" w:hAnsi="Arial"/>
                <w:sz w:val="14"/>
                <w:szCs w:val="14"/>
                <w:color w:val="auto"/>
              </w:rPr>
              <w:t>Fair value of open forward delivery sales agreements</w:t>
            </w:r>
          </w:p>
        </w:tc>
        <w:tc>
          <w:tcPr>
            <w:tcW w:w="600" w:type="dxa"/>
            <w:vAlign w:val="bottom"/>
          </w:tcPr>
          <w:p>
            <w:pPr>
              <w:spacing w:after="0"/>
              <w:rPr>
                <w:sz w:val="16"/>
                <w:szCs w:val="16"/>
                <w:color w:val="auto"/>
              </w:rPr>
            </w:pPr>
          </w:p>
        </w:tc>
        <w:tc>
          <w:tcPr>
            <w:tcW w:w="1760" w:type="dxa"/>
            <w:vAlign w:val="bottom"/>
          </w:tcPr>
          <w:p>
            <w:pPr>
              <w:jc w:val="right"/>
              <w:ind w:right="109"/>
              <w:spacing w:after="0"/>
              <w:rPr>
                <w:sz w:val="20"/>
                <w:szCs w:val="20"/>
                <w:color w:val="auto"/>
              </w:rPr>
            </w:pPr>
            <w:r>
              <w:rPr>
                <w:rFonts w:ascii="Arial" w:cs="Arial" w:eastAsia="Arial" w:hAnsi="Arial"/>
                <w:sz w:val="14"/>
                <w:szCs w:val="14"/>
                <w:b w:val="1"/>
                <w:bCs w:val="1"/>
                <w:color w:val="auto"/>
              </w:rPr>
              <w:t>(47)</w:t>
            </w:r>
          </w:p>
        </w:tc>
        <w:tc>
          <w:tcPr>
            <w:tcW w:w="3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6"/>
        </w:trPr>
        <w:tc>
          <w:tcPr>
            <w:tcW w:w="67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Notional amount of open mandatory delivery commitments</w:t>
            </w:r>
          </w:p>
        </w:tc>
        <w:tc>
          <w:tcPr>
            <w:tcW w:w="60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7,696</w:t>
            </w:r>
          </w:p>
        </w:tc>
        <w:tc>
          <w:tcPr>
            <w:tcW w:w="3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w:t>
            </w:r>
          </w:p>
        </w:tc>
      </w:tr>
      <w:tr>
        <w:trPr>
          <w:trHeight w:val="186"/>
        </w:trPr>
        <w:tc>
          <w:tcPr>
            <w:tcW w:w="6760" w:type="dxa"/>
            <w:vAlign w:val="bottom"/>
          </w:tcPr>
          <w:p>
            <w:pPr>
              <w:ind w:left="340"/>
              <w:spacing w:after="0"/>
              <w:rPr>
                <w:sz w:val="20"/>
                <w:szCs w:val="20"/>
                <w:color w:val="auto"/>
              </w:rPr>
            </w:pPr>
            <w:r>
              <w:rPr>
                <w:rFonts w:ascii="Arial" w:cs="Arial" w:eastAsia="Arial" w:hAnsi="Arial"/>
                <w:sz w:val="14"/>
                <w:szCs w:val="14"/>
                <w:color w:val="auto"/>
              </w:rPr>
              <w:t>Fair value of open mandatory delivery commitments</w:t>
            </w:r>
          </w:p>
        </w:tc>
        <w:tc>
          <w:tcPr>
            <w:tcW w:w="600" w:type="dxa"/>
            <w:vAlign w:val="bottom"/>
          </w:tcPr>
          <w:p>
            <w:pPr>
              <w:spacing w:after="0"/>
              <w:rPr>
                <w:sz w:val="16"/>
                <w:szCs w:val="16"/>
                <w:color w:val="auto"/>
              </w:rPr>
            </w:pPr>
          </w:p>
        </w:tc>
        <w:tc>
          <w:tcPr>
            <w:tcW w:w="1760" w:type="dxa"/>
            <w:vAlign w:val="bottom"/>
          </w:tcPr>
          <w:p>
            <w:pPr>
              <w:jc w:val="right"/>
              <w:ind w:right="149"/>
              <w:spacing w:after="0"/>
              <w:rPr>
                <w:sz w:val="20"/>
                <w:szCs w:val="20"/>
                <w:color w:val="auto"/>
              </w:rPr>
            </w:pPr>
            <w:r>
              <w:rPr>
                <w:rFonts w:ascii="Arial" w:cs="Arial" w:eastAsia="Arial" w:hAnsi="Arial"/>
                <w:sz w:val="14"/>
                <w:szCs w:val="14"/>
                <w:b w:val="1"/>
                <w:bCs w:val="1"/>
                <w:color w:val="auto"/>
              </w:rPr>
              <w:t>18</w:t>
            </w:r>
          </w:p>
        </w:tc>
        <w:tc>
          <w:tcPr>
            <w:tcW w:w="3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5"/>
        </w:trPr>
        <w:tc>
          <w:tcPr>
            <w:tcW w:w="67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Notional amount of interest rate lock commitments</w:t>
            </w:r>
          </w:p>
        </w:tc>
        <w:tc>
          <w:tcPr>
            <w:tcW w:w="60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21,841</w:t>
            </w:r>
          </w:p>
        </w:tc>
        <w:tc>
          <w:tcPr>
            <w:tcW w:w="3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34,82</w:t>
            </w:r>
          </w:p>
        </w:tc>
      </w:tr>
      <w:tr>
        <w:trPr>
          <w:trHeight w:val="188"/>
        </w:trPr>
        <w:tc>
          <w:tcPr>
            <w:tcW w:w="6760" w:type="dxa"/>
            <w:vAlign w:val="bottom"/>
          </w:tcPr>
          <w:p>
            <w:pPr>
              <w:ind w:left="340"/>
              <w:spacing w:after="0"/>
              <w:rPr>
                <w:sz w:val="20"/>
                <w:szCs w:val="20"/>
                <w:color w:val="auto"/>
              </w:rPr>
            </w:pPr>
            <w:r>
              <w:rPr>
                <w:rFonts w:ascii="Arial" w:cs="Arial" w:eastAsia="Arial" w:hAnsi="Arial"/>
                <w:sz w:val="14"/>
                <w:szCs w:val="14"/>
                <w:color w:val="auto"/>
              </w:rPr>
              <w:t>Fair value of interest rate lock commitments</w:t>
            </w:r>
          </w:p>
        </w:tc>
        <w:tc>
          <w:tcPr>
            <w:tcW w:w="600" w:type="dxa"/>
            <w:vAlign w:val="bottom"/>
          </w:tcPr>
          <w:p>
            <w:pPr>
              <w:spacing w:after="0"/>
              <w:rPr>
                <w:sz w:val="16"/>
                <w:szCs w:val="16"/>
                <w:color w:val="auto"/>
              </w:rPr>
            </w:pPr>
          </w:p>
        </w:tc>
        <w:tc>
          <w:tcPr>
            <w:tcW w:w="1760" w:type="dxa"/>
            <w:vAlign w:val="bottom"/>
          </w:tcPr>
          <w:p>
            <w:pPr>
              <w:jc w:val="right"/>
              <w:ind w:right="149"/>
              <w:spacing w:after="0"/>
              <w:rPr>
                <w:sz w:val="20"/>
                <w:szCs w:val="20"/>
                <w:color w:val="auto"/>
              </w:rPr>
            </w:pPr>
            <w:r>
              <w:rPr>
                <w:rFonts w:ascii="Arial" w:cs="Arial" w:eastAsia="Arial" w:hAnsi="Arial"/>
                <w:sz w:val="14"/>
                <w:szCs w:val="14"/>
                <w:b w:val="1"/>
                <w:bCs w:val="1"/>
                <w:color w:val="auto"/>
              </w:rPr>
              <w:t>59</w:t>
            </w:r>
          </w:p>
        </w:tc>
        <w:tc>
          <w:tcPr>
            <w:tcW w:w="3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39"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Company’s primary leasing activities relate to certain real estate leases entered into in support of the Company’s branch operations and back office operations. The Company leases five of its full service branches and five other locations for corporate/administration activities, operations, and loan production. All property leases under lease agreements have been been designated as operating leases. The Company does not have leases designated as finance leases.</w:t>
      </w:r>
    </w:p>
    <w:p>
      <w:pPr>
        <w:spacing w:after="0" w:line="208"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weighted average discount rate used was 2.26% at June 30, 2021 and 2.23% at December 31, 2020.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5373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5373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7 - Leases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7"/>
          <w:szCs w:val="17"/>
          <w:color w:val="auto"/>
        </w:rPr>
        <w:t>As of June 30, 2021, the Company’s lease ROU assets and related lease liabilities were $3.1 million and $3.4 million, respectively, compared to December 31, 2020 balances of $3.1 million of ROU assets and $3.4 million of lease liabilities, and have remaining terms ranging from 1 - 6 years, including extension options that the Company is reasonably certain will be exercised. As of June 30, 2021, the Company had not entered into any material leases that have not yet commenced. The Company’s lease information is summarized as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w:t>
      </w:r>
    </w:p>
    <w:p>
      <w:pPr>
        <w:spacing w:after="0" w:line="28"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58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50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w:t>
            </w:r>
          </w:p>
        </w:tc>
      </w:tr>
      <w:tr>
        <w:trPr>
          <w:trHeight w:val="166"/>
        </w:trPr>
        <w:tc>
          <w:tcPr>
            <w:tcW w:w="7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Lease Right of Use Asset:</w:t>
            </w:r>
          </w:p>
        </w:tc>
        <w:tc>
          <w:tcPr>
            <w:tcW w:w="5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r>
      <w:tr>
        <w:trPr>
          <w:trHeight w:val="185"/>
        </w:trPr>
        <w:tc>
          <w:tcPr>
            <w:tcW w:w="7580" w:type="dxa"/>
            <w:vAlign w:val="bottom"/>
          </w:tcPr>
          <w:p>
            <w:pPr>
              <w:ind w:left="340"/>
              <w:spacing w:after="0"/>
              <w:rPr>
                <w:sz w:val="20"/>
                <w:szCs w:val="20"/>
                <w:color w:val="auto"/>
              </w:rPr>
            </w:pPr>
            <w:r>
              <w:rPr>
                <w:rFonts w:ascii="Arial" w:cs="Arial" w:eastAsia="Arial" w:hAnsi="Arial"/>
                <w:sz w:val="14"/>
                <w:szCs w:val="14"/>
                <w:color w:val="auto"/>
              </w:rPr>
              <w:t>Lease asset</w:t>
            </w:r>
          </w:p>
        </w:tc>
        <w:tc>
          <w:tcPr>
            <w:tcW w:w="50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center"/>
              <w:ind w:left="669"/>
              <w:spacing w:after="0"/>
              <w:rPr>
                <w:sz w:val="20"/>
                <w:szCs w:val="20"/>
                <w:color w:val="auto"/>
              </w:rPr>
            </w:pPr>
            <w:r>
              <w:rPr>
                <w:rFonts w:ascii="Arial" w:cs="Arial" w:eastAsia="Arial" w:hAnsi="Arial"/>
                <w:sz w:val="14"/>
                <w:szCs w:val="14"/>
                <w:b w:val="1"/>
                <w:bCs w:val="1"/>
                <w:color w:val="auto"/>
              </w:rPr>
              <w:t>6,031</w:t>
            </w:r>
          </w:p>
        </w:tc>
        <w:tc>
          <w:tcPr>
            <w:tcW w:w="18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86"/>
        </w:trPr>
        <w:tc>
          <w:tcPr>
            <w:tcW w:w="7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Less: Accumulated amortization</w:t>
            </w:r>
          </w:p>
        </w:tc>
        <w:tc>
          <w:tcPr>
            <w:tcW w:w="5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center"/>
              <w:ind w:left="669"/>
              <w:spacing w:after="0"/>
              <w:rPr>
                <w:sz w:val="20"/>
                <w:szCs w:val="20"/>
                <w:color w:val="auto"/>
              </w:rPr>
            </w:pPr>
            <w:r>
              <w:rPr>
                <w:rFonts w:ascii="Arial" w:cs="Arial" w:eastAsia="Arial" w:hAnsi="Arial"/>
                <w:sz w:val="14"/>
                <w:szCs w:val="14"/>
                <w:b w:val="1"/>
                <w:bCs w:val="1"/>
                <w:color w:val="auto"/>
                <w:w w:val="99"/>
              </w:rPr>
              <w:t>(2,970)</w:t>
            </w:r>
          </w:p>
        </w:tc>
        <w:tc>
          <w:tcPr>
            <w:tcW w:w="18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52"/>
        </w:trPr>
        <w:tc>
          <w:tcPr>
            <w:tcW w:w="7580" w:type="dxa"/>
            <w:vAlign w:val="bottom"/>
          </w:tcPr>
          <w:p>
            <w:pPr>
              <w:ind w:left="340"/>
              <w:spacing w:after="0" w:line="152" w:lineRule="exact"/>
              <w:rPr>
                <w:sz w:val="20"/>
                <w:szCs w:val="20"/>
                <w:color w:val="auto"/>
              </w:rPr>
            </w:pPr>
            <w:r>
              <w:rPr>
                <w:rFonts w:ascii="Arial" w:cs="Arial" w:eastAsia="Arial" w:hAnsi="Arial"/>
                <w:sz w:val="14"/>
                <w:szCs w:val="14"/>
                <w:color w:val="auto"/>
              </w:rPr>
              <w:t>Net lease asset</w:t>
            </w:r>
          </w:p>
        </w:tc>
        <w:tc>
          <w:tcPr>
            <w:tcW w:w="500" w:type="dxa"/>
            <w:vAlign w:val="bottom"/>
            <w:tcBorders>
              <w:bottom w:val="single" w:sz="8" w:color="auto"/>
            </w:tcBorders>
          </w:tcPr>
          <w:p>
            <w:pPr>
              <w:jc w:val="right"/>
              <w:ind w:right="9"/>
              <w:spacing w:after="0" w:line="152" w:lineRule="exact"/>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center"/>
              <w:ind w:left="669"/>
              <w:spacing w:after="0" w:line="152" w:lineRule="exact"/>
              <w:rPr>
                <w:sz w:val="20"/>
                <w:szCs w:val="20"/>
                <w:color w:val="auto"/>
              </w:rPr>
            </w:pPr>
            <w:r>
              <w:rPr>
                <w:rFonts w:ascii="Arial" w:cs="Arial" w:eastAsia="Arial" w:hAnsi="Arial"/>
                <w:sz w:val="14"/>
                <w:szCs w:val="14"/>
                <w:b w:val="1"/>
                <w:bCs w:val="1"/>
                <w:color w:val="auto"/>
              </w:rPr>
              <w:t>3,061</w:t>
            </w:r>
          </w:p>
        </w:tc>
        <w:tc>
          <w:tcPr>
            <w:tcW w:w="180" w:type="dxa"/>
            <w:vAlign w:val="bottom"/>
          </w:tcPr>
          <w:p>
            <w:pPr>
              <w:spacing w:after="0"/>
              <w:rPr>
                <w:sz w:val="13"/>
                <w:szCs w:val="13"/>
                <w:color w:val="auto"/>
              </w:rPr>
            </w:pPr>
          </w:p>
        </w:tc>
        <w:tc>
          <w:tcPr>
            <w:tcW w:w="840" w:type="dxa"/>
            <w:vAlign w:val="bottom"/>
            <w:tcBorders>
              <w:bottom w:val="single" w:sz="8" w:color="auto"/>
            </w:tcBorders>
          </w:tcPr>
          <w:p>
            <w:pPr>
              <w:jc w:val="right"/>
              <w:ind w:right="349"/>
              <w:spacing w:after="0" w:line="15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3,1</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8"/>
        </w:trPr>
        <w:tc>
          <w:tcPr>
            <w:tcW w:w="7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6"/>
        </w:trPr>
        <w:tc>
          <w:tcPr>
            <w:tcW w:w="7580" w:type="dxa"/>
            <w:vAlign w:val="bottom"/>
          </w:tcPr>
          <w:p>
            <w:pPr>
              <w:ind w:left="340"/>
              <w:spacing w:after="0"/>
              <w:rPr>
                <w:sz w:val="20"/>
                <w:szCs w:val="20"/>
                <w:color w:val="auto"/>
              </w:rPr>
            </w:pPr>
            <w:r>
              <w:rPr>
                <w:rFonts w:ascii="Arial" w:cs="Arial" w:eastAsia="Arial" w:hAnsi="Arial"/>
                <w:sz w:val="14"/>
                <w:szCs w:val="14"/>
                <w:b w:val="1"/>
                <w:bCs w:val="1"/>
                <w:color w:val="auto"/>
              </w:rPr>
              <w:t>Lease Liability:</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1"/>
        </w:trPr>
        <w:tc>
          <w:tcPr>
            <w:tcW w:w="7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Lease liability</w:t>
            </w: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center"/>
              <w:ind w:left="669"/>
              <w:spacing w:after="0"/>
              <w:rPr>
                <w:sz w:val="20"/>
                <w:szCs w:val="20"/>
                <w:color w:val="auto"/>
              </w:rPr>
            </w:pPr>
            <w:r>
              <w:rPr>
                <w:rFonts w:ascii="Arial" w:cs="Arial" w:eastAsia="Arial" w:hAnsi="Arial"/>
                <w:sz w:val="14"/>
                <w:szCs w:val="14"/>
                <w:b w:val="1"/>
                <w:bCs w:val="1"/>
                <w:color w:val="auto"/>
              </w:rPr>
              <w:t>3,367</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Future minimum payments for operating leases with initial or remaining terms of one year or more are as follows: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 Payment Obligations</w:t>
      </w:r>
    </w:p>
    <w:p>
      <w:pPr>
        <w:spacing w:after="0" w:line="28"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900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(in thousands)</w:t>
            </w:r>
          </w:p>
        </w:tc>
        <w:tc>
          <w:tcPr>
            <w:tcW w:w="6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June 30, 2021</w:t>
            </w:r>
          </w:p>
        </w:tc>
      </w:tr>
      <w:tr>
        <w:trPr>
          <w:trHeight w:val="166"/>
        </w:trPr>
        <w:tc>
          <w:tcPr>
            <w:tcW w:w="900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Amounts due in:</w:t>
            </w:r>
          </w:p>
        </w:tc>
        <w:tc>
          <w:tcPr>
            <w:tcW w:w="6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5"/>
        </w:trPr>
        <w:tc>
          <w:tcPr>
            <w:tcW w:w="9000" w:type="dxa"/>
            <w:vAlign w:val="bottom"/>
          </w:tcPr>
          <w:p>
            <w:pPr>
              <w:ind w:left="340"/>
              <w:spacing w:after="0"/>
              <w:rPr>
                <w:sz w:val="20"/>
                <w:szCs w:val="20"/>
                <w:color w:val="auto"/>
              </w:rPr>
            </w:pPr>
            <w:r>
              <w:rPr>
                <w:rFonts w:ascii="Arial" w:cs="Arial" w:eastAsia="Arial" w:hAnsi="Arial"/>
                <w:sz w:val="14"/>
                <w:szCs w:val="14"/>
                <w:color w:val="auto"/>
              </w:rPr>
              <w:t>2021</w:t>
            </w:r>
          </w:p>
        </w:tc>
        <w:tc>
          <w:tcPr>
            <w:tcW w:w="6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5"/>
        </w:trPr>
        <w:tc>
          <w:tcPr>
            <w:tcW w:w="9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2022</w:t>
            </w: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5"/>
        </w:trPr>
        <w:tc>
          <w:tcPr>
            <w:tcW w:w="9000" w:type="dxa"/>
            <w:vAlign w:val="bottom"/>
          </w:tcPr>
          <w:p>
            <w:pPr>
              <w:ind w:left="340"/>
              <w:spacing w:after="0"/>
              <w:rPr>
                <w:sz w:val="20"/>
                <w:szCs w:val="20"/>
                <w:color w:val="auto"/>
              </w:rPr>
            </w:pPr>
            <w:r>
              <w:rPr>
                <w:rFonts w:ascii="Arial" w:cs="Arial" w:eastAsia="Arial" w:hAnsi="Arial"/>
                <w:sz w:val="14"/>
                <w:szCs w:val="14"/>
                <w:color w:val="auto"/>
              </w:rPr>
              <w:t>2023</w:t>
            </w:r>
          </w:p>
        </w:tc>
        <w:tc>
          <w:tcPr>
            <w:tcW w:w="6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5"/>
        </w:trPr>
        <w:tc>
          <w:tcPr>
            <w:tcW w:w="9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2024</w:t>
            </w: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5"/>
        </w:trPr>
        <w:tc>
          <w:tcPr>
            <w:tcW w:w="9000" w:type="dxa"/>
            <w:vAlign w:val="bottom"/>
          </w:tcPr>
          <w:p>
            <w:pPr>
              <w:ind w:left="340"/>
              <w:spacing w:after="0"/>
              <w:rPr>
                <w:sz w:val="20"/>
                <w:szCs w:val="20"/>
                <w:color w:val="auto"/>
              </w:rPr>
            </w:pPr>
            <w:r>
              <w:rPr>
                <w:rFonts w:ascii="Arial" w:cs="Arial" w:eastAsia="Arial" w:hAnsi="Arial"/>
                <w:sz w:val="14"/>
                <w:szCs w:val="14"/>
                <w:color w:val="auto"/>
              </w:rPr>
              <w:t>2025</w:t>
            </w:r>
          </w:p>
        </w:tc>
        <w:tc>
          <w:tcPr>
            <w:tcW w:w="6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5"/>
        </w:trPr>
        <w:tc>
          <w:tcPr>
            <w:tcW w:w="9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2026</w:t>
            </w:r>
          </w:p>
        </w:tc>
        <w:tc>
          <w:tcPr>
            <w:tcW w:w="6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9000" w:type="dxa"/>
            <w:vAlign w:val="bottom"/>
          </w:tcPr>
          <w:p>
            <w:pPr>
              <w:ind w:left="460"/>
              <w:spacing w:after="0"/>
              <w:rPr>
                <w:sz w:val="20"/>
                <w:szCs w:val="20"/>
                <w:color w:val="auto"/>
              </w:rPr>
            </w:pPr>
            <w:r>
              <w:rPr>
                <w:rFonts w:ascii="Arial" w:cs="Arial" w:eastAsia="Arial" w:hAnsi="Arial"/>
                <w:sz w:val="14"/>
                <w:szCs w:val="14"/>
                <w:color w:val="auto"/>
              </w:rPr>
              <w:t>Total future lease payments</w:t>
            </w:r>
          </w:p>
        </w:tc>
        <w:tc>
          <w:tcPr>
            <w:tcW w:w="1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r>
        <w:trPr>
          <w:trHeight w:val="186"/>
        </w:trPr>
        <w:tc>
          <w:tcPr>
            <w:tcW w:w="9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Discount of cash flows</w:t>
            </w:r>
          </w:p>
        </w:tc>
        <w:tc>
          <w:tcPr>
            <w:tcW w:w="1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9"/>
        </w:trPr>
        <w:tc>
          <w:tcPr>
            <w:tcW w:w="9000" w:type="dxa"/>
            <w:vAlign w:val="bottom"/>
          </w:tcPr>
          <w:p>
            <w:pPr>
              <w:ind w:left="460"/>
              <w:spacing w:after="0"/>
              <w:rPr>
                <w:sz w:val="20"/>
                <w:szCs w:val="20"/>
                <w:color w:val="auto"/>
              </w:rPr>
            </w:pPr>
            <w:r>
              <w:rPr>
                <w:rFonts w:ascii="Arial" w:cs="Arial" w:eastAsia="Arial" w:hAnsi="Arial"/>
                <w:sz w:val="14"/>
                <w:szCs w:val="14"/>
                <w:color w:val="auto"/>
              </w:rPr>
              <w:t>Present value of net future lease payments</w:t>
            </w:r>
          </w:p>
        </w:tc>
        <w:tc>
          <w:tcPr>
            <w:tcW w:w="112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w:t>
            </w:r>
          </w:p>
        </w:tc>
      </w:tr>
      <w:tr>
        <w:trPr>
          <w:trHeight w:val="20"/>
        </w:trPr>
        <w:tc>
          <w:tcPr>
            <w:tcW w:w="9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 Inputs to the valuation method are quoted prices (unadjusted) for identical assets or liabilities in active markets;</w:t>
      </w:r>
    </w:p>
    <w:p>
      <w:pPr>
        <w:spacing w:after="0" w:line="217"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3 - Inputs to the valuation method are unobservable and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21"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i w:val="1"/>
          <w:iCs w:val="1"/>
          <w:color w:val="auto"/>
        </w:rPr>
        <w:t xml:space="preserve">Investment securities available for sale </w:t>
      </w:r>
      <w:r>
        <w:rPr>
          <w:rFonts w:ascii="Arial" w:cs="Arial" w:eastAsia="Arial" w:hAnsi="Arial"/>
          <w:sz w:val="18"/>
          <w:szCs w:val="18"/>
          <w:color w:val="auto"/>
        </w:rPr>
        <w:t>- The fair values of the Company's investment securities available for sale are provided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The fair values of the Company's securities are determined based on quoted prices for similar securities under Level 2 inputs.</w:t>
      </w:r>
    </w:p>
    <w:p>
      <w:pPr>
        <w:spacing w:after="0" w:line="178"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8"/>
          <w:szCs w:val="18"/>
          <w:i w:val="1"/>
          <w:iCs w:val="1"/>
          <w:color w:val="auto"/>
        </w:rPr>
        <w:t xml:space="preserve">Marketable equity securities </w:t>
      </w:r>
      <w:r>
        <w:rPr>
          <w:rFonts w:ascii="Arial" w:cs="Arial" w:eastAsia="Arial" w:hAnsi="Arial"/>
          <w:sz w:val="18"/>
          <w:szCs w:val="18"/>
          <w:color w:val="auto"/>
        </w:rPr>
        <w:t>- The fair value of marketable equity securities is provided by an independent pricing service. The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on quoted prices for similar securities using Level 2 inputs.</w:t>
      </w:r>
    </w:p>
    <w:p>
      <w:pPr>
        <w:spacing w:after="0" w:line="167"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 for sale is determined using Level 2 inputs of quoted prices for a similar asset, adjusted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attributes of that loan.</w:t>
      </w:r>
    </w:p>
    <w:p>
      <w:pPr>
        <w:spacing w:after="0" w:line="16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Derivative instruments used to hedge residential mortgage loans held for sale and the related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lock commitments include forward 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spacing w:after="0" w:line="202"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Company has categorized its financial instruments measured at fair value on a recurring basis as of June 30, 2021 and December 31, 2020 as follows: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Financial Instruments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 Inputs</w:t>
            </w: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 Inputs</w:t>
            </w:r>
          </w:p>
        </w:tc>
        <w:tc>
          <w:tcPr>
            <w:tcW w:w="1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Level 3 Inputs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spacing w:after="0" w:line="152" w:lineRule="exact"/>
              <w:rPr>
                <w:sz w:val="20"/>
                <w:szCs w:val="20"/>
                <w:color w:val="auto"/>
              </w:rPr>
            </w:pPr>
            <w:r>
              <w:rPr>
                <w:rFonts w:ascii="Arial" w:cs="Arial" w:eastAsia="Arial" w:hAnsi="Arial"/>
                <w:sz w:val="14"/>
                <w:szCs w:val="14"/>
                <w:color w:val="auto"/>
              </w:rPr>
              <w:t>Investment securities available for sale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10,706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10,706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85"/>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6,967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6,967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25"/>
        </w:trPr>
        <w:tc>
          <w:tcPr>
            <w:tcW w:w="20" w:type="dxa"/>
            <w:vAlign w:val="bottom"/>
          </w:tcPr>
          <w:p>
            <w:pPr>
              <w:spacing w:after="0"/>
              <w:rPr>
                <w:sz w:val="19"/>
                <w:szCs w:val="19"/>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10,568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10,568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185"/>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30,151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30,151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25"/>
        </w:trPr>
        <w:tc>
          <w:tcPr>
            <w:tcW w:w="20" w:type="dxa"/>
            <w:vAlign w:val="bottom"/>
          </w:tcPr>
          <w:p>
            <w:pPr>
              <w:spacing w:after="0"/>
              <w:rPr>
                <w:sz w:val="19"/>
                <w:szCs w:val="19"/>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102,123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102,123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4"/>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160,515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160,515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gridSpan w:val="3"/>
          </w:tcPr>
          <w:p>
            <w:pPr>
              <w:spacing w:after="0" w:line="159" w:lineRule="exact"/>
              <w:rPr>
                <w:sz w:val="20"/>
                <w:szCs w:val="20"/>
                <w:color w:val="auto"/>
              </w:rPr>
            </w:pPr>
            <w:r>
              <w:rPr>
                <w:rFonts w:ascii="Arial" w:cs="Arial" w:eastAsia="Arial" w:hAnsi="Arial"/>
                <w:sz w:val="14"/>
                <w:szCs w:val="14"/>
                <w:color w:val="auto"/>
              </w:rPr>
              <w:t>Marketable equity securities</w:t>
            </w:r>
          </w:p>
        </w:tc>
        <w:tc>
          <w:tcPr>
            <w:tcW w:w="260" w:type="dxa"/>
            <w:vAlign w:val="bottom"/>
            <w:tcBorders>
              <w:top w:val="single" w:sz="8" w:color="auto"/>
              <w:bottom w:val="single" w:sz="8" w:color="auto"/>
            </w:tcBorders>
          </w:tcPr>
          <w:p>
            <w:pPr>
              <w:jc w:val="right"/>
              <w:ind w:right="89"/>
              <w:spacing w:after="0" w:line="159" w:lineRule="exact"/>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8"/>
              <w:spacing w:after="0" w:line="15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Loans held for sale</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47,935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47,935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gridSpan w:val="3"/>
          </w:tcPr>
          <w:p>
            <w:pPr>
              <w:spacing w:after="0" w:line="159" w:lineRule="exact"/>
              <w:rPr>
                <w:sz w:val="20"/>
                <w:szCs w:val="20"/>
                <w:color w:val="auto"/>
              </w:rPr>
            </w:pPr>
            <w:r>
              <w:rPr>
                <w:rFonts w:ascii="Arial" w:cs="Arial" w:eastAsia="Arial" w:hAnsi="Arial"/>
                <w:sz w:val="14"/>
                <w:szCs w:val="14"/>
                <w:color w:val="auto"/>
              </w:rPr>
              <w:t>Derivative assets</w:t>
            </w:r>
          </w:p>
        </w:tc>
        <w:tc>
          <w:tcPr>
            <w:tcW w:w="260" w:type="dxa"/>
            <w:vAlign w:val="bottom"/>
            <w:tcBorders>
              <w:top w:val="single" w:sz="8" w:color="auto"/>
              <w:bottom w:val="single" w:sz="8" w:color="auto"/>
            </w:tcBorders>
          </w:tcPr>
          <w:p>
            <w:pPr>
              <w:jc w:val="right"/>
              <w:ind w:right="89"/>
              <w:spacing w:after="0" w:line="159" w:lineRule="exact"/>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77</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8"/>
              <w:spacing w:after="0" w:line="15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77</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4"/>
                <w:szCs w:val="14"/>
                <w:color w:val="auto"/>
              </w:rPr>
            </w:pPr>
          </w:p>
        </w:tc>
        <w:tc>
          <w:tcPr>
            <w:tcW w:w="6040" w:type="dxa"/>
            <w:vAlign w:val="bottom"/>
            <w:tcBorders>
              <w:bottom w:val="single" w:sz="8" w:color="CCEEFF"/>
            </w:tcBorders>
            <w:gridSpan w:val="3"/>
            <w:shd w:val="clear" w:color="auto" w:fill="CCEEFF"/>
          </w:tcPr>
          <w:p>
            <w:pPr>
              <w:spacing w:after="0" w:line="152" w:lineRule="exact"/>
              <w:rPr>
                <w:sz w:val="20"/>
                <w:szCs w:val="20"/>
                <w:color w:val="auto"/>
              </w:rPr>
            </w:pPr>
            <w:r>
              <w:rPr>
                <w:rFonts w:ascii="Arial" w:cs="Arial" w:eastAsia="Arial" w:hAnsi="Arial"/>
                <w:sz w:val="14"/>
                <w:szCs w:val="14"/>
                <w:color w:val="auto"/>
              </w:rPr>
              <w:t>Derivative liabilities</w:t>
            </w:r>
          </w:p>
        </w:tc>
        <w:tc>
          <w:tcPr>
            <w:tcW w:w="260" w:type="dxa"/>
            <w:vAlign w:val="bottom"/>
            <w:tcBorders>
              <w:bottom w:val="single" w:sz="8" w:color="auto"/>
            </w:tcBorders>
            <w:shd w:val="clear" w:color="auto" w:fill="CCEEFF"/>
          </w:tcPr>
          <w:p>
            <w:pPr>
              <w:jc w:val="right"/>
              <w:ind w:right="89"/>
              <w:spacing w:after="0" w:line="152" w:lineRule="exact"/>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(47)</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8"/>
              <w:spacing w:after="0" w:line="15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(47)</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5"/>
        </w:trPr>
        <w:tc>
          <w:tcPr>
            <w:tcW w:w="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2020</w:t>
            </w:r>
          </w:p>
        </w:tc>
        <w:tc>
          <w:tcPr>
            <w:tcW w:w="47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Investment securities available for sale</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20" w:type="dxa"/>
            <w:vAlign w:val="bottom"/>
          </w:tcPr>
          <w:p>
            <w:pPr>
              <w:spacing w:after="0"/>
              <w:rPr>
                <w:sz w:val="16"/>
                <w:szCs w:val="16"/>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186"/>
        </w:trPr>
        <w:tc>
          <w:tcPr>
            <w:tcW w:w="20" w:type="dxa"/>
            <w:vAlign w:val="bottom"/>
            <w:tcBorders>
              <w:bottom w:val="single" w:sz="8" w:color="CCEEFF"/>
            </w:tcBorders>
          </w:tcPr>
          <w:p>
            <w:pPr>
              <w:spacing w:after="0"/>
              <w:rPr>
                <w:sz w:val="16"/>
                <w:szCs w:val="16"/>
                <w:color w:val="auto"/>
              </w:rPr>
            </w:pPr>
          </w:p>
        </w:tc>
        <w:tc>
          <w:tcPr>
            <w:tcW w:w="604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72,212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72,212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60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99,787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99,787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gridSpan w:val="3"/>
          </w:tcPr>
          <w:p>
            <w:pPr>
              <w:spacing w:after="0" w:line="159" w:lineRule="exact"/>
              <w:rPr>
                <w:sz w:val="20"/>
                <w:szCs w:val="20"/>
                <w:color w:val="auto"/>
              </w:rPr>
            </w:pPr>
            <w:r>
              <w:rPr>
                <w:rFonts w:ascii="Arial" w:cs="Arial" w:eastAsia="Arial" w:hAnsi="Arial"/>
                <w:sz w:val="14"/>
                <w:szCs w:val="14"/>
                <w:color w:val="auto"/>
              </w:rPr>
              <w:t>Marketable equity securities</w:t>
            </w:r>
          </w:p>
        </w:tc>
        <w:tc>
          <w:tcPr>
            <w:tcW w:w="2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245</w:t>
            </w:r>
          </w:p>
        </w:tc>
        <w:tc>
          <w:tcPr>
            <w:tcW w:w="120" w:type="dxa"/>
            <w:vAlign w:val="bottom"/>
          </w:tcPr>
          <w:p>
            <w:pPr>
              <w:spacing w:after="0"/>
              <w:rPr>
                <w:sz w:val="13"/>
                <w:szCs w:val="13"/>
                <w:color w:val="auto"/>
              </w:rPr>
            </w:pP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245</w:t>
            </w:r>
          </w:p>
        </w:tc>
        <w:tc>
          <w:tcPr>
            <w:tcW w:w="120" w:type="dxa"/>
            <w:vAlign w:val="bottom"/>
          </w:tcPr>
          <w:p>
            <w:pPr>
              <w:spacing w:after="0"/>
              <w:rPr>
                <w:sz w:val="13"/>
                <w:szCs w:val="13"/>
                <w:color w:val="auto"/>
              </w:rPr>
            </w:pP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Loans held for sale</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107,154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107,154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040" w:type="dxa"/>
            <w:vAlign w:val="bottom"/>
            <w:gridSpan w:val="3"/>
          </w:tcPr>
          <w:p>
            <w:pPr>
              <w:spacing w:after="0" w:line="159" w:lineRule="exact"/>
              <w:rPr>
                <w:sz w:val="20"/>
                <w:szCs w:val="20"/>
                <w:color w:val="auto"/>
              </w:rPr>
            </w:pPr>
            <w:r>
              <w:rPr>
                <w:rFonts w:ascii="Arial" w:cs="Arial" w:eastAsia="Arial" w:hAnsi="Arial"/>
                <w:sz w:val="14"/>
                <w:szCs w:val="14"/>
                <w:color w:val="auto"/>
              </w:rPr>
              <w:t>Derivative assets</w:t>
            </w:r>
          </w:p>
        </w:tc>
        <w:tc>
          <w:tcPr>
            <w:tcW w:w="2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327</w:t>
            </w:r>
          </w:p>
        </w:tc>
        <w:tc>
          <w:tcPr>
            <w:tcW w:w="120" w:type="dxa"/>
            <w:vAlign w:val="bottom"/>
          </w:tcPr>
          <w:p>
            <w:pPr>
              <w:spacing w:after="0"/>
              <w:rPr>
                <w:sz w:val="13"/>
                <w:szCs w:val="13"/>
                <w:color w:val="auto"/>
              </w:rPr>
            </w:pP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327</w:t>
            </w:r>
          </w:p>
        </w:tc>
        <w:tc>
          <w:tcPr>
            <w:tcW w:w="120" w:type="dxa"/>
            <w:vAlign w:val="bottom"/>
          </w:tcPr>
          <w:p>
            <w:pPr>
              <w:spacing w:after="0"/>
              <w:rPr>
                <w:sz w:val="13"/>
                <w:szCs w:val="13"/>
                <w:color w:val="auto"/>
              </w:rPr>
            </w:pP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Derivative liabilities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using FASB ASC 825-10</w:t>
      </w:r>
    </w:p>
    <w:p>
      <w:pPr>
        <w:spacing w:after="0" w:line="23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pacing w:after="0" w:line="20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reflects the difference between the fair value carrying amount of loans held for sale, measured at fair value under FASB ASC 825-10, and the aggregate unpaid principal amount the Company is contractually entitled to receive at maturity:</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Fair Value of Loans Held for Sale</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1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0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6"/>
                <w:szCs w:val="16"/>
                <w:color w:val="auto"/>
              </w:rPr>
            </w:pPr>
          </w:p>
        </w:tc>
        <w:tc>
          <w:tcPr>
            <w:tcW w:w="1760" w:type="dxa"/>
            <w:vAlign w:val="bottom"/>
          </w:tcPr>
          <w:p>
            <w:pPr>
              <w:jc w:val="right"/>
              <w:ind w:right="289"/>
              <w:spacing w:after="0"/>
              <w:rPr>
                <w:sz w:val="20"/>
                <w:szCs w:val="20"/>
                <w:color w:val="auto"/>
              </w:rPr>
            </w:pPr>
            <w:r>
              <w:rPr>
                <w:rFonts w:ascii="Arial" w:cs="Arial" w:eastAsia="Arial" w:hAnsi="Arial"/>
                <w:sz w:val="14"/>
                <w:szCs w:val="14"/>
                <w:b w:val="1"/>
                <w:bCs w:val="1"/>
                <w:color w:val="auto"/>
              </w:rPr>
              <w:t>December 31, 2020</w:t>
            </w:r>
          </w:p>
        </w:tc>
      </w:tr>
      <w:tr>
        <w:trPr>
          <w:trHeight w:val="179"/>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Aggregate fair value</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6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47,935</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107,154</w:t>
            </w:r>
          </w:p>
        </w:tc>
      </w:tr>
      <w:tr>
        <w:trPr>
          <w:trHeight w:val="186"/>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Contractual principal</w:t>
            </w: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45,188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99,362</w:t>
            </w:r>
          </w:p>
        </w:tc>
      </w:tr>
      <w:tr>
        <w:trPr>
          <w:trHeight w:val="204"/>
        </w:trPr>
        <w:tc>
          <w:tcPr>
            <w:tcW w:w="7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Difference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2,747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7,792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has elected to account for loans held for sale at fair value to eliminate the mismatch that would occur by recording changes in market value on derivative instruments used to hedge loans held for sale while carrying the loans at the lower of cost or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nonrecurring basis</w:t>
      </w:r>
    </w:p>
    <w:p>
      <w:pPr>
        <w:spacing w:after="0" w:line="221"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Impaired loans </w:t>
      </w:r>
      <w:r>
        <w:rPr>
          <w:rFonts w:ascii="Arial" w:cs="Arial" w:eastAsia="Arial" w:hAnsi="Arial"/>
          <w:sz w:val="18"/>
          <w:szCs w:val="18"/>
          <w:color w:val="auto"/>
        </w:rPr>
        <w:t>- The Company has measured impairment generally based on the fair value of the loan's collateral and discounted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Fair value is generally determined based upon independent third-party appraisals of the properties, or discounted cash flows based upon the expected proceeds. These assets are included as Level 3 fair values. As of June 30, 2021 and December 31, 2020, the fair values consist of loan balances of $7.9 million and $10.0 million, with specific reserves of $236 thousand and $253 thousand, respectively.</w:t>
      </w:r>
    </w:p>
    <w:p>
      <w:pPr>
        <w:spacing w:after="0" w:line="184"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i w:val="1"/>
          <w:iCs w:val="1"/>
          <w:color w:val="auto"/>
        </w:rPr>
        <w:t xml:space="preserve">Foreclosed real estate </w:t>
      </w:r>
      <w:r>
        <w:rPr>
          <w:rFonts w:ascii="Arial" w:cs="Arial" w:eastAsia="Arial" w:hAnsi="Arial"/>
          <w:sz w:val="18"/>
          <w:szCs w:val="18"/>
          <w:color w:val="auto"/>
        </w:rPr>
        <w:t>- The Company's foreclosed real estate is measured at fair value less cost to sell. Fair value was determined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offers and/or appraisals. Cost to sell the real estate was based on standard market factors. The Company has categorized its foreclosed real estate as Level 3.</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categorized its impaired loans and foreclosed real estate as follows: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Impaired Loans and Foreclosed Real Estate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December 31, 2020</w:t>
            </w:r>
          </w:p>
        </w:tc>
      </w:tr>
      <w:tr>
        <w:trPr>
          <w:trHeight w:val="17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Impaired loans</w:t>
            </w:r>
          </w:p>
        </w:tc>
        <w:tc>
          <w:tcPr>
            <w:tcW w:w="1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212"/>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Level 3 inputs</w:t>
            </w:r>
          </w:p>
        </w:tc>
        <w:tc>
          <w:tcPr>
            <w:tcW w:w="1500" w:type="dxa"/>
            <w:vAlign w:val="bottom"/>
            <w:tcBorders>
              <w:bottom w:val="single" w:sz="8" w:color="auto"/>
            </w:tcBorders>
          </w:tcPr>
          <w:p>
            <w:pPr>
              <w:jc w:val="right"/>
              <w:ind w:right="1329"/>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7,675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9,709</w:t>
            </w:r>
          </w:p>
        </w:tc>
      </w:tr>
      <w:tr>
        <w:trPr>
          <w:trHeight w:val="204"/>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500" w:type="dxa"/>
            <w:vAlign w:val="bottom"/>
            <w:tcBorders>
              <w:bottom w:val="single" w:sz="8" w:color="auto"/>
            </w:tcBorders>
            <w:shd w:val="clear" w:color="auto" w:fill="CCEEFF"/>
          </w:tcPr>
          <w:p>
            <w:pPr>
              <w:jc w:val="right"/>
              <w:ind w:right="1329"/>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7,675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9,709</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7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85"/>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Foreclosed real estate</w:t>
            </w:r>
          </w:p>
        </w:tc>
        <w:tc>
          <w:tcPr>
            <w:tcW w:w="1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185"/>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Level 3 inputs</w:t>
            </w:r>
          </w:p>
        </w:tc>
        <w:tc>
          <w:tcPr>
            <w:tcW w:w="1500" w:type="dxa"/>
            <w:vAlign w:val="bottom"/>
            <w:tcBorders>
              <w:bottom w:val="single" w:sz="8" w:color="auto"/>
            </w:tcBorders>
          </w:tcPr>
          <w:p>
            <w:pPr>
              <w:jc w:val="right"/>
              <w:ind w:right="1329"/>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3,326</w:t>
            </w:r>
          </w:p>
        </w:tc>
      </w:tr>
      <w:tr>
        <w:trPr>
          <w:trHeight w:val="204"/>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500" w:type="dxa"/>
            <w:vAlign w:val="bottom"/>
            <w:tcBorders>
              <w:bottom w:val="single" w:sz="8" w:color="auto"/>
            </w:tcBorders>
            <w:shd w:val="clear" w:color="auto" w:fill="CCEEFF"/>
          </w:tcPr>
          <w:p>
            <w:pPr>
              <w:jc w:val="right"/>
              <w:ind w:right="1329"/>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3,326</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9516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information describing the unobservable inputs used in Level 3 fair value measurements at June 30, 2021 and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2220" w:type="dxa"/>
            <w:vAlign w:val="bottom"/>
          </w:tcPr>
          <w:p>
            <w:pPr>
              <w:ind w:left="340"/>
              <w:spacing w:after="0"/>
              <w:rPr>
                <w:sz w:val="20"/>
                <w:szCs w:val="20"/>
                <w:color w:val="auto"/>
              </w:rPr>
            </w:pPr>
            <w:r>
              <w:rPr>
                <w:rFonts w:ascii="Arial" w:cs="Arial" w:eastAsia="Arial" w:hAnsi="Arial"/>
                <w:sz w:val="14"/>
                <w:szCs w:val="14"/>
                <w:b w:val="1"/>
                <w:bCs w:val="1"/>
                <w:color w:val="auto"/>
              </w:rPr>
              <w:t>Unobservable Inputs</w:t>
            </w: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2220" w:type="dxa"/>
            <w:vAlign w:val="bottom"/>
            <w:tcBorders>
              <w:bottom w:val="single" w:sz="8" w:color="CCEEFF"/>
            </w:tcBorders>
          </w:tcPr>
          <w:p>
            <w:pPr>
              <w:spacing w:after="0"/>
              <w:rPr>
                <w:sz w:val="24"/>
                <w:szCs w:val="24"/>
                <w:color w:val="auto"/>
              </w:rPr>
            </w:pPr>
          </w:p>
        </w:tc>
        <w:tc>
          <w:tcPr>
            <w:tcW w:w="288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b w:val="1"/>
                <w:bCs w:val="1"/>
                <w:color w:val="auto"/>
                <w:w w:val="99"/>
              </w:rPr>
              <w:t>Valuation Technique</w:t>
            </w:r>
          </w:p>
        </w:tc>
        <w:tc>
          <w:tcPr>
            <w:tcW w:w="120" w:type="dxa"/>
            <w:vAlign w:val="bottom"/>
            <w:tcBorders>
              <w:bottom w:val="single" w:sz="8" w:color="CCEEFF"/>
            </w:tcBorders>
          </w:tcPr>
          <w:p>
            <w:pPr>
              <w:spacing w:after="0"/>
              <w:rPr>
                <w:sz w:val="24"/>
                <w:szCs w:val="24"/>
                <w:color w:val="auto"/>
              </w:rPr>
            </w:pPr>
          </w:p>
        </w:tc>
        <w:tc>
          <w:tcPr>
            <w:tcW w:w="408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b w:val="1"/>
                <w:bCs w:val="1"/>
                <w:color w:val="auto"/>
                <w:w w:val="99"/>
              </w:rPr>
              <w:t>Unobservable Inputs</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center"/>
              <w:ind w:left="429"/>
              <w:spacing w:after="0"/>
              <w:rPr>
                <w:sz w:val="20"/>
                <w:szCs w:val="20"/>
                <w:color w:val="auto"/>
              </w:rPr>
            </w:pPr>
            <w:r>
              <w:rPr>
                <w:rFonts w:ascii="Arial" w:cs="Arial" w:eastAsia="Arial" w:hAnsi="Arial"/>
                <w:sz w:val="14"/>
                <w:szCs w:val="14"/>
                <w:b w:val="1"/>
                <w:bCs w:val="1"/>
                <w:color w:val="auto"/>
              </w:rPr>
              <w:t>Range of Inputs</w:t>
            </w:r>
          </w:p>
        </w:tc>
        <w:tc>
          <w:tcPr>
            <w:tcW w:w="0" w:type="dxa"/>
            <w:vAlign w:val="bottom"/>
          </w:tcPr>
          <w:p>
            <w:pPr>
              <w:spacing w:after="0"/>
              <w:rPr>
                <w:sz w:val="1"/>
                <w:szCs w:val="1"/>
                <w:color w:val="auto"/>
              </w:rPr>
            </w:pPr>
          </w:p>
        </w:tc>
      </w:tr>
      <w:tr>
        <w:trPr>
          <w:trHeight w:val="144"/>
        </w:trPr>
        <w:tc>
          <w:tcPr>
            <w:tcW w:w="2220" w:type="dxa"/>
            <w:vAlign w:val="bottom"/>
            <w:vMerge w:val="restart"/>
            <w:shd w:val="clear" w:color="auto" w:fill="CCEEFF"/>
          </w:tcPr>
          <w:p>
            <w:pPr>
              <w:ind w:left="340"/>
              <w:spacing w:after="0"/>
              <w:rPr>
                <w:sz w:val="20"/>
                <w:szCs w:val="20"/>
                <w:color w:val="auto"/>
              </w:rPr>
            </w:pPr>
            <w:r>
              <w:rPr>
                <w:rFonts w:ascii="Arial" w:cs="Arial" w:eastAsia="Arial" w:hAnsi="Arial"/>
                <w:sz w:val="14"/>
                <w:szCs w:val="14"/>
                <w:color w:val="auto"/>
              </w:rPr>
              <w:t>Impaired Loans</w:t>
            </w:r>
          </w:p>
        </w:tc>
        <w:tc>
          <w:tcPr>
            <w:tcW w:w="3000" w:type="dxa"/>
            <w:vAlign w:val="bottom"/>
            <w:gridSpan w:val="2"/>
            <w:shd w:val="clear" w:color="auto" w:fill="CCEEFF"/>
          </w:tcPr>
          <w:p>
            <w:pPr>
              <w:jc w:val="center"/>
              <w:ind w:left="129"/>
              <w:spacing w:after="0" w:line="144" w:lineRule="exact"/>
              <w:rPr>
                <w:sz w:val="20"/>
                <w:szCs w:val="20"/>
                <w:color w:val="auto"/>
              </w:rPr>
            </w:pPr>
            <w:r>
              <w:rPr>
                <w:rFonts w:ascii="Arial" w:cs="Arial" w:eastAsia="Arial" w:hAnsi="Arial"/>
                <w:sz w:val="14"/>
                <w:szCs w:val="14"/>
                <w:color w:val="auto"/>
              </w:rPr>
              <w:t>Appraised Value/Discounted Cash</w:t>
            </w:r>
          </w:p>
        </w:tc>
        <w:tc>
          <w:tcPr>
            <w:tcW w:w="4200" w:type="dxa"/>
            <w:vAlign w:val="bottom"/>
            <w:gridSpan w:val="2"/>
            <w:shd w:val="clear" w:color="auto" w:fill="CCEEFF"/>
          </w:tcPr>
          <w:p>
            <w:pPr>
              <w:jc w:val="center"/>
              <w:ind w:left="109"/>
              <w:spacing w:after="0" w:line="144" w:lineRule="exact"/>
              <w:rPr>
                <w:sz w:val="20"/>
                <w:szCs w:val="20"/>
                <w:color w:val="auto"/>
              </w:rPr>
            </w:pPr>
            <w:r>
              <w:rPr>
                <w:rFonts w:ascii="Arial" w:cs="Arial" w:eastAsia="Arial" w:hAnsi="Arial"/>
                <w:sz w:val="14"/>
                <w:szCs w:val="14"/>
                <w:color w:val="auto"/>
              </w:rPr>
              <w:t>Discounts to appraisals or cash flows for estimated holding</w:t>
            </w:r>
          </w:p>
        </w:tc>
        <w:tc>
          <w:tcPr>
            <w:tcW w:w="1600" w:type="dxa"/>
            <w:vAlign w:val="bottom"/>
            <w:vMerge w:val="restart"/>
            <w:shd w:val="clear" w:color="auto" w:fill="CCEEFF"/>
          </w:tcPr>
          <w:p>
            <w:pPr>
              <w:jc w:val="center"/>
              <w:ind w:left="429"/>
              <w:spacing w:after="0"/>
              <w:rPr>
                <w:sz w:val="20"/>
                <w:szCs w:val="20"/>
                <w:color w:val="auto"/>
              </w:rPr>
            </w:pPr>
            <w:r>
              <w:rPr>
                <w:rFonts w:ascii="Arial" w:cs="Arial" w:eastAsia="Arial" w:hAnsi="Arial"/>
                <w:sz w:val="14"/>
                <w:szCs w:val="14"/>
                <w:color w:val="auto"/>
                <w:w w:val="98"/>
              </w:rPr>
              <w:t>11 to 25%</w:t>
            </w:r>
          </w:p>
        </w:tc>
        <w:tc>
          <w:tcPr>
            <w:tcW w:w="0" w:type="dxa"/>
            <w:vAlign w:val="bottom"/>
          </w:tcPr>
          <w:p>
            <w:pPr>
              <w:spacing w:after="0"/>
              <w:rPr>
                <w:sz w:val="1"/>
                <w:szCs w:val="1"/>
                <w:color w:val="auto"/>
              </w:rPr>
            </w:pPr>
          </w:p>
        </w:tc>
      </w:tr>
      <w:tr>
        <w:trPr>
          <w:trHeight w:val="168"/>
        </w:trPr>
        <w:tc>
          <w:tcPr>
            <w:tcW w:w="2220" w:type="dxa"/>
            <w:vAlign w:val="bottom"/>
            <w:vMerge w:val="continue"/>
            <w:shd w:val="clear" w:color="auto" w:fill="CCEEFF"/>
          </w:tcPr>
          <w:p>
            <w:pPr>
              <w:spacing w:after="0"/>
              <w:rPr>
                <w:sz w:val="14"/>
                <w:szCs w:val="14"/>
                <w:color w:val="auto"/>
              </w:rPr>
            </w:pPr>
          </w:p>
        </w:tc>
        <w:tc>
          <w:tcPr>
            <w:tcW w:w="300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Flows</w:t>
            </w:r>
          </w:p>
        </w:tc>
        <w:tc>
          <w:tcPr>
            <w:tcW w:w="42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and/or selling costs</w:t>
            </w:r>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220" w:type="dxa"/>
            <w:vAlign w:val="bottom"/>
            <w:vMerge w:val="restart"/>
          </w:tcPr>
          <w:p>
            <w:pPr>
              <w:ind w:left="340"/>
              <w:spacing w:after="0"/>
              <w:rPr>
                <w:sz w:val="20"/>
                <w:szCs w:val="20"/>
                <w:color w:val="auto"/>
              </w:rPr>
            </w:pPr>
            <w:r>
              <w:rPr>
                <w:rFonts w:ascii="Arial" w:cs="Arial" w:eastAsia="Arial" w:hAnsi="Arial"/>
                <w:sz w:val="14"/>
                <w:szCs w:val="14"/>
                <w:color w:val="auto"/>
              </w:rPr>
              <w:t>Foreclosed Real Estate</w:t>
            </w:r>
          </w:p>
        </w:tc>
        <w:tc>
          <w:tcPr>
            <w:tcW w:w="3000" w:type="dxa"/>
            <w:vAlign w:val="bottom"/>
            <w:gridSpan w:val="2"/>
            <w:vMerge w:val="restart"/>
          </w:tcPr>
          <w:p>
            <w:pPr>
              <w:jc w:val="center"/>
              <w:ind w:left="129"/>
              <w:spacing w:after="0"/>
              <w:rPr>
                <w:sz w:val="20"/>
                <w:szCs w:val="20"/>
                <w:color w:val="auto"/>
              </w:rPr>
            </w:pPr>
            <w:r>
              <w:rPr>
                <w:rFonts w:ascii="Arial" w:cs="Arial" w:eastAsia="Arial" w:hAnsi="Arial"/>
                <w:sz w:val="14"/>
                <w:szCs w:val="14"/>
                <w:color w:val="auto"/>
              </w:rPr>
              <w:t>Appraised Value/Comparable Sales</w:t>
            </w:r>
          </w:p>
        </w:tc>
        <w:tc>
          <w:tcPr>
            <w:tcW w:w="4200" w:type="dxa"/>
            <w:vAlign w:val="bottom"/>
            <w:gridSpan w:val="2"/>
          </w:tcPr>
          <w:p>
            <w:pPr>
              <w:jc w:val="center"/>
              <w:ind w:left="109"/>
              <w:spacing w:after="0" w:line="151" w:lineRule="exact"/>
              <w:rPr>
                <w:sz w:val="20"/>
                <w:szCs w:val="20"/>
                <w:color w:val="auto"/>
              </w:rPr>
            </w:pPr>
            <w:r>
              <w:rPr>
                <w:rFonts w:ascii="Arial" w:cs="Arial" w:eastAsia="Arial" w:hAnsi="Arial"/>
                <w:sz w:val="14"/>
                <w:szCs w:val="14"/>
                <w:color w:val="auto"/>
              </w:rPr>
              <w:t>Discounts to appraisals for estimated holding and/or selling</w:t>
            </w:r>
          </w:p>
        </w:tc>
        <w:tc>
          <w:tcPr>
            <w:tcW w:w="1600" w:type="dxa"/>
            <w:vAlign w:val="bottom"/>
            <w:vMerge w:val="restart"/>
          </w:tcPr>
          <w:p>
            <w:pPr>
              <w:jc w:val="center"/>
              <w:ind w:left="429"/>
              <w:spacing w:after="0"/>
              <w:rPr>
                <w:sz w:val="20"/>
                <w:szCs w:val="20"/>
                <w:color w:val="auto"/>
              </w:rPr>
            </w:pPr>
            <w:r>
              <w:rPr>
                <w:rFonts w:ascii="Arial" w:cs="Arial" w:eastAsia="Arial" w:hAnsi="Arial"/>
                <w:sz w:val="14"/>
                <w:szCs w:val="14"/>
                <w:color w:val="auto"/>
                <w:w w:val="98"/>
              </w:rPr>
              <w:t>11 to 25%</w:t>
            </w:r>
          </w:p>
        </w:tc>
        <w:tc>
          <w:tcPr>
            <w:tcW w:w="0" w:type="dxa"/>
            <w:vAlign w:val="bottom"/>
          </w:tcPr>
          <w:p>
            <w:pPr>
              <w:spacing w:after="0"/>
              <w:rPr>
                <w:sz w:val="1"/>
                <w:szCs w:val="1"/>
                <w:color w:val="auto"/>
              </w:rPr>
            </w:pPr>
          </w:p>
        </w:tc>
      </w:tr>
      <w:tr>
        <w:trPr>
          <w:trHeight w:val="170"/>
        </w:trPr>
        <w:tc>
          <w:tcPr>
            <w:tcW w:w="2220" w:type="dxa"/>
            <w:vAlign w:val="bottom"/>
            <w:vMerge w:val="continue"/>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4200" w:type="dxa"/>
            <w:vAlign w:val="bottom"/>
            <w:gridSpan w:val="2"/>
          </w:tcPr>
          <w:p>
            <w:pPr>
              <w:jc w:val="center"/>
              <w:ind w:right="140"/>
              <w:spacing w:after="0"/>
              <w:rPr>
                <w:sz w:val="20"/>
                <w:szCs w:val="20"/>
                <w:color w:val="auto"/>
              </w:rPr>
            </w:pPr>
            <w:r>
              <w:rPr>
                <w:rFonts w:ascii="Arial" w:cs="Arial" w:eastAsia="Arial" w:hAnsi="Arial"/>
                <w:sz w:val="14"/>
                <w:szCs w:val="14"/>
                <w:color w:val="auto"/>
              </w:rPr>
              <w:t>costs</w:t>
            </w: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9"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the contractual right or obligation to either receive or deliver cash for another financial instrument.</w:t>
      </w:r>
    </w:p>
    <w:p>
      <w:pPr>
        <w:spacing w:after="0" w:line="208"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information used to determine fair value is highly subjective and judgmental in nature and, therefore, the results may not be precise. Subjective factors include, among other things, estimates of 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spacing w:after="0" w:line="208"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The fair value of the Company’s loan portfolio includes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under the new guidance,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spacing w:after="0" w:line="211"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spacing w:after="0" w:line="203"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fair value of cash and cash equivalents and investments in restricted stocks is the carrying amount. Restricted stock includes equity of the Federal Reserve and other banker’s banks.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noninterest bearing deposits and securities sold under agreements to repurchase is the carrying amount.</w:t>
      </w:r>
    </w:p>
    <w:p>
      <w:pPr>
        <w:spacing w:after="0" w:line="217" w:lineRule="exact"/>
        <w:rPr>
          <w:sz w:val="20"/>
          <w:szCs w:val="20"/>
          <w:color w:val="auto"/>
        </w:rPr>
      </w:pPr>
    </w:p>
    <w:p>
      <w:pPr>
        <w:jc w:val="both"/>
        <w:ind w:right="100" w:firstLine="318"/>
        <w:spacing w:after="0" w:line="280" w:lineRule="auto"/>
        <w:rPr>
          <w:sz w:val="20"/>
          <w:szCs w:val="20"/>
          <w:color w:val="auto"/>
        </w:rPr>
      </w:pPr>
      <w:r>
        <w:rPr>
          <w:rFonts w:ascii="Arial" w:cs="Arial" w:eastAsia="Arial" w:hAnsi="Arial"/>
          <w:sz w:val="17"/>
          <w:szCs w:val="17"/>
          <w:color w:val="auto"/>
        </w:rPr>
        <w:t>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9516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fair value of certificates of deposit in other financial institutions is estimated based on interest rates currently offered for deposits of similar remaining maturities.</w:t>
      </w:r>
    </w:p>
    <w:p>
      <w:pPr>
        <w:spacing w:after="0" w:line="20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fair value of borrowings is estimated by discounting the value of contractual cash flows using current market rates for borrowings with similar terms and remaining maturities.</w:t>
      </w:r>
    </w:p>
    <w:p>
      <w:pPr>
        <w:spacing w:after="0" w:line="20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presents the carrying amount, fair value, and placement in the fair value hierarchy of the Company’s financial instruments.</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Selected Financial Instruments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ind w:left="86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6"/>
                <w:szCs w:val="16"/>
                <w:color w:val="auto"/>
              </w:rPr>
            </w:pPr>
          </w:p>
        </w:tc>
        <w:tc>
          <w:tcPr>
            <w:tcW w:w="2760" w:type="dxa"/>
            <w:vAlign w:val="bottom"/>
            <w:gridSpan w:val="4"/>
          </w:tcPr>
          <w:p>
            <w:pPr>
              <w:jc w:val="right"/>
              <w:ind w:right="729"/>
              <w:spacing w:after="0"/>
              <w:rPr>
                <w:sz w:val="20"/>
                <w:szCs w:val="20"/>
                <w:color w:val="auto"/>
              </w:rPr>
            </w:pPr>
            <w:r>
              <w:rPr>
                <w:rFonts w:ascii="Arial" w:cs="Arial" w:eastAsia="Arial" w:hAnsi="Arial"/>
                <w:sz w:val="14"/>
                <w:szCs w:val="14"/>
                <w:b w:val="1"/>
                <w:bCs w:val="1"/>
                <w:color w:val="auto"/>
              </w:rPr>
              <w:t>December 31, 2020</w:t>
            </w:r>
          </w:p>
        </w:tc>
      </w:tr>
      <w:tr>
        <w:trPr>
          <w:trHeight w:val="179"/>
        </w:trPr>
        <w:tc>
          <w:tcPr>
            <w:tcW w:w="54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Fair Value</w:t>
            </w:r>
          </w:p>
        </w:tc>
      </w:tr>
      <w:tr>
        <w:trPr>
          <w:trHeight w:val="192"/>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185"/>
        </w:trPr>
        <w:tc>
          <w:tcPr>
            <w:tcW w:w="5400" w:type="dxa"/>
            <w:vAlign w:val="bottom"/>
          </w:tcPr>
          <w:p>
            <w:pPr>
              <w:ind w:left="20"/>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6"/>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due from banks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19,691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19,691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18,456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18,456</w:t>
            </w:r>
          </w:p>
        </w:tc>
      </w:tr>
      <w:tr>
        <w:trPr>
          <w:trHeight w:val="185"/>
        </w:trPr>
        <w:tc>
          <w:tcPr>
            <w:tcW w:w="5400" w:type="dxa"/>
            <w:vAlign w:val="bottom"/>
          </w:tcPr>
          <w:p>
            <w:pPr>
              <w:ind w:left="180"/>
              <w:spacing w:after="0"/>
              <w:rPr>
                <w:sz w:val="20"/>
                <w:szCs w:val="20"/>
                <w:color w:val="auto"/>
              </w:rPr>
            </w:pPr>
            <w:r>
              <w:rPr>
                <w:rFonts w:ascii="Arial" w:cs="Arial" w:eastAsia="Arial" w:hAnsi="Arial"/>
                <w:sz w:val="14"/>
                <w:szCs w:val="14"/>
                <w:color w:val="auto"/>
              </w:rPr>
              <w:t>Interest bearing deposits at other financial institutions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286,738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286,738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126,081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126,081</w:t>
            </w:r>
          </w:p>
        </w:tc>
      </w:tr>
      <w:tr>
        <w:trPr>
          <w:trHeight w:val="186"/>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Federal funds sold</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2,373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2,373</w:t>
            </w:r>
          </w:p>
        </w:tc>
      </w:tr>
      <w:tr>
        <w:trPr>
          <w:trHeight w:val="185"/>
        </w:trPr>
        <w:tc>
          <w:tcPr>
            <w:tcW w:w="5400" w:type="dxa"/>
            <w:vAlign w:val="bottom"/>
          </w:tcPr>
          <w:p>
            <w:pPr>
              <w:ind w:left="20"/>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5400" w:type="dxa"/>
            <w:vAlign w:val="bottom"/>
            <w:shd w:val="clear" w:color="auto" w:fill="CCEEFF"/>
          </w:tcPr>
          <w:p>
            <w:pPr>
              <w:ind w:left="180"/>
              <w:spacing w:after="0" w:line="186" w:lineRule="exact"/>
              <w:rPr>
                <w:sz w:val="20"/>
                <w:szCs w:val="20"/>
                <w:color w:val="auto"/>
              </w:rPr>
            </w:pPr>
            <w:r>
              <w:rPr>
                <w:rFonts w:ascii="Arial" w:cs="Arial" w:eastAsia="Arial" w:hAnsi="Arial"/>
                <w:sz w:val="14"/>
                <w:szCs w:val="14"/>
                <w:color w:val="auto"/>
              </w:rPr>
              <w:t xml:space="preserve">Loans receivable, net </w:t>
            </w:r>
            <w:r>
              <w:rPr>
                <w:rFonts w:ascii="Arial" w:cs="Arial" w:eastAsia="Arial" w:hAnsi="Arial"/>
                <w:sz w:val="18"/>
                <w:szCs w:val="1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1,571,155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1,571,749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1,493,086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1,499,073</w:t>
            </w:r>
          </w:p>
        </w:tc>
      </w:tr>
      <w:tr>
        <w:trPr>
          <w:trHeight w:val="186"/>
        </w:trPr>
        <w:tc>
          <w:tcPr>
            <w:tcW w:w="5400" w:type="dxa"/>
            <w:vAlign w:val="bottom"/>
          </w:tcPr>
          <w:p>
            <w:pPr>
              <w:ind w:left="180"/>
              <w:spacing w:after="0"/>
              <w:rPr>
                <w:sz w:val="20"/>
                <w:szCs w:val="20"/>
                <w:color w:val="auto"/>
              </w:rPr>
            </w:pPr>
            <w:r>
              <w:rPr>
                <w:rFonts w:ascii="Arial" w:cs="Arial" w:eastAsia="Arial" w:hAnsi="Arial"/>
                <w:sz w:val="14"/>
                <w:szCs w:val="14"/>
                <w:color w:val="auto"/>
              </w:rPr>
              <w:t>Restricted investments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3,478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3,478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3,713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3,713</w:t>
            </w:r>
          </w:p>
        </w:tc>
      </w:tr>
      <w:tr>
        <w:trPr>
          <w:trHeight w:val="212"/>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2"/>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Level 1</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5400" w:type="dxa"/>
            <w:vAlign w:val="bottom"/>
          </w:tcPr>
          <w:p>
            <w:pPr>
              <w:ind w:left="180"/>
              <w:spacing w:after="0"/>
              <w:rPr>
                <w:sz w:val="20"/>
                <w:szCs w:val="20"/>
                <w:color w:val="auto"/>
              </w:rPr>
            </w:pPr>
            <w:r>
              <w:rPr>
                <w:rFonts w:ascii="Arial" w:cs="Arial" w:eastAsia="Arial" w:hAnsi="Arial"/>
                <w:sz w:val="14"/>
                <w:szCs w:val="14"/>
                <w:color w:val="auto"/>
              </w:rPr>
              <w:t>Noninterest bearing deposits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828,308</w:t>
            </w:r>
          </w:p>
        </w:tc>
        <w:tc>
          <w:tcPr>
            <w:tcW w:w="12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828,308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608,559</w:t>
            </w:r>
          </w:p>
        </w:tc>
        <w:tc>
          <w:tcPr>
            <w:tcW w:w="1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608,559</w:t>
            </w: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Level 3</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5400" w:type="dxa"/>
            <w:vAlign w:val="bottom"/>
          </w:tcPr>
          <w:p>
            <w:pPr>
              <w:ind w:left="180"/>
              <w:spacing w:after="0"/>
              <w:rPr>
                <w:sz w:val="20"/>
                <w:szCs w:val="20"/>
                <w:color w:val="auto"/>
              </w:rPr>
            </w:pPr>
            <w:r>
              <w:rPr>
                <w:rFonts w:ascii="Arial" w:cs="Arial" w:eastAsia="Arial" w:hAnsi="Arial"/>
                <w:sz w:val="14"/>
                <w:szCs w:val="14"/>
                <w:color w:val="auto"/>
              </w:rPr>
              <w:t>Interest bearing deposits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1,089,111</w:t>
            </w:r>
          </w:p>
        </w:tc>
        <w:tc>
          <w:tcPr>
            <w:tcW w:w="12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1,092,152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1,043,569</w:t>
            </w:r>
          </w:p>
        </w:tc>
        <w:tc>
          <w:tcPr>
            <w:tcW w:w="1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1,048,728</w:t>
            </w:r>
          </w:p>
        </w:tc>
      </w:tr>
      <w:tr>
        <w:trPr>
          <w:trHeight w:val="185"/>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FHLB advances and other borrowed funds</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34,062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34,685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36,016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37,067</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ind w:left="240" w:hanging="234"/>
        <w:spacing w:after="0" w:line="206" w:lineRule="auto"/>
        <w:tabs>
          <w:tab w:leader="none" w:pos="2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SBA-PPP loans and portfolio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9 -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32" w:lineRule="auto"/>
        <w:rPr>
          <w:sz w:val="20"/>
          <w:szCs w:val="20"/>
          <w:color w:val="auto"/>
        </w:rPr>
      </w:pPr>
      <w:r>
        <w:rPr>
          <w:rFonts w:ascii="Arial" w:cs="Arial" w:eastAsia="Arial" w:hAnsi="Arial"/>
          <w:sz w:val="18"/>
          <w:szCs w:val="18"/>
          <w:color w:val="auto"/>
        </w:rPr>
        <w:t>The Company’s reportable segments represent product line divisions and are viewed separately for strategic planning purposes by management. The four segments include Commercial Banking, Capital Bank Home Loans (the Company’s mortgage loan division),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(the Company’s credit card division) and the Corporate Office. The following schedule presents financial information for each reportable segment at June 30, 2021 and June 30, 2020.</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Segments</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8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For the Three Months Ended June 30, 2021</w:t>
            </w:r>
          </w:p>
        </w:tc>
        <w:tc>
          <w:tcPr>
            <w:tcW w:w="50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gridSpan w:val="3"/>
          </w:tcPr>
          <w:p>
            <w:pPr>
              <w:ind w:left="40"/>
              <w:spacing w:after="0" w:line="152" w:lineRule="exact"/>
              <w:rPr>
                <w:sz w:val="20"/>
                <w:szCs w:val="20"/>
                <w:color w:val="auto"/>
              </w:rPr>
            </w:pPr>
            <w:r>
              <w:rPr>
                <w:rFonts w:ascii="Arial" w:cs="Arial" w:eastAsia="Arial" w:hAnsi="Arial"/>
                <w:sz w:val="14"/>
                <w:szCs w:val="14"/>
                <w:b w:val="1"/>
                <w:bCs w:val="1"/>
                <w:color w:val="auto"/>
              </w:rPr>
              <w:t>Commercial</w:t>
            </w:r>
          </w:p>
        </w:tc>
        <w:tc>
          <w:tcPr>
            <w:tcW w:w="52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CBHL</w:t>
            </w:r>
          </w:p>
        </w:tc>
        <w:tc>
          <w:tcPr>
            <w:tcW w:w="460" w:type="dxa"/>
            <w:vAlign w:val="bottom"/>
          </w:tcPr>
          <w:p>
            <w:pPr>
              <w:spacing w:after="0"/>
              <w:rPr>
                <w:sz w:val="13"/>
                <w:szCs w:val="13"/>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OpenSky</w:t>
            </w:r>
            <w:r>
              <w:rPr>
                <w:rFonts w:ascii="Arial" w:cs="Arial" w:eastAsia="Arial" w:hAnsi="Arial"/>
                <w:sz w:val="18"/>
                <w:szCs w:val="18"/>
                <w:b w:val="1"/>
                <w:bCs w:val="1"/>
                <w:color w:val="auto"/>
                <w:vertAlign w:val="superscript"/>
              </w:rPr>
              <w:t>®</w:t>
            </w:r>
          </w:p>
        </w:tc>
        <w:tc>
          <w:tcPr>
            <w:tcW w:w="46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Corporate</w:t>
            </w:r>
          </w:p>
        </w:tc>
        <w:tc>
          <w:tcPr>
            <w:tcW w:w="44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Consolidate</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1"/>
                <w:szCs w:val="11"/>
                <w:color w:val="auto"/>
              </w:rPr>
              <w:t>(in thousands)</w:t>
            </w:r>
          </w:p>
        </w:tc>
        <w:tc>
          <w:tcPr>
            <w:tcW w:w="460" w:type="dxa"/>
            <w:vAlign w:val="bottom"/>
          </w:tcPr>
          <w:p>
            <w:pPr>
              <w:spacing w:after="0"/>
              <w:rPr>
                <w:sz w:val="14"/>
                <w:szCs w:val="14"/>
                <w:color w:val="auto"/>
              </w:rPr>
            </w:pPr>
          </w:p>
        </w:tc>
        <w:tc>
          <w:tcPr>
            <w:tcW w:w="1140" w:type="dxa"/>
            <w:vAlign w:val="bottom"/>
            <w:gridSpan w:val="3"/>
          </w:tcPr>
          <w:p>
            <w:pPr>
              <w:ind w:left="120"/>
              <w:spacing w:after="0"/>
              <w:rPr>
                <w:sz w:val="20"/>
                <w:szCs w:val="20"/>
                <w:color w:val="auto"/>
              </w:rPr>
            </w:pPr>
            <w:r>
              <w:rPr>
                <w:rFonts w:ascii="Arial" w:cs="Arial" w:eastAsia="Arial" w:hAnsi="Arial"/>
                <w:sz w:val="14"/>
                <w:szCs w:val="14"/>
                <w:b w:val="1"/>
                <w:bCs w:val="1"/>
                <w:color w:val="auto"/>
              </w:rPr>
              <w:t>Bank</w:t>
            </w:r>
          </w:p>
        </w:tc>
        <w:tc>
          <w:tcPr>
            <w:tcW w:w="5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17,297</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313</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11,114</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600</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29,2</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Interest expense</w:t>
            </w:r>
          </w:p>
        </w:tc>
        <w:tc>
          <w:tcPr>
            <w:tcW w:w="4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1,413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221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170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79"/>
        </w:trPr>
        <w:tc>
          <w:tcPr>
            <w:tcW w:w="34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4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15,884</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92</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11,114</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430</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27,5</w:t>
            </w:r>
          </w:p>
        </w:tc>
        <w:tc>
          <w:tcPr>
            <w:tcW w:w="0" w:type="dxa"/>
            <w:vAlign w:val="bottom"/>
          </w:tcPr>
          <w:p>
            <w:pPr>
              <w:spacing w:after="0"/>
              <w:rPr>
                <w:sz w:val="1"/>
                <w:szCs w:val="1"/>
                <w:color w:val="auto"/>
              </w:rPr>
            </w:pPr>
          </w:p>
        </w:tc>
      </w:tr>
      <w:tr>
        <w:trPr>
          <w:trHeight w:val="185"/>
        </w:trPr>
        <w:tc>
          <w:tcPr>
            <w:tcW w:w="34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Provision for loan losses</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349</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26"/>
        </w:trPr>
        <w:tc>
          <w:tcPr>
            <w:tcW w:w="340" w:type="dxa"/>
            <w:vAlign w:val="bottom"/>
            <w:shd w:val="clear" w:color="auto" w:fill="CCEEFF"/>
          </w:tcPr>
          <w:p>
            <w:pPr>
              <w:spacing w:after="0"/>
              <w:rPr>
                <w:sz w:val="10"/>
                <w:szCs w:val="10"/>
                <w:color w:val="auto"/>
              </w:rPr>
            </w:pPr>
          </w:p>
        </w:tc>
        <w:tc>
          <w:tcPr>
            <w:tcW w:w="1780" w:type="dxa"/>
            <w:vAlign w:val="bottom"/>
            <w:shd w:val="clear" w:color="auto" w:fill="CCEEFF"/>
          </w:tcPr>
          <w:p>
            <w:pPr>
              <w:ind w:left="120"/>
              <w:spacing w:after="0" w:line="126" w:lineRule="exact"/>
              <w:rPr>
                <w:sz w:val="20"/>
                <w:szCs w:val="20"/>
                <w:color w:val="auto"/>
              </w:rPr>
            </w:pPr>
            <w:r>
              <w:rPr>
                <w:rFonts w:ascii="Arial" w:cs="Arial" w:eastAsia="Arial" w:hAnsi="Arial"/>
                <w:sz w:val="14"/>
                <w:szCs w:val="14"/>
                <w:b w:val="1"/>
                <w:bCs w:val="1"/>
                <w:color w:val="auto"/>
              </w:rPr>
              <w:t>Net interest income</w:t>
            </w:r>
          </w:p>
        </w:tc>
        <w:tc>
          <w:tcPr>
            <w:tcW w:w="4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15,535</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92</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10,682</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430</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26,7</w:t>
            </w:r>
          </w:p>
        </w:tc>
        <w:tc>
          <w:tcPr>
            <w:tcW w:w="0" w:type="dxa"/>
            <w:vAlign w:val="bottom"/>
          </w:tcPr>
          <w:p>
            <w:pPr>
              <w:spacing w:after="0"/>
              <w:rPr>
                <w:sz w:val="1"/>
                <w:szCs w:val="1"/>
                <w:color w:val="auto"/>
              </w:rPr>
            </w:pPr>
          </w:p>
        </w:tc>
      </w:tr>
      <w:tr>
        <w:trPr>
          <w:trHeight w:val="172"/>
        </w:trPr>
        <w:tc>
          <w:tcPr>
            <w:tcW w:w="21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after provision</w:t>
            </w:r>
          </w:p>
        </w:tc>
        <w:tc>
          <w:tcPr>
            <w:tcW w:w="4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Noninterest income</w:t>
            </w:r>
          </w:p>
        </w:tc>
        <w:tc>
          <w:tcPr>
            <w:tcW w:w="4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260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5,454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7,715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13,4</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4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10,489</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3,283</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13,328</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105</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27,2</w:t>
            </w: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1780" w:type="dxa"/>
            <w:vAlign w:val="bottom"/>
          </w:tcPr>
          <w:p>
            <w:pPr>
              <w:ind w:left="120"/>
              <w:spacing w:after="0" w:line="126" w:lineRule="exact"/>
              <w:rPr>
                <w:sz w:val="20"/>
                <w:szCs w:val="20"/>
                <w:color w:val="auto"/>
              </w:rPr>
            </w:pPr>
            <w:r>
              <w:rPr>
                <w:rFonts w:ascii="Arial" w:cs="Arial" w:eastAsia="Arial" w:hAnsi="Arial"/>
                <w:sz w:val="14"/>
                <w:szCs w:val="14"/>
                <w:b w:val="1"/>
                <w:bCs w:val="1"/>
                <w:color w:val="auto"/>
              </w:rPr>
              <w:t>Net income before</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5,306</w:t>
            </w:r>
          </w:p>
        </w:tc>
        <w:tc>
          <w:tcPr>
            <w:tcW w:w="100" w:type="dxa"/>
            <w:vAlign w:val="bottom"/>
          </w:tcPr>
          <w:p>
            <w:pPr>
              <w:spacing w:after="0"/>
              <w:rPr>
                <w:sz w:val="10"/>
                <w:szCs w:val="10"/>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2,263</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5,069</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367</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13,0</w:t>
            </w:r>
          </w:p>
        </w:tc>
        <w:tc>
          <w:tcPr>
            <w:tcW w:w="0" w:type="dxa"/>
            <w:vAlign w:val="bottom"/>
          </w:tcPr>
          <w:p>
            <w:pPr>
              <w:spacing w:after="0"/>
              <w:rPr>
                <w:sz w:val="1"/>
                <w:szCs w:val="1"/>
                <w:color w:val="auto"/>
              </w:rPr>
            </w:pPr>
          </w:p>
        </w:tc>
      </w:tr>
      <w:tr>
        <w:trPr>
          <w:trHeight w:val="146"/>
        </w:trPr>
        <w:tc>
          <w:tcPr>
            <w:tcW w:w="2120" w:type="dxa"/>
            <w:vAlign w:val="bottom"/>
            <w:gridSpan w:val="2"/>
          </w:tcPr>
          <w:p>
            <w:pPr>
              <w:ind w:left="140"/>
              <w:spacing w:after="0" w:line="146" w:lineRule="exact"/>
              <w:rPr>
                <w:sz w:val="20"/>
                <w:szCs w:val="20"/>
                <w:color w:val="auto"/>
              </w:rPr>
            </w:pPr>
            <w:r>
              <w:rPr>
                <w:rFonts w:ascii="Arial" w:cs="Arial" w:eastAsia="Arial" w:hAnsi="Arial"/>
                <w:sz w:val="14"/>
                <w:szCs w:val="14"/>
                <w:b w:val="1"/>
                <w:bCs w:val="1"/>
                <w:color w:val="auto"/>
              </w:rPr>
              <w:t>taxes</w:t>
            </w:r>
          </w:p>
        </w:tc>
        <w:tc>
          <w:tcPr>
            <w:tcW w:w="4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1,943,106</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49,110</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128,009</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197,071</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(165,446)</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2,151,8</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2880" w:type="dxa"/>
            <w:vAlign w:val="bottom"/>
            <w:tcBorders>
              <w:bottom w:val="single" w:sz="8" w:color="auto"/>
            </w:tcBorders>
            <w:gridSpan w:val="3"/>
          </w:tcPr>
          <w:p>
            <w:pPr>
              <w:spacing w:after="0" w:line="159" w:lineRule="exact"/>
              <w:rPr>
                <w:sz w:val="20"/>
                <w:szCs w:val="20"/>
                <w:color w:val="auto"/>
              </w:rPr>
            </w:pPr>
            <w:r>
              <w:rPr>
                <w:rFonts w:ascii="Arial" w:cs="Arial" w:eastAsia="Arial" w:hAnsi="Arial"/>
                <w:sz w:val="14"/>
                <w:szCs w:val="14"/>
                <w:b w:val="1"/>
                <w:bCs w:val="1"/>
                <w:color w:val="auto"/>
              </w:rPr>
              <w:t>For the Three Months Ended June 30, 2020</w:t>
            </w:r>
          </w:p>
        </w:tc>
        <w:tc>
          <w:tcPr>
            <w:tcW w:w="50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16,345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85"/>
        </w:trPr>
        <w:tc>
          <w:tcPr>
            <w:tcW w:w="34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Interest expense</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2,735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387</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9"/>
        </w:trPr>
        <w:tc>
          <w:tcPr>
            <w:tcW w:w="340" w:type="dxa"/>
            <w:vAlign w:val="bottom"/>
            <w:shd w:val="clear" w:color="auto" w:fill="CCEEFF"/>
          </w:tcPr>
          <w:p>
            <w:pPr>
              <w:spacing w:after="0"/>
              <w:rPr>
                <w:sz w:val="15"/>
                <w:szCs w:val="15"/>
                <w:color w:val="auto"/>
              </w:rPr>
            </w:pPr>
          </w:p>
        </w:tc>
        <w:tc>
          <w:tcPr>
            <w:tcW w:w="1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4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13,610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25"/>
        </w:trPr>
        <w:tc>
          <w:tcPr>
            <w:tcW w:w="34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Provision for loan losses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3,083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26"/>
        </w:trPr>
        <w:tc>
          <w:tcPr>
            <w:tcW w:w="340" w:type="dxa"/>
            <w:vAlign w:val="bottom"/>
            <w:shd w:val="clear" w:color="auto" w:fill="CCEEFF"/>
          </w:tcPr>
          <w:p>
            <w:pPr>
              <w:spacing w:after="0"/>
              <w:rPr>
                <w:sz w:val="10"/>
                <w:szCs w:val="10"/>
                <w:color w:val="auto"/>
              </w:rPr>
            </w:pPr>
          </w:p>
        </w:tc>
        <w:tc>
          <w:tcPr>
            <w:tcW w:w="1780" w:type="dxa"/>
            <w:vAlign w:val="bottom"/>
            <w:shd w:val="clear" w:color="auto" w:fill="CCEEFF"/>
          </w:tcPr>
          <w:p>
            <w:pPr>
              <w:ind w:left="120"/>
              <w:spacing w:after="0" w:line="126" w:lineRule="exact"/>
              <w:rPr>
                <w:sz w:val="20"/>
                <w:szCs w:val="20"/>
                <w:color w:val="auto"/>
              </w:rPr>
            </w:pPr>
            <w:r>
              <w:rPr>
                <w:rFonts w:ascii="Arial" w:cs="Arial" w:eastAsia="Arial" w:hAnsi="Arial"/>
                <w:sz w:val="14"/>
                <w:szCs w:val="14"/>
                <w:b w:val="1"/>
                <w:bCs w:val="1"/>
                <w:color w:val="auto"/>
              </w:rPr>
              <w:t>Net interest income</w:t>
            </w:r>
          </w:p>
        </w:tc>
        <w:tc>
          <w:tcPr>
            <w:tcW w:w="4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10,527</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4,158</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72"/>
        </w:trPr>
        <w:tc>
          <w:tcPr>
            <w:tcW w:w="21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after provision</w:t>
            </w:r>
          </w:p>
        </w:tc>
        <w:tc>
          <w:tcPr>
            <w:tcW w:w="4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Noninterest income</w:t>
            </w:r>
          </w:p>
        </w:tc>
        <w:tc>
          <w:tcPr>
            <w:tcW w:w="4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8,004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2,913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4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8,188</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4,475</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7,144</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1780" w:type="dxa"/>
            <w:vAlign w:val="bottom"/>
          </w:tcPr>
          <w:p>
            <w:pPr>
              <w:ind w:left="120"/>
              <w:spacing w:after="0" w:line="126" w:lineRule="exact"/>
              <w:rPr>
                <w:sz w:val="20"/>
                <w:szCs w:val="20"/>
                <w:color w:val="auto"/>
              </w:rPr>
            </w:pPr>
            <w:r>
              <w:rPr>
                <w:rFonts w:ascii="Arial" w:cs="Arial" w:eastAsia="Arial" w:hAnsi="Arial"/>
                <w:sz w:val="14"/>
                <w:szCs w:val="14"/>
                <w:b w:val="1"/>
                <w:bCs w:val="1"/>
                <w:color w:val="auto"/>
              </w:rPr>
              <w:t>Net income before</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2,522</w:t>
            </w:r>
          </w:p>
        </w:tc>
        <w:tc>
          <w:tcPr>
            <w:tcW w:w="100" w:type="dxa"/>
            <w:vAlign w:val="bottom"/>
          </w:tcPr>
          <w:p>
            <w:pPr>
              <w:spacing w:after="0"/>
              <w:rPr>
                <w:sz w:val="10"/>
                <w:szCs w:val="10"/>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3,832</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6"/>
        </w:trPr>
        <w:tc>
          <w:tcPr>
            <w:tcW w:w="2120" w:type="dxa"/>
            <w:vAlign w:val="bottom"/>
            <w:gridSpan w:val="2"/>
          </w:tcPr>
          <w:p>
            <w:pPr>
              <w:ind w:left="140"/>
              <w:spacing w:after="0" w:line="146" w:lineRule="exact"/>
              <w:rPr>
                <w:sz w:val="20"/>
                <w:szCs w:val="20"/>
                <w:color w:val="auto"/>
              </w:rPr>
            </w:pPr>
            <w:r>
              <w:rPr>
                <w:rFonts w:ascii="Arial" w:cs="Arial" w:eastAsia="Arial" w:hAnsi="Arial"/>
                <w:sz w:val="14"/>
                <w:szCs w:val="14"/>
                <w:b w:val="1"/>
                <w:bCs w:val="1"/>
                <w:color w:val="auto"/>
              </w:rPr>
              <w:t>taxes</w:t>
            </w:r>
          </w:p>
        </w:tc>
        <w:tc>
          <w:tcPr>
            <w:tcW w:w="4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1,608,651</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118,026</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62,823</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164,459</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(131,594)</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1,822,3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37" w:name="page38"/>
    <w:bookmarkEnd w:id="37"/>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-173990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For the Six Months Ended June 30, 2021</w:t>
            </w:r>
          </w:p>
        </w:tc>
        <w:tc>
          <w:tcPr>
            <w:tcW w:w="6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gridSpan w:val="3"/>
          </w:tcPr>
          <w:p>
            <w:pPr>
              <w:ind w:left="40"/>
              <w:spacing w:after="0" w:line="152" w:lineRule="exact"/>
              <w:rPr>
                <w:sz w:val="20"/>
                <w:szCs w:val="20"/>
                <w:color w:val="auto"/>
              </w:rPr>
            </w:pPr>
            <w:r>
              <w:rPr>
                <w:rFonts w:ascii="Arial" w:cs="Arial" w:eastAsia="Arial" w:hAnsi="Arial"/>
                <w:sz w:val="14"/>
                <w:szCs w:val="14"/>
                <w:b w:val="1"/>
                <w:bCs w:val="1"/>
                <w:color w:val="auto"/>
              </w:rPr>
              <w:t>Commercial</w:t>
            </w:r>
          </w:p>
        </w:tc>
        <w:tc>
          <w:tcPr>
            <w:tcW w:w="52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CBHL</w:t>
            </w:r>
          </w:p>
        </w:tc>
        <w:tc>
          <w:tcPr>
            <w:tcW w:w="460" w:type="dxa"/>
            <w:vAlign w:val="bottom"/>
          </w:tcPr>
          <w:p>
            <w:pPr>
              <w:spacing w:after="0"/>
              <w:rPr>
                <w:sz w:val="13"/>
                <w:szCs w:val="13"/>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OpenSky</w:t>
            </w:r>
            <w:r>
              <w:rPr>
                <w:rFonts w:ascii="Arial" w:cs="Arial" w:eastAsia="Arial" w:hAnsi="Arial"/>
                <w:sz w:val="18"/>
                <w:szCs w:val="18"/>
                <w:b w:val="1"/>
                <w:bCs w:val="1"/>
                <w:color w:val="auto"/>
                <w:vertAlign w:val="superscript"/>
              </w:rPr>
              <w:t>®</w:t>
            </w:r>
          </w:p>
        </w:tc>
        <w:tc>
          <w:tcPr>
            <w:tcW w:w="46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Corporate</w:t>
            </w:r>
          </w:p>
        </w:tc>
        <w:tc>
          <w:tcPr>
            <w:tcW w:w="44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4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Arial" w:cs="Arial" w:eastAsia="Arial" w:hAnsi="Arial"/>
                <w:sz w:val="11"/>
                <w:szCs w:val="11"/>
                <w:color w:val="auto"/>
              </w:rPr>
              <w:t>(in thousands)</w:t>
            </w:r>
          </w:p>
        </w:tc>
        <w:tc>
          <w:tcPr>
            <w:tcW w:w="460" w:type="dxa"/>
            <w:vAlign w:val="bottom"/>
          </w:tcPr>
          <w:p>
            <w:pPr>
              <w:spacing w:after="0"/>
              <w:rPr>
                <w:sz w:val="14"/>
                <w:szCs w:val="14"/>
                <w:color w:val="auto"/>
              </w:rPr>
            </w:pPr>
          </w:p>
        </w:tc>
        <w:tc>
          <w:tcPr>
            <w:tcW w:w="1140" w:type="dxa"/>
            <w:vAlign w:val="bottom"/>
            <w:gridSpan w:val="3"/>
          </w:tcPr>
          <w:p>
            <w:pPr>
              <w:ind w:left="120"/>
              <w:spacing w:after="0"/>
              <w:rPr>
                <w:sz w:val="20"/>
                <w:szCs w:val="20"/>
                <w:color w:val="auto"/>
              </w:rPr>
            </w:pPr>
            <w:r>
              <w:rPr>
                <w:rFonts w:ascii="Arial" w:cs="Arial" w:eastAsia="Arial" w:hAnsi="Arial"/>
                <w:sz w:val="14"/>
                <w:szCs w:val="14"/>
                <w:b w:val="1"/>
                <w:bCs w:val="1"/>
                <w:color w:val="auto"/>
              </w:rPr>
              <w:t>Bank</w:t>
            </w:r>
          </w:p>
        </w:tc>
        <w:tc>
          <w:tcPr>
            <w:tcW w:w="5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34,861</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789</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19,309</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1,029</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55,92</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Interest expense</w:t>
            </w:r>
          </w:p>
        </w:tc>
        <w:tc>
          <w:tcPr>
            <w:tcW w:w="4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3,124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569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332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3,96</w:t>
            </w:r>
          </w:p>
        </w:tc>
        <w:tc>
          <w:tcPr>
            <w:tcW w:w="0" w:type="dxa"/>
            <w:vAlign w:val="bottom"/>
          </w:tcPr>
          <w:p>
            <w:pPr>
              <w:spacing w:after="0"/>
              <w:rPr>
                <w:sz w:val="1"/>
                <w:szCs w:val="1"/>
                <w:color w:val="auto"/>
              </w:rPr>
            </w:pPr>
          </w:p>
        </w:tc>
      </w:tr>
      <w:tr>
        <w:trPr>
          <w:trHeight w:val="179"/>
        </w:trPr>
        <w:tc>
          <w:tcPr>
            <w:tcW w:w="34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4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31,737</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220</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19,309</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697</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51,96</w:t>
            </w:r>
          </w:p>
        </w:tc>
        <w:tc>
          <w:tcPr>
            <w:tcW w:w="0" w:type="dxa"/>
            <w:vAlign w:val="bottom"/>
          </w:tcPr>
          <w:p>
            <w:pPr>
              <w:spacing w:after="0"/>
              <w:rPr>
                <w:sz w:val="1"/>
                <w:szCs w:val="1"/>
                <w:color w:val="auto"/>
              </w:rPr>
            </w:pPr>
          </w:p>
        </w:tc>
      </w:tr>
      <w:tr>
        <w:trPr>
          <w:trHeight w:val="185"/>
        </w:trPr>
        <w:tc>
          <w:tcPr>
            <w:tcW w:w="34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Provision for loan losses</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729</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w:t>
            </w:r>
          </w:p>
        </w:tc>
        <w:tc>
          <w:tcPr>
            <w:tcW w:w="0" w:type="dxa"/>
            <w:vAlign w:val="bottom"/>
          </w:tcPr>
          <w:p>
            <w:pPr>
              <w:spacing w:after="0"/>
              <w:rPr>
                <w:sz w:val="1"/>
                <w:szCs w:val="1"/>
                <w:color w:val="auto"/>
              </w:rPr>
            </w:pPr>
          </w:p>
        </w:tc>
      </w:tr>
      <w:tr>
        <w:trPr>
          <w:trHeight w:val="126"/>
        </w:trPr>
        <w:tc>
          <w:tcPr>
            <w:tcW w:w="34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6" w:lineRule="exact"/>
              <w:rPr>
                <w:sz w:val="20"/>
                <w:szCs w:val="20"/>
                <w:color w:val="auto"/>
              </w:rPr>
            </w:pPr>
            <w:r>
              <w:rPr>
                <w:rFonts w:ascii="Arial" w:cs="Arial" w:eastAsia="Arial" w:hAnsi="Arial"/>
                <w:sz w:val="14"/>
                <w:szCs w:val="14"/>
                <w:b w:val="1"/>
                <w:bCs w:val="1"/>
                <w:color w:val="auto"/>
              </w:rPr>
              <w:t>Net interest income</w:t>
            </w:r>
          </w:p>
        </w:tc>
        <w:tc>
          <w:tcPr>
            <w:tcW w:w="4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31,008</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220</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18,824</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627</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50,67</w:t>
            </w:r>
          </w:p>
        </w:tc>
        <w:tc>
          <w:tcPr>
            <w:tcW w:w="0" w:type="dxa"/>
            <w:vAlign w:val="bottom"/>
          </w:tcPr>
          <w:p>
            <w:pPr>
              <w:spacing w:after="0"/>
              <w:rPr>
                <w:sz w:val="1"/>
                <w:szCs w:val="1"/>
                <w:color w:val="auto"/>
              </w:rPr>
            </w:pPr>
          </w:p>
        </w:tc>
      </w:tr>
      <w:tr>
        <w:trPr>
          <w:trHeight w:val="172"/>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after provision</w:t>
            </w:r>
          </w:p>
        </w:tc>
        <w:tc>
          <w:tcPr>
            <w:tcW w:w="4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Noninterest income</w:t>
            </w:r>
          </w:p>
        </w:tc>
        <w:tc>
          <w:tcPr>
            <w:tcW w:w="4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498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13,227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13,655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27,42</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4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19,888</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7,202</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25,702</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180</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52,97</w:t>
            </w: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1740" w:type="dxa"/>
            <w:vAlign w:val="bottom"/>
          </w:tcPr>
          <w:p>
            <w:pPr>
              <w:ind w:left="120"/>
              <w:spacing w:after="0" w:line="126" w:lineRule="exact"/>
              <w:rPr>
                <w:sz w:val="20"/>
                <w:szCs w:val="20"/>
                <w:color w:val="auto"/>
              </w:rPr>
            </w:pPr>
            <w:r>
              <w:rPr>
                <w:rFonts w:ascii="Arial" w:cs="Arial" w:eastAsia="Arial" w:hAnsi="Arial"/>
                <w:sz w:val="14"/>
                <w:szCs w:val="14"/>
                <w:b w:val="1"/>
                <w:bCs w:val="1"/>
                <w:color w:val="auto"/>
              </w:rPr>
              <w:t>Net income before</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11,618</w:t>
            </w:r>
          </w:p>
        </w:tc>
        <w:tc>
          <w:tcPr>
            <w:tcW w:w="100" w:type="dxa"/>
            <w:vAlign w:val="bottom"/>
          </w:tcPr>
          <w:p>
            <w:pPr>
              <w:spacing w:after="0"/>
              <w:rPr>
                <w:sz w:val="10"/>
                <w:szCs w:val="10"/>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6,245</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6,777</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488</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25,12</w:t>
            </w:r>
          </w:p>
        </w:tc>
        <w:tc>
          <w:tcPr>
            <w:tcW w:w="0" w:type="dxa"/>
            <w:vAlign w:val="bottom"/>
          </w:tcPr>
          <w:p>
            <w:pPr>
              <w:spacing w:after="0"/>
              <w:rPr>
                <w:sz w:val="1"/>
                <w:szCs w:val="1"/>
                <w:color w:val="auto"/>
              </w:rPr>
            </w:pPr>
          </w:p>
        </w:tc>
      </w:tr>
      <w:tr>
        <w:trPr>
          <w:trHeight w:val="146"/>
        </w:trPr>
        <w:tc>
          <w:tcPr>
            <w:tcW w:w="2080" w:type="dxa"/>
            <w:vAlign w:val="bottom"/>
            <w:gridSpan w:val="2"/>
          </w:tcPr>
          <w:p>
            <w:pPr>
              <w:ind w:left="140"/>
              <w:spacing w:after="0" w:line="146" w:lineRule="exact"/>
              <w:rPr>
                <w:sz w:val="20"/>
                <w:szCs w:val="20"/>
                <w:color w:val="auto"/>
              </w:rPr>
            </w:pPr>
            <w:r>
              <w:rPr>
                <w:rFonts w:ascii="Arial" w:cs="Arial" w:eastAsia="Arial" w:hAnsi="Arial"/>
                <w:sz w:val="14"/>
                <w:szCs w:val="14"/>
                <w:b w:val="1"/>
                <w:bCs w:val="1"/>
                <w:color w:val="auto"/>
              </w:rPr>
              <w:t>taxes</w:t>
            </w:r>
          </w:p>
        </w:tc>
        <w:tc>
          <w:tcPr>
            <w:tcW w:w="4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17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1,943,106</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49,110</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128,009</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197,071</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(165,446)</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2,151,85</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2700" w:type="dxa"/>
            <w:vAlign w:val="bottom"/>
            <w:tcBorders>
              <w:bottom w:val="single" w:sz="8" w:color="auto"/>
            </w:tcBorders>
            <w:gridSpan w:val="3"/>
          </w:tcPr>
          <w:p>
            <w:pPr>
              <w:spacing w:after="0" w:line="159" w:lineRule="exact"/>
              <w:rPr>
                <w:sz w:val="20"/>
                <w:szCs w:val="20"/>
                <w:color w:val="auto"/>
              </w:rPr>
            </w:pPr>
            <w:r>
              <w:rPr>
                <w:rFonts w:ascii="Arial" w:cs="Arial" w:eastAsia="Arial" w:hAnsi="Arial"/>
                <w:sz w:val="14"/>
                <w:szCs w:val="14"/>
                <w:b w:val="1"/>
                <w:bCs w:val="1"/>
                <w:color w:val="auto"/>
              </w:rPr>
              <w:t>For the Six Months Ended June 30, 2020</w:t>
            </w:r>
          </w:p>
        </w:tc>
        <w:tc>
          <w:tcPr>
            <w:tcW w:w="6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32,452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1,055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43,74</w:t>
            </w:r>
          </w:p>
        </w:tc>
        <w:tc>
          <w:tcPr>
            <w:tcW w:w="0" w:type="dxa"/>
            <w:vAlign w:val="bottom"/>
          </w:tcPr>
          <w:p>
            <w:pPr>
              <w:spacing w:after="0"/>
              <w:rPr>
                <w:sz w:val="1"/>
                <w:szCs w:val="1"/>
                <w:color w:val="auto"/>
              </w:rPr>
            </w:pPr>
          </w:p>
        </w:tc>
      </w:tr>
      <w:tr>
        <w:trPr>
          <w:trHeight w:val="186"/>
        </w:trPr>
        <w:tc>
          <w:tcPr>
            <w:tcW w:w="34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Interest expense</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6,322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596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570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79"/>
        </w:trPr>
        <w:tc>
          <w:tcPr>
            <w:tcW w:w="340" w:type="dxa"/>
            <w:vAlign w:val="bottom"/>
            <w:shd w:val="clear" w:color="auto" w:fill="CCEEFF"/>
          </w:tcPr>
          <w:p>
            <w:pPr>
              <w:spacing w:after="0"/>
              <w:rPr>
                <w:sz w:val="15"/>
                <w:szCs w:val="15"/>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4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26,130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36,31</w:t>
            </w:r>
          </w:p>
        </w:tc>
        <w:tc>
          <w:tcPr>
            <w:tcW w:w="0" w:type="dxa"/>
            <w:vAlign w:val="bottom"/>
          </w:tcPr>
          <w:p>
            <w:pPr>
              <w:spacing w:after="0"/>
              <w:rPr>
                <w:sz w:val="1"/>
                <w:szCs w:val="1"/>
                <w:color w:val="auto"/>
              </w:rPr>
            </w:pPr>
          </w:p>
        </w:tc>
      </w:tr>
      <w:tr>
        <w:trPr>
          <w:trHeight w:val="185"/>
        </w:trPr>
        <w:tc>
          <w:tcPr>
            <w:tcW w:w="34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Provision for loan losses</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5,275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26"/>
        </w:trPr>
        <w:tc>
          <w:tcPr>
            <w:tcW w:w="34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6" w:lineRule="exact"/>
              <w:rPr>
                <w:sz w:val="20"/>
                <w:szCs w:val="20"/>
                <w:color w:val="auto"/>
              </w:rPr>
            </w:pPr>
            <w:r>
              <w:rPr>
                <w:rFonts w:ascii="Arial" w:cs="Arial" w:eastAsia="Arial" w:hAnsi="Arial"/>
                <w:sz w:val="14"/>
                <w:szCs w:val="14"/>
                <w:b w:val="1"/>
                <w:bCs w:val="1"/>
                <w:color w:val="auto"/>
              </w:rPr>
              <w:t>Net interest income</w:t>
            </w:r>
          </w:p>
        </w:tc>
        <w:tc>
          <w:tcPr>
            <w:tcW w:w="4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20,855</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8,647</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641</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30,60</w:t>
            </w:r>
          </w:p>
        </w:tc>
        <w:tc>
          <w:tcPr>
            <w:tcW w:w="0" w:type="dxa"/>
            <w:vAlign w:val="bottom"/>
          </w:tcPr>
          <w:p>
            <w:pPr>
              <w:spacing w:after="0"/>
              <w:rPr>
                <w:sz w:val="1"/>
                <w:szCs w:val="1"/>
                <w:color w:val="auto"/>
              </w:rPr>
            </w:pPr>
          </w:p>
        </w:tc>
      </w:tr>
      <w:tr>
        <w:trPr>
          <w:trHeight w:val="172"/>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after provision</w:t>
            </w:r>
          </w:p>
        </w:tc>
        <w:tc>
          <w:tcPr>
            <w:tcW w:w="4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Noninterest income</w:t>
            </w:r>
          </w:p>
        </w:tc>
        <w:tc>
          <w:tcPr>
            <w:tcW w:w="4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11,304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4,921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4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16,891</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6,879</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12,726</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36,70</w:t>
            </w: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1740" w:type="dxa"/>
            <w:vAlign w:val="bottom"/>
          </w:tcPr>
          <w:p>
            <w:pPr>
              <w:ind w:left="120"/>
              <w:spacing w:after="0" w:line="126" w:lineRule="exact"/>
              <w:rPr>
                <w:sz w:val="20"/>
                <w:szCs w:val="20"/>
                <w:color w:val="auto"/>
              </w:rPr>
            </w:pPr>
            <w:r>
              <w:rPr>
                <w:rFonts w:ascii="Arial" w:cs="Arial" w:eastAsia="Arial" w:hAnsi="Arial"/>
                <w:sz w:val="14"/>
                <w:szCs w:val="14"/>
                <w:b w:val="1"/>
                <w:bCs w:val="1"/>
                <w:color w:val="auto"/>
              </w:rPr>
              <w:t>Net income before</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4,373</w:t>
            </w:r>
          </w:p>
        </w:tc>
        <w:tc>
          <w:tcPr>
            <w:tcW w:w="100" w:type="dxa"/>
            <w:vAlign w:val="bottom"/>
          </w:tcPr>
          <w:p>
            <w:pPr>
              <w:spacing w:after="0"/>
              <w:rPr>
                <w:sz w:val="10"/>
                <w:szCs w:val="10"/>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4,884</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10,53</w:t>
            </w:r>
          </w:p>
        </w:tc>
        <w:tc>
          <w:tcPr>
            <w:tcW w:w="0" w:type="dxa"/>
            <w:vAlign w:val="bottom"/>
          </w:tcPr>
          <w:p>
            <w:pPr>
              <w:spacing w:after="0"/>
              <w:rPr>
                <w:sz w:val="1"/>
                <w:szCs w:val="1"/>
                <w:color w:val="auto"/>
              </w:rPr>
            </w:pPr>
          </w:p>
        </w:tc>
      </w:tr>
      <w:tr>
        <w:trPr>
          <w:trHeight w:val="146"/>
        </w:trPr>
        <w:tc>
          <w:tcPr>
            <w:tcW w:w="2080" w:type="dxa"/>
            <w:vAlign w:val="bottom"/>
            <w:gridSpan w:val="2"/>
          </w:tcPr>
          <w:p>
            <w:pPr>
              <w:ind w:left="140"/>
              <w:spacing w:after="0" w:line="146" w:lineRule="exact"/>
              <w:rPr>
                <w:sz w:val="20"/>
                <w:szCs w:val="20"/>
                <w:color w:val="auto"/>
              </w:rPr>
            </w:pPr>
            <w:r>
              <w:rPr>
                <w:rFonts w:ascii="Arial" w:cs="Arial" w:eastAsia="Arial" w:hAnsi="Arial"/>
                <w:sz w:val="14"/>
                <w:szCs w:val="14"/>
                <w:b w:val="1"/>
                <w:bCs w:val="1"/>
                <w:color w:val="auto"/>
              </w:rPr>
              <w:t>taxes</w:t>
            </w:r>
          </w:p>
        </w:tc>
        <w:tc>
          <w:tcPr>
            <w:tcW w:w="4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17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1,608,651</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118,026</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62,823</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164,459</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(131,594)</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1,822,36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252095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604" w:right="239" w:bottom="1440" w:gutter="0" w:footer="0" w:header="0"/>
        </w:sectPr>
      </w:pPr>
    </w:p>
    <w:bookmarkStart w:id="38" w:name="page39"/>
    <w:bookmarkEnd w:id="38"/>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discussion and analysis is intended as a review of significant factors affecting the Company’s financial condition and results of operations for the periods indicated. This discussion and analysis should be read in conjunction with the accompanying consolidated financial statements and the related notes and the Company’s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SECURITIES LITIGATION REFORM ACT SAFE HARBOR STATEMENT</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This Quarterly Report on Form 10-Q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“plan,” “estimate,” “could,” “project,” “seek,” “should,” “will,” or “would,” or the negative of these words and phrases or similar words and phrases.</w:t>
      </w:r>
    </w:p>
    <w:p>
      <w:pPr>
        <w:spacing w:after="0" w:line="21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to the foregoing, the COVID-19 pandemic is adversely affecting us, our customers, counterparties, employees and third party service providers. The ultimate extent of the impact on our business, financial position, results of operations, liquidity, and prospects is uncertain. Continued deterioration in general business and economic conditions, or turbulence in domestic or global financial markets could adversely affect our revenues and the values of our assets and liabilities, reduce the availability of funding and lead to a tightening of credit. Changes to statutes, regulations, or regulatory policies or practices as a result of, or in response to COVID-19, could affect us in substantial and unpredictable ways, including the potential adverse impact of loan modifications and payment deferrals implemented consistent with recent regulatory guidance. The following factors, among others, could cause our financial performance to differ materially from that expressed in such forward-looking statements: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Economic Conditions</w:t>
      </w:r>
    </w:p>
    <w:p>
      <w:pPr>
        <w:spacing w:after="0" w:line="239" w:lineRule="exact"/>
        <w:rPr>
          <w:sz w:val="20"/>
          <w:szCs w:val="20"/>
          <w:color w:val="auto"/>
        </w:rPr>
      </w:pPr>
    </w:p>
    <w:p>
      <w:pPr>
        <w:ind w:firstLine="324"/>
        <w:spacing w:after="0" w:line="251" w:lineRule="auto"/>
        <w:tabs>
          <w:tab w:leader="none" w:pos="631"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economic conditions (including interest rate environment, government economic and monetary policies, the strength of global financial markets and inflation and deflation) that impact the financial services industry as a whole and/or our business;</w:t>
      </w:r>
    </w:p>
    <w:p>
      <w:pPr>
        <w:spacing w:after="0" w:line="203" w:lineRule="exact"/>
        <w:rPr>
          <w:rFonts w:ascii="Arial" w:cs="Arial" w:eastAsia="Arial" w:hAnsi="Arial"/>
          <w:sz w:val="18"/>
          <w:szCs w:val="18"/>
          <w:b w:val="1"/>
          <w:bCs w:val="1"/>
          <w:color w:val="auto"/>
        </w:rPr>
      </w:pPr>
    </w:p>
    <w:p>
      <w:pPr>
        <w:ind w:right="20" w:firstLine="324"/>
        <w:spacing w:after="0" w:line="251"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 bearing liabilities to interest rates, and the impact to our earnings from changes in interest rates;</w:t>
      </w:r>
    </w:p>
    <w:p>
      <w:pPr>
        <w:spacing w:after="0" w:line="203" w:lineRule="exact"/>
        <w:rPr>
          <w:rFonts w:ascii="Arial" w:cs="Arial" w:eastAsia="Arial" w:hAnsi="Arial"/>
          <w:sz w:val="18"/>
          <w:szCs w:val="18"/>
          <w:color w:val="auto"/>
        </w:rPr>
      </w:pPr>
    </w:p>
    <w:p>
      <w:pPr>
        <w:ind w:firstLine="324"/>
        <w:spacing w:after="0" w:line="251"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concentration of our business in the Washington, D.C. and Baltimore, Maryland metropolitan areas and the effect of changes in the economic, political and environmental conditions on these markets;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Business Operations</w:t>
      </w:r>
    </w:p>
    <w:p>
      <w:pPr>
        <w:spacing w:after="0" w:line="239"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prudently manage our growth and execute our strategy;</w:t>
      </w:r>
    </w:p>
    <w:p>
      <w:pPr>
        <w:spacing w:after="0" w:line="217" w:lineRule="exact"/>
        <w:rPr>
          <w:rFonts w:ascii="Arial" w:cs="Arial" w:eastAsia="Arial" w:hAnsi="Arial"/>
          <w:sz w:val="18"/>
          <w:szCs w:val="18"/>
          <w:color w:val="auto"/>
        </w:rPr>
      </w:pPr>
    </w:p>
    <w:p>
      <w:pPr>
        <w:ind w:firstLine="324"/>
        <w:spacing w:after="0" w:line="251" w:lineRule="auto"/>
        <w:tabs>
          <w:tab w:leader="none" w:pos="63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to grow our commercial real estate and commercial business loan portfolios which may carry material risks of non-payment or other unfavorable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83"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acquisitions we may undertake to achieve our goals;</w:t>
      </w:r>
    </w:p>
    <w:p>
      <w:pPr>
        <w:spacing w:after="0" w:line="217" w:lineRule="exact"/>
        <w:rPr>
          <w:rFonts w:ascii="Arial" w:cs="Arial" w:eastAsia="Arial" w:hAnsi="Arial"/>
          <w:sz w:val="18"/>
          <w:szCs w:val="18"/>
          <w:color w:val="auto"/>
        </w:rPr>
      </w:pPr>
    </w:p>
    <w:p>
      <w:pPr>
        <w:ind w:firstLine="324"/>
        <w:spacing w:after="0" w:line="251" w:lineRule="auto"/>
        <w:tabs>
          <w:tab w:leader="none" w:pos="631"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our information technology and telecommunications systems and the potential for any systems failures or interruptions;</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upon outside third parties for the processing and handling of our records and data;</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adapt to technological change;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engagement in derivative transactions;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possible impact of uncertainty about the future of LIBOR on our net interest income;</w:t>
      </w:r>
    </w:p>
    <w:p>
      <w:pPr>
        <w:spacing w:after="0" w:line="217" w:lineRule="exact"/>
        <w:rPr>
          <w:rFonts w:ascii="Arial" w:cs="Arial" w:eastAsia="Arial" w:hAnsi="Arial"/>
          <w:sz w:val="18"/>
          <w:szCs w:val="18"/>
          <w:color w:val="auto"/>
        </w:rPr>
      </w:pPr>
    </w:p>
    <w:p>
      <w:pPr>
        <w:ind w:firstLine="324"/>
        <w:spacing w:after="0" w:line="251" w:lineRule="auto"/>
        <w:tabs>
          <w:tab w:leader="none" w:pos="631" w:val="left"/>
        </w:tabs>
        <w:numPr>
          <w:ilvl w:val="0"/>
          <w:numId w:val="8"/>
        </w:numPr>
        <w:rPr>
          <w:rFonts w:ascii="Arial" w:cs="Arial" w:eastAsia="Arial" w:hAnsi="Arial"/>
          <w:sz w:val="18"/>
          <w:szCs w:val="18"/>
          <w:color w:val="auto"/>
        </w:rPr>
      </w:pPr>
      <w:r>
        <w:rPr>
          <w:rFonts w:ascii="Arial" w:cs="Arial" w:eastAsia="Arial" w:hAnsi="Arial"/>
          <w:sz w:val="18"/>
          <w:szCs w:val="18"/>
          <w:color w:val="auto"/>
        </w:rPr>
        <w:t>due to the decline in the Federal Reserve Board’s target federal funds rate to near 0%, the yield on our assets may decline to a greater extent than the decline in our cost of interest-bearing liabilities, reducing our net interest margin and spread and reducing net income;</w:t>
      </w:r>
    </w:p>
    <w:p>
      <w:pPr>
        <w:spacing w:after="0" w:line="203" w:lineRule="exact"/>
        <w:rPr>
          <w:rFonts w:ascii="Arial" w:cs="Arial" w:eastAsia="Arial" w:hAnsi="Arial"/>
          <w:sz w:val="18"/>
          <w:szCs w:val="18"/>
          <w:color w:val="auto"/>
        </w:rPr>
      </w:pPr>
    </w:p>
    <w:p>
      <w:pPr>
        <w:ind w:firstLine="324"/>
        <w:spacing w:after="0" w:line="251" w:lineRule="auto"/>
        <w:tabs>
          <w:tab w:leader="none" w:pos="63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internal controls over financial reporting and our ability to remediate any future material weakness in our internal controls over financial reporting;</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our management team and board of directors and changes in management and board composition;</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217" w:lineRule="exact"/>
        <w:rPr>
          <w:rFonts w:ascii="Arial" w:cs="Arial" w:eastAsia="Arial" w:hAnsi="Arial"/>
          <w:sz w:val="18"/>
          <w:szCs w:val="18"/>
          <w:color w:val="auto"/>
        </w:rPr>
      </w:pPr>
    </w:p>
    <w:p>
      <w:pPr>
        <w:ind w:firstLine="324"/>
        <w:spacing w:after="0" w:line="251" w:lineRule="auto"/>
        <w:tabs>
          <w:tab w:leader="none" w:pos="631"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our OpenSky credit card division, including compliance with applicable consumer finance and fraud prevention regulations;</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required to repurchase loans originated for sale by our mortgage banking division;</w:t>
      </w:r>
    </w:p>
    <w:p>
      <w:pPr>
        <w:spacing w:after="0" w:line="217" w:lineRule="exact"/>
        <w:rPr>
          <w:rFonts w:ascii="Arial" w:cs="Arial" w:eastAsia="Arial" w:hAnsi="Arial"/>
          <w:sz w:val="18"/>
          <w:szCs w:val="18"/>
          <w:color w:val="auto"/>
        </w:rPr>
      </w:pPr>
    </w:p>
    <w:p>
      <w:pPr>
        <w:ind w:firstLine="324"/>
        <w:spacing w:after="0" w:line="251" w:lineRule="auto"/>
        <w:tabs>
          <w:tab w:leader="none" w:pos="631"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allowance for loan losses or to write-down assets;</w:t>
      </w:r>
    </w:p>
    <w:p>
      <w:pPr>
        <w:spacing w:after="0" w:line="203" w:lineRule="exact"/>
        <w:rPr>
          <w:rFonts w:ascii="Arial" w:cs="Arial" w:eastAsia="Arial" w:hAnsi="Arial"/>
          <w:sz w:val="18"/>
          <w:szCs w:val="18"/>
          <w:color w:val="auto"/>
        </w:rPr>
      </w:pPr>
    </w:p>
    <w:p>
      <w:pPr>
        <w:ind w:firstLine="324"/>
        <w:spacing w:after="0" w:line="251" w:lineRule="auto"/>
        <w:tabs>
          <w:tab w:leader="none" w:pos="631"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 accounting, tax, trade, monetary and fiscal matters;</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Deposit Insurance Corporation premiums may increase if the agency experiences additional resolution costs;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217" w:lineRule="exact"/>
        <w:rPr>
          <w:rFonts w:ascii="Arial" w:cs="Arial" w:eastAsia="Arial" w:hAnsi="Arial"/>
          <w:sz w:val="18"/>
          <w:szCs w:val="18"/>
          <w:color w:val="auto"/>
        </w:rPr>
      </w:pPr>
    </w:p>
    <w:p>
      <w:pPr>
        <w:ind w:firstLine="324"/>
        <w:spacing w:after="0" w:line="251" w:lineRule="auto"/>
        <w:tabs>
          <w:tab w:leader="none" w:pos="631"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an outbreak of hostilities or other international or domestic calamities, and other matters beyond our control; and</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8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the heading “Risk Factors” under Item 1A in our Annual Report on Form 10-K for the year ended December 31, 2020 in addition to and other reports as filed with the SEC.</w:t>
      </w:r>
    </w:p>
    <w:p>
      <w:pPr>
        <w:spacing w:after="0" w:line="21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Capital Bancorp, Inc. (the “Company”) was incorporated in 1998 in Maryland to act as the bank holding company for Capital Bank, N.A. (the “Bank”) which received its charter in 1999 and began operations in 1999. The Bank is headquartered in Rockville, Maryland and serves the Washington, D.C. and Baltimore, Maryland metropolitan areas through five commercial bank branches, five mortgage offices, two loan production offices, a limited service branch and three corporate and operations facilities located in key markets throughout our operating area. We serve businesses, not-for-profit associations and entrepreneurs throughout the region by partnering with them to design tailored financial solutions supported by customized technology and “client first” advice.</w:t>
      </w:r>
    </w:p>
    <w:p>
      <w:pPr>
        <w:spacing w:after="0" w:line="21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 reports its activities in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20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Commercial Banking division accounts for the majority of the Bank’s total assets. Our commercial bankers endeavor to provide quality service, customized solutions and tailored advice to commercial clients in our operating markets.</w:t>
      </w:r>
    </w:p>
    <w:p>
      <w:pPr>
        <w:spacing w:after="0" w:line="20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Capital Bank Home Loan (“CBHL”) division originates conventional and government-guaranteed residential mortgage loans on a nationwide basis primarily for sale into the secondary market and in certain, limited circumstances for the Bank’s loan portfolio.</w:t>
      </w:r>
    </w:p>
    <w:p>
      <w:pPr>
        <w:spacing w:after="0" w:line="193" w:lineRule="exact"/>
        <w:rPr>
          <w:sz w:val="20"/>
          <w:szCs w:val="20"/>
          <w:color w:val="auto"/>
        </w:rPr>
      </w:pPr>
    </w:p>
    <w:p>
      <w:pPr>
        <w:jc w:val="both"/>
        <w:ind w:firstLine="318"/>
        <w:spacing w:after="0" w:line="225" w:lineRule="auto"/>
        <w:rPr>
          <w:sz w:val="20"/>
          <w:szCs w:val="20"/>
          <w:color w:val="auto"/>
        </w:rPr>
      </w:pPr>
      <w:r>
        <w:rPr>
          <w:rFonts w:ascii="Arial" w:cs="Arial" w:eastAsia="Arial" w:hAnsi="Arial"/>
          <w:sz w:val="18"/>
          <w:szCs w:val="18"/>
          <w:color w:val="auto"/>
        </w:rPr>
        <w:t>Our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 provides secured credit cards on a nationwide basis to under-banked populations and those looking to rebuild their credit scores.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cards operate on a digital and mobile enabled platform with almost all marketing and application procedures conducted through website and mobile applications. A deposit equal to the full credit limit of the card is made into a noninterest-bearing demand account with the Bank when the account is opened and the deposit is required to be maintained throughout the life of the card. Using our proprietary scoring model, which considers credit score and repayment history (typically a minimum of six months of on-time repayments, but ultimately determined on a case-by-case basis),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also offers certain existing customers an unsecured line in excess of their secured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COVID-19 Pandemic</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outbreak of COVID-19, which was declared a pandemic by the World Health Organization on March 11, 2020, has led to adverse impacts on economic conditions and created uncertainty in financial markets. In early March 2020, the Company began preparing for potential disruptions and government limitations on activity in the markets in which we serve. Our team activated our Business Continuity Program and was able to quickly execute on multiple initiatives to adjust our operations to protect the health and safety of our employees and clients. Currently, a significant portion of our workforce is working remotely without materially impacting our productivity while continuing to provide a high level of customer service. Since the beginning of the crisis, we have been in close contact with our clients, assessing the level of impact on their businesses, and providing relief programs according to each client’s specific situation and qualifications. Currently, the Company has four branches open and one previous location has been permanently closed. We have enhanced awareness of digital banking offerings and limited the number of customers in the branch and have taken steps to comply with various government directives regarding “social distancing,” as well as enhanced cleaning and disinfecting of surface areas to protect our clients and employees.</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Small Business Administration’s Paycheck Protection Program</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were able to quickly establish our process for participating in the Small Business Administration’s Paycheck Protection Program (“SBA-PPP”) that enabled our clients to utilize this valuable resource. SBA-PPP loans are designed to provide assistance for small businesses during the COVID-19 pandemic to help meet the costs associated with payroll, mortgage interest, rent and utilities. These loans are 100% guaranteed by the SBA and, under certain circumstances, forgiveness of the loan by the SBA is granted to the borrower. In general, forgiveness is predicated on the small business maintaining or quickly rehiring their employees and maintaining salary levels for their employees. SBA-PPP loans do not require any collateral or personal guarantees. As of June 30, 2021, the outstanding loan balance was approximately $208.1 million for SBA-PPP loans that were originated in the first and second rounds of the program. These efforts have allowed us to further strengthen and deepen our client relationships, while positively impacting thousands of individuals.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Short-term Modifications for Borrowers</w:t>
      </w:r>
    </w:p>
    <w:p>
      <w:pPr>
        <w:spacing w:after="0" w:line="217"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In keeping with regulatory guidance to work with borrowers during this unprecedented situation and as outlined in Section 4013 of the Coronavirus Aid, Relief, and Economic Security Act (“CARES Act”), the Company is providing loan modifications where appropriate, including potential interest only payments or payment deferrals for clients that are adversely affected by the COVID-19 pandemic. Section 4013 of the CARES Act, as amended by the Consolidated Appropriations Act, 2021, also addressed COVID-19 related modifications and specified that such modifications made between March 1, 2020 and the earlier of (i) 60 days after the date of termination of the National Emergency or (ii) January 1, 2022, on loans that were current as of December 31, 2019 are not TDRs. In accordance with interagency guidance issued in April 2020, these short-term modifications made to a borrower affected by the COVID-19 pandemic and governmental shutdown orders, such as payment deferrals, fee waivers and extensions of repayment terms, do not need to be identified as TDRs if the loans were current at the time a modification plan was implemented. Commercial and consumer loans still on COVID-19 related deferrals were $30.5 million at December 31, 2020 and have decreased to $11.9 million or approximately 0.85% of total portfolio loans receivable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Liquidity</w:t>
      </w:r>
    </w:p>
    <w:p>
      <w:pPr>
        <w:spacing w:after="0" w:line="217"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We are monitoring our liquidity position on an ongoing basis as the circumstances surrounding the pandemic continue to evolve. The Company has several available sources of on and off-balance sheet liquidity. Currently, the Company has not needed to tap into these available liquidity sources . The potential for increased reliance on available liquidity sources may be required based on the effects of the pandemic and their impact on the level of deposits and other factors. Additional discussion on our liquidity as of the report date is reflected in the “Liquidity” section of management’s discussion and analysis.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Capital</w:t>
      </w:r>
    </w:p>
    <w:p>
      <w:pPr>
        <w:spacing w:after="0" w:line="217"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As of June 30, 2021, the Bank exceeded all the capital requirements to which it was subject and based on the most recent notification from its primary federal regulator is considered to be well-capitalized. There are no conditions or events since that notification that management believes would change the Bank’s classification. We are closely monitoring our capital position and are taking appropriate steps to ensure our level of capital remains strong.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principal components of net income for the periods indicated.</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060" w:type="dxa"/>
            <w:vAlign w:val="bottom"/>
            <w:tcBorders>
              <w:bottom w:val="single" w:sz="8" w:color="auto"/>
            </w:tcBorders>
          </w:tcPr>
          <w:p>
            <w:pPr>
              <w:spacing w:after="0"/>
              <w:rPr>
                <w:sz w:val="16"/>
                <w:szCs w:val="16"/>
                <w:color w:val="auto"/>
              </w:rPr>
            </w:pPr>
          </w:p>
        </w:tc>
      </w:tr>
      <w:tr>
        <w:trPr>
          <w:trHeight w:val="179"/>
        </w:trPr>
        <w:tc>
          <w:tcPr>
            <w:tcW w:w="580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 Change</w:t>
            </w:r>
          </w:p>
        </w:tc>
      </w:tr>
      <w:tr>
        <w:trPr>
          <w:trHeight w:val="118"/>
        </w:trPr>
        <w:tc>
          <w:tcPr>
            <w:tcW w:w="580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1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21"/>
        </w:trPr>
        <w:tc>
          <w:tcPr>
            <w:tcW w:w="5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1240" w:type="dxa"/>
            <w:vAlign w:val="bottom"/>
            <w:shd w:val="clear" w:color="auto" w:fill="CCEEFF"/>
          </w:tcPr>
          <w:p>
            <w:pPr>
              <w:jc w:val="right"/>
              <w:ind w:right="723"/>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29,289</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33.1</w:t>
            </w:r>
          </w:p>
        </w:tc>
      </w:tr>
      <w:tr>
        <w:trPr>
          <w:trHeight w:val="212"/>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1,769</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3,376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rPr>
              <w:t>(47.6)</w:t>
            </w:r>
          </w:p>
        </w:tc>
      </w:tr>
      <w:tr>
        <w:trPr>
          <w:trHeight w:val="205"/>
        </w:trPr>
        <w:tc>
          <w:tcPr>
            <w:tcW w:w="5800" w:type="dxa"/>
            <w:vAlign w:val="bottom"/>
            <w:shd w:val="clear" w:color="auto" w:fill="CCEEFF"/>
          </w:tcPr>
          <w:p>
            <w:pPr>
              <w:ind w:left="540"/>
              <w:spacing w:after="0"/>
              <w:rPr>
                <w:sz w:val="20"/>
                <w:szCs w:val="20"/>
                <w:color w:val="auto"/>
              </w:rPr>
            </w:pPr>
            <w:r>
              <w:rPr>
                <w:rFonts w:ascii="Arial" w:cs="Arial" w:eastAsia="Arial" w:hAnsi="Arial"/>
                <w:sz w:val="16"/>
                <w:szCs w:val="16"/>
                <w:b w:val="1"/>
                <w:bCs w:val="1"/>
                <w:color w:val="auto"/>
              </w:rPr>
              <w:t>Net interest income</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27,520</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18,624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47.8</w:t>
            </w:r>
          </w:p>
        </w:tc>
      </w:tr>
      <w:tr>
        <w:trPr>
          <w:trHeight w:val="212"/>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Provision for loan losses</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781</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3,300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rPr>
              <w:t>(76.3)</w:t>
            </w:r>
          </w:p>
        </w:tc>
      </w:tr>
      <w:tr>
        <w:trPr>
          <w:trHeight w:val="205"/>
        </w:trPr>
        <w:tc>
          <w:tcPr>
            <w:tcW w:w="580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interest income after provision</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26,739</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15,324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74.5</w:t>
            </w:r>
          </w:p>
        </w:tc>
      </w:tr>
      <w:tr>
        <w:trPr>
          <w:trHeight w:val="212"/>
        </w:trPr>
        <w:tc>
          <w:tcPr>
            <w:tcW w:w="5800" w:type="dxa"/>
            <w:vAlign w:val="bottom"/>
          </w:tcPr>
          <w:p>
            <w:pPr>
              <w:ind w:left="340"/>
              <w:spacing w:after="0"/>
              <w:rPr>
                <w:sz w:val="20"/>
                <w:szCs w:val="20"/>
                <w:color w:val="auto"/>
              </w:rPr>
            </w:pPr>
            <w:r>
              <w:rPr>
                <w:rFonts w:ascii="Arial" w:cs="Arial" w:eastAsia="Arial" w:hAnsi="Arial"/>
                <w:sz w:val="16"/>
                <w:szCs w:val="16"/>
                <w:color w:val="auto"/>
              </w:rPr>
              <w:t>Noninterest income</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13,471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11,101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21"/>
              <w:spacing w:after="0"/>
              <w:rPr>
                <w:sz w:val="20"/>
                <w:szCs w:val="20"/>
                <w:color w:val="auto"/>
              </w:rPr>
            </w:pPr>
            <w:r>
              <w:rPr>
                <w:rFonts w:ascii="Arial" w:cs="Arial" w:eastAsia="Arial" w:hAnsi="Arial"/>
                <w:sz w:val="16"/>
                <w:szCs w:val="16"/>
                <w:color w:val="auto"/>
              </w:rPr>
              <w:t>21.3</w:t>
            </w:r>
          </w:p>
        </w:tc>
      </w:tr>
      <w:tr>
        <w:trPr>
          <w:trHeight w:val="212"/>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Noninterest expenses</w:t>
            </w: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27,205</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19,905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36.7</w:t>
            </w:r>
          </w:p>
        </w:tc>
      </w:tr>
      <w:tr>
        <w:trPr>
          <w:trHeight w:val="205"/>
        </w:trPr>
        <w:tc>
          <w:tcPr>
            <w:tcW w:w="5800" w:type="dxa"/>
            <w:vAlign w:val="bottom"/>
          </w:tcPr>
          <w:p>
            <w:pPr>
              <w:ind w:left="540"/>
              <w:spacing w:after="0"/>
              <w:rPr>
                <w:sz w:val="20"/>
                <w:szCs w:val="20"/>
                <w:color w:val="auto"/>
              </w:rPr>
            </w:pPr>
            <w:r>
              <w:rPr>
                <w:rFonts w:ascii="Arial" w:cs="Arial" w:eastAsia="Arial" w:hAnsi="Arial"/>
                <w:sz w:val="16"/>
                <w:szCs w:val="16"/>
                <w:b w:val="1"/>
                <w:bCs w:val="1"/>
                <w:color w:val="auto"/>
              </w:rPr>
              <w:t>Net income before income taxes</w:t>
            </w: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13,005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6,520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21"/>
              <w:spacing w:after="0"/>
              <w:rPr>
                <w:sz w:val="20"/>
                <w:szCs w:val="20"/>
                <w:color w:val="auto"/>
              </w:rPr>
            </w:pPr>
            <w:r>
              <w:rPr>
                <w:rFonts w:ascii="Arial" w:cs="Arial" w:eastAsia="Arial" w:hAnsi="Arial"/>
                <w:sz w:val="16"/>
                <w:szCs w:val="16"/>
                <w:color w:val="auto"/>
              </w:rPr>
              <w:t>99.5</w:t>
            </w:r>
          </w:p>
        </w:tc>
      </w:tr>
      <w:tr>
        <w:trPr>
          <w:trHeight w:val="212"/>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expense</w:t>
            </w: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3,357</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90.8</w:t>
            </w:r>
          </w:p>
        </w:tc>
      </w:tr>
      <w:tr>
        <w:trPr>
          <w:trHeight w:val="205"/>
        </w:trPr>
        <w:tc>
          <w:tcPr>
            <w:tcW w:w="5800" w:type="dxa"/>
            <w:vAlign w:val="bottom"/>
          </w:tcPr>
          <w:p>
            <w:pPr>
              <w:ind w:left="540"/>
              <w:spacing w:after="0"/>
              <w:rPr>
                <w:sz w:val="20"/>
                <w:szCs w:val="20"/>
                <w:color w:val="auto"/>
              </w:rPr>
            </w:pPr>
            <w:r>
              <w:rPr>
                <w:rFonts w:ascii="Arial" w:cs="Arial" w:eastAsia="Arial" w:hAnsi="Arial"/>
                <w:sz w:val="16"/>
                <w:szCs w:val="16"/>
                <w:b w:val="1"/>
                <w:bCs w:val="1"/>
                <w:color w:val="auto"/>
              </w:rPr>
              <w:t>Net income</w:t>
            </w:r>
          </w:p>
        </w:tc>
        <w:tc>
          <w:tcPr>
            <w:tcW w:w="1240" w:type="dxa"/>
            <w:vAlign w:val="bottom"/>
          </w:tcPr>
          <w:p>
            <w:pPr>
              <w:jc w:val="right"/>
              <w:ind w:right="723"/>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9,648</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4,761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21"/>
              <w:spacing w:after="0"/>
              <w:rPr>
                <w:sz w:val="20"/>
                <w:szCs w:val="20"/>
                <w:color w:val="auto"/>
              </w:rPr>
            </w:pPr>
            <w:r>
              <w:rPr>
                <w:rFonts w:ascii="Arial" w:cs="Arial" w:eastAsia="Arial" w:hAnsi="Arial"/>
                <w:sz w:val="16"/>
                <w:szCs w:val="16"/>
                <w:color w:val="auto"/>
              </w:rPr>
              <w:t>102.6</w:t>
            </w:r>
          </w:p>
        </w:tc>
      </w:tr>
      <w:tr>
        <w:trPr>
          <w:trHeight w:val="20"/>
        </w:trPr>
        <w:tc>
          <w:tcPr>
            <w:tcW w:w="58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39" w:lineRule="auto"/>
        <w:rPr>
          <w:sz w:val="20"/>
          <w:szCs w:val="20"/>
          <w:color w:val="auto"/>
        </w:rPr>
      </w:pPr>
      <w:r>
        <w:rPr>
          <w:rFonts w:ascii="Arial" w:cs="Arial" w:eastAsia="Arial" w:hAnsi="Arial"/>
          <w:sz w:val="18"/>
          <w:szCs w:val="18"/>
          <w:color w:val="auto"/>
        </w:rPr>
        <w:t>Net income for the three months ended June 30, 2021 increased 102.6% to $9.6 million from $4.8 million for the three months ended June 30, 2020. The increase was primarily due to increases in interest income, credit card fees and mortgage banking revenue (included in noninterest income), and a decrease in interest expense. In addition, there was a decrease in the loan loss provision of $2.5 million in the current quarter, as a result of the improving economic environment from the COVID-19 worldwide pandemic. Noninterest expense was $27.2 million for the three months ended June 30, 2021, compared to $19.9 million for the three months ended June 30, 2020, an increase of $7.3 million, or 36.7%. The increase was primarily due to an increase of $4.5 million, or 78.6%, in data processing expenses, resulting from the increase in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accounts as compared to the three months ended June 30, 2020. In addition, increases in credit expenses, outside service providers, and FDIC insurance account for an increase of $1.0 million, or 42.8%, quarter over quarter in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3" w:name="page44"/>
    <w:bookmarkEnd w:id="43"/>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380" w:type="dxa"/>
            <w:vAlign w:val="bottom"/>
            <w:tcBorders>
              <w:bottom w:val="single" w:sz="8" w:color="auto"/>
            </w:tcBorders>
          </w:tcPr>
          <w:p>
            <w:pPr>
              <w:spacing w:after="0"/>
              <w:rPr>
                <w:sz w:val="16"/>
                <w:szCs w:val="16"/>
                <w:color w:val="auto"/>
              </w:rPr>
            </w:pPr>
          </w:p>
        </w:tc>
      </w:tr>
      <w:tr>
        <w:trPr>
          <w:trHeight w:val="179"/>
        </w:trPr>
        <w:tc>
          <w:tcPr>
            <w:tcW w:w="580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 Change</w:t>
            </w:r>
          </w:p>
        </w:tc>
      </w:tr>
      <w:tr>
        <w:trPr>
          <w:trHeight w:val="118"/>
        </w:trPr>
        <w:tc>
          <w:tcPr>
            <w:tcW w:w="580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1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1"/>
        </w:trPr>
        <w:tc>
          <w:tcPr>
            <w:tcW w:w="5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2"/>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1240" w:type="dxa"/>
            <w:vAlign w:val="bottom"/>
            <w:shd w:val="clear" w:color="auto" w:fill="CCEEFF"/>
          </w:tcPr>
          <w:p>
            <w:pPr>
              <w:jc w:val="right"/>
              <w:ind w:right="723"/>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55,927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43,744</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27.9</w:t>
            </w:r>
          </w:p>
        </w:tc>
      </w:tr>
      <w:tr>
        <w:trPr>
          <w:trHeight w:val="212"/>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3,964</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7,433</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rPr>
              <w:t>(46.7)</w:t>
            </w:r>
          </w:p>
        </w:tc>
      </w:tr>
      <w:tr>
        <w:trPr>
          <w:trHeight w:val="205"/>
        </w:trPr>
        <w:tc>
          <w:tcPr>
            <w:tcW w:w="5800" w:type="dxa"/>
            <w:vAlign w:val="bottom"/>
            <w:shd w:val="clear" w:color="auto" w:fill="CCEEFF"/>
          </w:tcPr>
          <w:p>
            <w:pPr>
              <w:ind w:left="540"/>
              <w:spacing w:after="0"/>
              <w:rPr>
                <w:sz w:val="20"/>
                <w:szCs w:val="20"/>
                <w:color w:val="auto"/>
              </w:rPr>
            </w:pPr>
            <w:r>
              <w:rPr>
                <w:rFonts w:ascii="Arial" w:cs="Arial" w:eastAsia="Arial" w:hAnsi="Arial"/>
                <w:sz w:val="16"/>
                <w:szCs w:val="16"/>
                <w:b w:val="1"/>
                <w:bCs w:val="1"/>
                <w:color w:val="auto"/>
              </w:rPr>
              <w:t>Net interest income</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51,963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36,311</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43.1</w:t>
            </w:r>
          </w:p>
        </w:tc>
      </w:tr>
      <w:tr>
        <w:trPr>
          <w:trHeight w:val="212"/>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Provision for loan losses</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1,284</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5,709</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rPr>
              <w:t>(77.5)</w:t>
            </w:r>
          </w:p>
        </w:tc>
      </w:tr>
      <w:tr>
        <w:trPr>
          <w:trHeight w:val="205"/>
        </w:trPr>
        <w:tc>
          <w:tcPr>
            <w:tcW w:w="5800" w:type="dxa"/>
            <w:vAlign w:val="bottom"/>
            <w:shd w:val="clear" w:color="auto" w:fill="CCEEFF"/>
          </w:tcPr>
          <w:p>
            <w:pPr>
              <w:ind w:left="700"/>
              <w:spacing w:after="0"/>
              <w:rPr>
                <w:sz w:val="20"/>
                <w:szCs w:val="20"/>
                <w:color w:val="auto"/>
              </w:rPr>
            </w:pPr>
            <w:r>
              <w:rPr>
                <w:rFonts w:ascii="Arial" w:cs="Arial" w:eastAsia="Arial" w:hAnsi="Arial"/>
                <w:sz w:val="16"/>
                <w:szCs w:val="16"/>
                <w:b w:val="1"/>
                <w:bCs w:val="1"/>
                <w:color w:val="auto"/>
              </w:rPr>
              <w:t>Net interest income after provision</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50,679</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30,602</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65.6</w:t>
            </w:r>
          </w:p>
        </w:tc>
      </w:tr>
      <w:tr>
        <w:trPr>
          <w:trHeight w:val="212"/>
        </w:trPr>
        <w:tc>
          <w:tcPr>
            <w:tcW w:w="5800" w:type="dxa"/>
            <w:vAlign w:val="bottom"/>
          </w:tcPr>
          <w:p>
            <w:pPr>
              <w:ind w:left="340"/>
              <w:spacing w:after="0"/>
              <w:rPr>
                <w:sz w:val="20"/>
                <w:szCs w:val="20"/>
                <w:color w:val="auto"/>
              </w:rPr>
            </w:pPr>
            <w:r>
              <w:rPr>
                <w:rFonts w:ascii="Arial" w:cs="Arial" w:eastAsia="Arial" w:hAnsi="Arial"/>
                <w:sz w:val="16"/>
                <w:szCs w:val="16"/>
                <w:color w:val="auto"/>
              </w:rPr>
              <w:t>Noninterest income</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27,421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16,636</w:t>
            </w:r>
          </w:p>
        </w:tc>
        <w:tc>
          <w:tcPr>
            <w:tcW w:w="120" w:type="dxa"/>
            <w:vAlign w:val="bottom"/>
          </w:tcPr>
          <w:p>
            <w:pPr>
              <w:spacing w:after="0"/>
              <w:rPr>
                <w:sz w:val="18"/>
                <w:szCs w:val="18"/>
                <w:color w:val="auto"/>
              </w:rPr>
            </w:pPr>
          </w:p>
        </w:tc>
        <w:tc>
          <w:tcPr>
            <w:tcW w:w="1380" w:type="dxa"/>
            <w:vAlign w:val="bottom"/>
          </w:tcPr>
          <w:p>
            <w:pPr>
              <w:jc w:val="right"/>
              <w:ind w:right="221"/>
              <w:spacing w:after="0"/>
              <w:rPr>
                <w:sz w:val="20"/>
                <w:szCs w:val="20"/>
                <w:color w:val="auto"/>
              </w:rPr>
            </w:pPr>
            <w:r>
              <w:rPr>
                <w:rFonts w:ascii="Arial" w:cs="Arial" w:eastAsia="Arial" w:hAnsi="Arial"/>
                <w:sz w:val="16"/>
                <w:szCs w:val="16"/>
                <w:color w:val="auto"/>
              </w:rPr>
              <w:t>64.8</w:t>
            </w:r>
          </w:p>
        </w:tc>
      </w:tr>
      <w:tr>
        <w:trPr>
          <w:trHeight w:val="212"/>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Noninterest expenses</w:t>
            </w: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52,972</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36,704</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44.3</w:t>
            </w:r>
          </w:p>
        </w:tc>
      </w:tr>
      <w:tr>
        <w:trPr>
          <w:trHeight w:val="205"/>
        </w:trPr>
        <w:tc>
          <w:tcPr>
            <w:tcW w:w="5800" w:type="dxa"/>
            <w:vAlign w:val="bottom"/>
          </w:tcPr>
          <w:p>
            <w:pPr>
              <w:ind w:left="540"/>
              <w:spacing w:after="0"/>
              <w:rPr>
                <w:sz w:val="20"/>
                <w:szCs w:val="20"/>
                <w:color w:val="auto"/>
              </w:rPr>
            </w:pPr>
            <w:r>
              <w:rPr>
                <w:rFonts w:ascii="Arial" w:cs="Arial" w:eastAsia="Arial" w:hAnsi="Arial"/>
                <w:sz w:val="16"/>
                <w:szCs w:val="16"/>
                <w:b w:val="1"/>
                <w:bCs w:val="1"/>
                <w:color w:val="auto"/>
              </w:rPr>
              <w:t>Net income before income taxes</w:t>
            </w: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25,128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10,534</w:t>
            </w:r>
          </w:p>
        </w:tc>
        <w:tc>
          <w:tcPr>
            <w:tcW w:w="120" w:type="dxa"/>
            <w:vAlign w:val="bottom"/>
          </w:tcPr>
          <w:p>
            <w:pPr>
              <w:spacing w:after="0"/>
              <w:rPr>
                <w:sz w:val="17"/>
                <w:szCs w:val="17"/>
                <w:color w:val="auto"/>
              </w:rPr>
            </w:pPr>
          </w:p>
        </w:tc>
        <w:tc>
          <w:tcPr>
            <w:tcW w:w="1380" w:type="dxa"/>
            <w:vAlign w:val="bottom"/>
          </w:tcPr>
          <w:p>
            <w:pPr>
              <w:jc w:val="right"/>
              <w:ind w:right="221"/>
              <w:spacing w:after="0"/>
              <w:rPr>
                <w:sz w:val="20"/>
                <w:szCs w:val="20"/>
                <w:color w:val="auto"/>
              </w:rPr>
            </w:pPr>
            <w:r>
              <w:rPr>
                <w:rFonts w:ascii="Arial" w:cs="Arial" w:eastAsia="Arial" w:hAnsi="Arial"/>
                <w:sz w:val="16"/>
                <w:szCs w:val="16"/>
                <w:color w:val="auto"/>
              </w:rPr>
              <w:t>138.5</w:t>
            </w:r>
          </w:p>
        </w:tc>
      </w:tr>
      <w:tr>
        <w:trPr>
          <w:trHeight w:val="212"/>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expense</w:t>
            </w: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6,499</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2,839</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128.9</w:t>
            </w:r>
          </w:p>
        </w:tc>
      </w:tr>
      <w:tr>
        <w:trPr>
          <w:trHeight w:val="205"/>
        </w:trPr>
        <w:tc>
          <w:tcPr>
            <w:tcW w:w="5800" w:type="dxa"/>
            <w:vAlign w:val="bottom"/>
          </w:tcPr>
          <w:p>
            <w:pPr>
              <w:ind w:left="540"/>
              <w:spacing w:after="0"/>
              <w:rPr>
                <w:sz w:val="20"/>
                <w:szCs w:val="20"/>
                <w:color w:val="auto"/>
              </w:rPr>
            </w:pPr>
            <w:r>
              <w:rPr>
                <w:rFonts w:ascii="Arial" w:cs="Arial" w:eastAsia="Arial" w:hAnsi="Arial"/>
                <w:sz w:val="16"/>
                <w:szCs w:val="16"/>
                <w:b w:val="1"/>
                <w:bCs w:val="1"/>
                <w:color w:val="auto"/>
              </w:rPr>
              <w:t>Net income</w:t>
            </w:r>
          </w:p>
        </w:tc>
        <w:tc>
          <w:tcPr>
            <w:tcW w:w="1240" w:type="dxa"/>
            <w:vAlign w:val="bottom"/>
            <w:tcBorders>
              <w:bottom w:val="single" w:sz="8" w:color="auto"/>
            </w:tcBorders>
          </w:tcPr>
          <w:p>
            <w:pPr>
              <w:jc w:val="right"/>
              <w:ind w:right="723"/>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18,629</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7,695</w:t>
            </w:r>
          </w:p>
        </w:tc>
        <w:tc>
          <w:tcPr>
            <w:tcW w:w="120" w:type="dxa"/>
            <w:vAlign w:val="bottom"/>
          </w:tcPr>
          <w:p>
            <w:pPr>
              <w:spacing w:after="0"/>
              <w:rPr>
                <w:sz w:val="17"/>
                <w:szCs w:val="17"/>
                <w:color w:val="auto"/>
              </w:rPr>
            </w:pPr>
          </w:p>
        </w:tc>
        <w:tc>
          <w:tcPr>
            <w:tcW w:w="1380" w:type="dxa"/>
            <w:vAlign w:val="bottom"/>
          </w:tcPr>
          <w:p>
            <w:pPr>
              <w:jc w:val="right"/>
              <w:ind w:right="221"/>
              <w:spacing w:after="0"/>
              <w:rPr>
                <w:sz w:val="20"/>
                <w:szCs w:val="20"/>
                <w:color w:val="auto"/>
              </w:rPr>
            </w:pPr>
            <w:r>
              <w:rPr>
                <w:rFonts w:ascii="Arial" w:cs="Arial" w:eastAsia="Arial" w:hAnsi="Arial"/>
                <w:sz w:val="16"/>
                <w:szCs w:val="16"/>
                <w:color w:val="auto"/>
              </w:rPr>
              <w:t>142.1</w:t>
            </w:r>
          </w:p>
        </w:tc>
      </w:tr>
      <w:tr>
        <w:trPr>
          <w:trHeight w:val="20"/>
        </w:trPr>
        <w:tc>
          <w:tcPr>
            <w:tcW w:w="58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Net income for the six months ended June 30, 2021 was $19 million, an increase of approximately $10.9 million, or 142.1%, from net income for the six months ended June 30, 2020 of $7.7 million. The increase in earnings was attributable to higher levels of both net interest income and noninterest income. Improved net interest income was primarily due to an increase in interest income resulting from higher levels of earning assets during the period and a decrease in interest expense. The increase in noninterest income was partially offset by higher noninterest expenses. In addition, a decline in the provision for loan losses of $4.4 million, reflects indications that the overall economic conditions continue to improve from the year earlier period. Noninterest income increased $10.8 million over the prior comparable period primarily due to increased mortgage banking revenue of $2.7 million and credit card fees of $8.7 million. Noninterest expense increased $16.3 million primarily due to increases in salaries and benefits of $1.4 million, or 8.8%, data processing of $9.6 million, or 98.6%, $1.3 million in professional services and $2.0 million, or 45.4% in other operating expenses. The increase in operating expenses includes credit expenses, outside service providers and FDIC insurance. Overall, the increases are attributed to significant growth in mortgage originations and secured credit cards during the six months ended June 30,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and Net Margin Analysis</w:t>
      </w:r>
    </w:p>
    <w:p>
      <w:pPr>
        <w:spacing w:after="0" w:line="235" w:lineRule="exact"/>
        <w:rPr>
          <w:sz w:val="20"/>
          <w:szCs w:val="20"/>
          <w:color w:val="auto"/>
        </w:rPr>
      </w:pPr>
    </w:p>
    <w:p>
      <w:pPr>
        <w:jc w:val="both"/>
        <w:ind w:right="140" w:firstLine="318"/>
        <w:spacing w:after="0" w:line="246" w:lineRule="auto"/>
        <w:rPr>
          <w:sz w:val="20"/>
          <w:szCs w:val="20"/>
          <w:color w:val="auto"/>
        </w:rPr>
      </w:pPr>
      <w:r>
        <w:rPr>
          <w:rFonts w:ascii="Arial" w:cs="Arial" w:eastAsia="Arial" w:hAnsi="Arial"/>
          <w:sz w:val="18"/>
          <w:szCs w:val="18"/>
          <w:color w:val="auto"/>
        </w:rPr>
        <w:t>We analyze our ability to generate income from interest earning assets and control the interest expenses of our liabilities, measured as net interest income, through our net interest margin and net interest spread. Net interest income is the difference between the interest and fees earned on interest earning assets, such as loans and securities, and the interest expense incurred in connection with interest bearing liabilities, such as deposits and borrowings, which are used to fund those assets. Net interest margin is a ratio calculated as net interest income divided by average interest earning assets for the same period. Net interest spread is the difference between average interest rates earned on interest earning assets and average interest rates paid on interest bearing liabilities.</w:t>
      </w:r>
    </w:p>
    <w:p>
      <w:pPr>
        <w:spacing w:after="0" w:line="211"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Changes in market interest rates and the interest rates we earn on interest earning assets or pay on interest bearing liabilities, as well as in the volume and types of interest earning assets, interest bearing and noninterest 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Maryland metropolitan areas, as well as developments affecting the real estate, technology, government services, hospitality and tourism and financial services sectors within our target markets and throughout the Washington, D.C. and Baltimore, Maryland metropolitan areas. Our ability to respond to changes in these factors by using effective asset-liability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4" w:name="page45"/>
    <w:bookmarkEnd w:id="44"/>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management techniques will affect the stability of our net interest income and net interest margin.</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table shows the average outstanding balance of each principal category of our assets, liabilities and stockholders’ equity, together with the average yields on our assets and the average costs of our liabilities for the periods indicated. Such yields and costs are calculated by dividing income or expense by the average daily balances of the corresponding assets or liabilities for the same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7"/>
              </w:rPr>
              <w:t>Average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8"/>
              </w:rPr>
              <w:t>Interest</w:t>
            </w:r>
          </w:p>
        </w:tc>
        <w:tc>
          <w:tcPr>
            <w:tcW w:w="1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Average</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 Income/</w:t>
            </w:r>
          </w:p>
        </w:tc>
        <w:tc>
          <w:tcPr>
            <w:tcW w:w="1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9"/>
              </w:rPr>
              <w:t>Outstanding</w:t>
            </w:r>
          </w:p>
        </w:tc>
        <w:tc>
          <w:tcPr>
            <w:tcW w:w="180" w:type="dxa"/>
            <w:vAlign w:val="bottom"/>
          </w:tcPr>
          <w:p>
            <w:pPr>
              <w:spacing w:after="0"/>
              <w:rPr>
                <w:sz w:val="11"/>
                <w:szCs w:val="11"/>
                <w:color w:val="auto"/>
              </w:rPr>
            </w:pPr>
          </w:p>
        </w:tc>
        <w:tc>
          <w:tcPr>
            <w:tcW w:w="10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rPr>
              <w:t>Income/</w:t>
            </w: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rPr>
              <w:t>Outstanding</w:t>
            </w:r>
          </w:p>
        </w:tc>
        <w:tc>
          <w:tcPr>
            <w:tcW w:w="1240" w:type="dxa"/>
            <w:vAlign w:val="bottom"/>
            <w:gridSpan w:val="3"/>
            <w:vMerge w:val="continue"/>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2"/>
        </w:trPr>
        <w:tc>
          <w:tcPr>
            <w:tcW w:w="36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 in thousands)</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Expense</w:t>
            </w:r>
          </w:p>
        </w:tc>
        <w:tc>
          <w:tcPr>
            <w:tcW w:w="11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8"/>
                <w:szCs w:val="18"/>
                <w:b w:val="1"/>
                <w:bCs w:val="1"/>
                <w:color w:val="auto"/>
                <w:w w:val="93"/>
                <w:vertAlign w:val="superscript"/>
              </w:rPr>
              <w:t>(1)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1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8"/>
                <w:szCs w:val="18"/>
                <w:b w:val="1"/>
                <w:bCs w:val="1"/>
                <w:color w:val="auto"/>
                <w:w w:val="93"/>
                <w:vertAlign w:val="superscript"/>
              </w:rPr>
              <w:t>(1)</w:t>
            </w:r>
          </w:p>
        </w:tc>
        <w:tc>
          <w:tcPr>
            <w:tcW w:w="0" w:type="dxa"/>
            <w:vAlign w:val="bottom"/>
          </w:tcPr>
          <w:p>
            <w:pPr>
              <w:spacing w:after="0"/>
              <w:rPr>
                <w:sz w:val="1"/>
                <w:szCs w:val="1"/>
                <w:color w:val="auto"/>
              </w:rPr>
            </w:pPr>
          </w:p>
        </w:tc>
      </w:tr>
      <w:tr>
        <w:trPr>
          <w:trHeight w:val="118"/>
        </w:trPr>
        <w:tc>
          <w:tcPr>
            <w:tcW w:w="36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tcPr>
          <w:p>
            <w:pPr>
              <w:ind w:left="20"/>
              <w:spacing w:after="0"/>
              <w:rPr>
                <w:sz w:val="20"/>
                <w:szCs w:val="20"/>
                <w:color w:val="auto"/>
              </w:rPr>
            </w:pPr>
            <w:r>
              <w:rPr>
                <w:rFonts w:ascii="Arial" w:cs="Arial" w:eastAsia="Arial" w:hAnsi="Arial"/>
                <w:sz w:val="14"/>
                <w:szCs w:val="14"/>
                <w:color w:val="auto"/>
              </w:rPr>
              <w:t>Interest earning assets: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259,330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0.10 %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79,854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0.09 %</w:t>
            </w:r>
          </w:p>
        </w:tc>
        <w:tc>
          <w:tcPr>
            <w:tcW w:w="0" w:type="dxa"/>
            <w:vAlign w:val="bottom"/>
          </w:tcPr>
          <w:p>
            <w:pPr>
              <w:spacing w:after="0"/>
              <w:rPr>
                <w:sz w:val="1"/>
                <w:szCs w:val="1"/>
                <w:color w:val="auto"/>
              </w:rPr>
            </w:pPr>
          </w:p>
        </w:tc>
      </w:tr>
      <w:tr>
        <w:trPr>
          <w:trHeight w:val="185"/>
        </w:trPr>
        <w:tc>
          <w:tcPr>
            <w:tcW w:w="360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3,087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0.00 %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0.05 %</w:t>
            </w: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139,997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544</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58,860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2.16 %</w:t>
            </w:r>
          </w:p>
        </w:tc>
        <w:tc>
          <w:tcPr>
            <w:tcW w:w="0" w:type="dxa"/>
            <w:vAlign w:val="bottom"/>
          </w:tcPr>
          <w:p>
            <w:pPr>
              <w:spacing w:after="0"/>
              <w:rPr>
                <w:sz w:val="1"/>
                <w:szCs w:val="1"/>
                <w:color w:val="auto"/>
              </w:rPr>
            </w:pPr>
          </w:p>
        </w:tc>
      </w:tr>
      <w:tr>
        <w:trPr>
          <w:trHeight w:val="185"/>
        </w:trPr>
        <w:tc>
          <w:tcPr>
            <w:tcW w:w="3600" w:type="dxa"/>
            <w:vAlign w:val="bottom"/>
          </w:tcPr>
          <w:p>
            <w:pPr>
              <w:ind w:left="180"/>
              <w:spacing w:after="0"/>
              <w:rPr>
                <w:sz w:val="20"/>
                <w:szCs w:val="20"/>
                <w:color w:val="auto"/>
              </w:rPr>
            </w:pPr>
            <w:r>
              <w:rPr>
                <w:rFonts w:ascii="Arial" w:cs="Arial" w:eastAsia="Arial" w:hAnsi="Arial"/>
                <w:sz w:val="14"/>
                <w:szCs w:val="14"/>
                <w:color w:val="auto"/>
              </w:rPr>
              <w:t>Restricted investments</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3,478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4.70 %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5.46 %</w:t>
            </w: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44,644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314</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2.82 %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78,254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3.53 %</w:t>
            </w:r>
          </w:p>
        </w:tc>
        <w:tc>
          <w:tcPr>
            <w:tcW w:w="0" w:type="dxa"/>
            <w:vAlign w:val="bottom"/>
          </w:tcPr>
          <w:p>
            <w:pPr>
              <w:spacing w:after="0"/>
              <w:rPr>
                <w:sz w:val="1"/>
                <w:szCs w:val="1"/>
                <w:color w:val="auto"/>
              </w:rPr>
            </w:pPr>
          </w:p>
        </w:tc>
      </w:tr>
      <w:tr>
        <w:trPr>
          <w:trHeight w:val="185"/>
        </w:trPr>
        <w:tc>
          <w:tcPr>
            <w:tcW w:w="3600" w:type="dxa"/>
            <w:vAlign w:val="bottom"/>
          </w:tcPr>
          <w:p>
            <w:pPr>
              <w:ind w:left="180"/>
              <w:spacing w:after="0"/>
              <w:rPr>
                <w:sz w:val="20"/>
                <w:szCs w:val="20"/>
                <w:color w:val="auto"/>
              </w:rPr>
            </w:pPr>
            <w:r>
              <w:rPr>
                <w:rFonts w:ascii="Arial" w:cs="Arial" w:eastAsia="Arial" w:hAnsi="Arial"/>
                <w:sz w:val="14"/>
                <w:szCs w:val="14"/>
                <w:color w:val="auto"/>
              </w:rPr>
              <w:t>SBA-PPP loans receivable</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250,040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2,272</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3.64 %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166,033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2.45 %</w:t>
            </w: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180"/>
              <w:spacing w:after="0" w:line="186" w:lineRule="exact"/>
              <w:rPr>
                <w:sz w:val="20"/>
                <w:szCs w:val="20"/>
                <w:color w:val="auto"/>
              </w:rPr>
            </w:pPr>
            <w:r>
              <w:rPr>
                <w:rFonts w:ascii="Arial" w:cs="Arial" w:eastAsia="Arial" w:hAnsi="Arial"/>
                <w:sz w:val="14"/>
                <w:szCs w:val="14"/>
                <w:color w:val="auto"/>
              </w:rPr>
              <w:t>Portfolio loans receivable</w:t>
            </w:r>
            <w:r>
              <w:rPr>
                <w:rFonts w:ascii="Arial" w:cs="Arial" w:eastAsia="Arial" w:hAnsi="Arial"/>
                <w:sz w:val="18"/>
                <w:szCs w:val="18"/>
                <w:color w:val="auto"/>
                <w:vertAlign w:val="superscript"/>
              </w:rPr>
              <w:t>(2)</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1,316,224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26,055</w:t>
            </w:r>
          </w:p>
        </w:tc>
        <w:tc>
          <w:tcPr>
            <w:tcW w:w="12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7.94 %</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1,199,338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19,911</w:t>
            </w:r>
          </w:p>
        </w:tc>
        <w:tc>
          <w:tcPr>
            <w:tcW w:w="12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6.68 %</w:t>
            </w:r>
          </w:p>
        </w:tc>
        <w:tc>
          <w:tcPr>
            <w:tcW w:w="0" w:type="dxa"/>
            <w:vAlign w:val="bottom"/>
          </w:tcPr>
          <w:p>
            <w:pPr>
              <w:spacing w:after="0"/>
              <w:rPr>
                <w:sz w:val="1"/>
                <w:szCs w:val="1"/>
                <w:color w:val="auto"/>
              </w:rPr>
            </w:pPr>
          </w:p>
        </w:tc>
      </w:tr>
      <w:tr>
        <w:trPr>
          <w:trHeight w:val="179"/>
        </w:trPr>
        <w:tc>
          <w:tcPr>
            <w:tcW w:w="3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interest earning assets</w:t>
            </w:r>
          </w:p>
        </w:tc>
        <w:tc>
          <w:tcPr>
            <w:tcW w:w="16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right"/>
              <w:ind w:right="9"/>
              <w:spacing w:after="0"/>
              <w:rPr>
                <w:sz w:val="20"/>
                <w:szCs w:val="20"/>
                <w:color w:val="auto"/>
              </w:rPr>
            </w:pPr>
            <w:r>
              <w:rPr>
                <w:rFonts w:ascii="Arial" w:cs="Arial" w:eastAsia="Arial" w:hAnsi="Arial"/>
                <w:sz w:val="14"/>
                <w:szCs w:val="14"/>
                <w:b w:val="1"/>
                <w:bCs w:val="1"/>
                <w:color w:val="auto"/>
              </w:rPr>
              <w:t>2,016,800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29,289</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5.82 %</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1,588,380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22,000</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5.57 %</w:t>
            </w:r>
          </w:p>
        </w:tc>
        <w:tc>
          <w:tcPr>
            <w:tcW w:w="0" w:type="dxa"/>
            <w:vAlign w:val="bottom"/>
          </w:tcPr>
          <w:p>
            <w:pPr>
              <w:spacing w:after="0"/>
              <w:rPr>
                <w:sz w:val="1"/>
                <w:szCs w:val="1"/>
                <w:color w:val="auto"/>
              </w:rPr>
            </w:pPr>
          </w:p>
        </w:tc>
      </w:tr>
      <w:tr>
        <w:trPr>
          <w:trHeight w:val="166"/>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earning assets</w:t>
            </w: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24,432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24,459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0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2,041,232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1,612,839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bearing liabilities: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00" w:type="dxa"/>
            <w:vAlign w:val="bottom"/>
          </w:tcPr>
          <w:p>
            <w:pPr>
              <w:ind w:left="180"/>
              <w:spacing w:after="0"/>
              <w:rPr>
                <w:sz w:val="20"/>
                <w:szCs w:val="20"/>
                <w:color w:val="auto"/>
              </w:rPr>
            </w:pPr>
            <w:r>
              <w:rPr>
                <w:rFonts w:ascii="Arial" w:cs="Arial" w:eastAsia="Arial" w:hAnsi="Arial"/>
                <w:sz w:val="14"/>
                <w:szCs w:val="14"/>
                <w:color w:val="auto"/>
              </w:rPr>
              <w:t>Interest bearing demand accounts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282,197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0.07 %</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182,095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0.38 %</w:t>
            </w: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Savings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6,634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0.05 %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0.05 %</w:t>
            </w:r>
          </w:p>
        </w:tc>
        <w:tc>
          <w:tcPr>
            <w:tcW w:w="0" w:type="dxa"/>
            <w:vAlign w:val="bottom"/>
          </w:tcPr>
          <w:p>
            <w:pPr>
              <w:spacing w:after="0"/>
              <w:rPr>
                <w:sz w:val="1"/>
                <w:szCs w:val="1"/>
                <w:color w:val="auto"/>
              </w:rPr>
            </w:pPr>
          </w:p>
        </w:tc>
      </w:tr>
      <w:tr>
        <w:trPr>
          <w:trHeight w:val="185"/>
        </w:trPr>
        <w:tc>
          <w:tcPr>
            <w:tcW w:w="3600" w:type="dxa"/>
            <w:vAlign w:val="bottom"/>
          </w:tcPr>
          <w:p>
            <w:pPr>
              <w:ind w:left="180"/>
              <w:spacing w:after="0"/>
              <w:rPr>
                <w:sz w:val="20"/>
                <w:szCs w:val="20"/>
                <w:color w:val="auto"/>
              </w:rPr>
            </w:pPr>
            <w:r>
              <w:rPr>
                <w:rFonts w:ascii="Arial" w:cs="Arial" w:eastAsia="Arial" w:hAnsi="Arial"/>
                <w:sz w:val="14"/>
                <w:szCs w:val="14"/>
                <w:color w:val="auto"/>
              </w:rPr>
              <w:t>Money market accounts</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460,669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352</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0.31 %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472,802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1,279</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1.09 %</w:t>
            </w: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Time deposits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304,519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1,179</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282,695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2.14 %</w:t>
            </w:r>
          </w:p>
        </w:tc>
        <w:tc>
          <w:tcPr>
            <w:tcW w:w="0" w:type="dxa"/>
            <w:vAlign w:val="bottom"/>
          </w:tcPr>
          <w:p>
            <w:pPr>
              <w:spacing w:after="0"/>
              <w:rPr>
                <w:sz w:val="1"/>
                <w:szCs w:val="1"/>
                <w:color w:val="auto"/>
              </w:rPr>
            </w:pPr>
          </w:p>
        </w:tc>
      </w:tr>
      <w:tr>
        <w:trPr>
          <w:trHeight w:val="185"/>
        </w:trPr>
        <w:tc>
          <w:tcPr>
            <w:tcW w:w="36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Borrowed funds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35,770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2.10 %</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44,672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3.80 %</w:t>
            </w:r>
          </w:p>
        </w:tc>
        <w:tc>
          <w:tcPr>
            <w:tcW w:w="0" w:type="dxa"/>
            <w:vAlign w:val="bottom"/>
          </w:tcPr>
          <w:p>
            <w:pPr>
              <w:spacing w:after="0"/>
              <w:rPr>
                <w:sz w:val="1"/>
                <w:szCs w:val="1"/>
                <w:color w:val="auto"/>
              </w:rPr>
            </w:pPr>
          </w:p>
        </w:tc>
      </w:tr>
      <w:tr>
        <w:trPr>
          <w:trHeight w:val="179"/>
        </w:trPr>
        <w:tc>
          <w:tcPr>
            <w:tcW w:w="3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interest bearing liabilities</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1,089,789</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1,769</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0.65 %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986,786</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3,376</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1.38 %</w:t>
            </w:r>
          </w:p>
        </w:tc>
        <w:tc>
          <w:tcPr>
            <w:tcW w:w="0" w:type="dxa"/>
            <w:vAlign w:val="bottom"/>
          </w:tcPr>
          <w:p>
            <w:pPr>
              <w:spacing w:after="0"/>
              <w:rPr>
                <w:sz w:val="1"/>
                <w:szCs w:val="1"/>
                <w:color w:val="auto"/>
              </w:rPr>
            </w:pPr>
          </w:p>
        </w:tc>
      </w:tr>
      <w:tr>
        <w:trPr>
          <w:trHeight w:val="165"/>
        </w:trPr>
        <w:tc>
          <w:tcPr>
            <w:tcW w:w="3600" w:type="dxa"/>
            <w:vAlign w:val="bottom"/>
          </w:tcPr>
          <w:p>
            <w:pPr>
              <w:ind w:left="20"/>
              <w:spacing w:after="0"/>
              <w:rPr>
                <w:sz w:val="20"/>
                <w:szCs w:val="20"/>
                <w:color w:val="auto"/>
              </w:rPr>
            </w:pPr>
            <w:r>
              <w:rPr>
                <w:rFonts w:ascii="Arial" w:cs="Arial" w:eastAsia="Arial" w:hAnsi="Arial"/>
                <w:sz w:val="14"/>
                <w:szCs w:val="14"/>
                <w:color w:val="auto"/>
              </w:rPr>
              <w:t>Noninterest bearing liabilities: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 bearing liabilities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20,111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00" w:type="dxa"/>
            <w:vAlign w:val="bottom"/>
          </w:tcPr>
          <w:p>
            <w:pPr>
              <w:ind w:left="180"/>
              <w:spacing w:after="0"/>
              <w:rPr>
                <w:sz w:val="20"/>
                <w:szCs w:val="20"/>
                <w:color w:val="auto"/>
              </w:rPr>
            </w:pPr>
            <w:r>
              <w:rPr>
                <w:rFonts w:ascii="Arial" w:cs="Arial" w:eastAsia="Arial" w:hAnsi="Arial"/>
                <w:sz w:val="14"/>
                <w:szCs w:val="14"/>
                <w:color w:val="auto"/>
              </w:rPr>
              <w:t>Noninterest bearing deposits</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758,255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464,702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Stockholders’ equity</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173,077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139,704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600" w:type="dxa"/>
            <w:vAlign w:val="bottom"/>
          </w:tcPr>
          <w:p>
            <w:pPr>
              <w:ind w:left="3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2,041,232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1,612,839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tcPr>
          <w:p>
            <w:pPr>
              <w:ind w:left="20"/>
              <w:spacing w:after="0"/>
              <w:rPr>
                <w:sz w:val="20"/>
                <w:szCs w:val="20"/>
                <w:color w:val="auto"/>
              </w:rPr>
            </w:pPr>
            <w:r>
              <w:rPr>
                <w:rFonts w:ascii="Arial" w:cs="Arial" w:eastAsia="Arial" w:hAnsi="Arial"/>
                <w:sz w:val="14"/>
                <w:szCs w:val="14"/>
                <w:color w:val="auto"/>
              </w:rPr>
              <w:t>Net interest spread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5.17 %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4.19 %</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00" w:type="dxa"/>
            <w:vAlign w:val="bottom"/>
            <w:tcBorders>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color w:val="auto"/>
              </w:rPr>
              <w:t>Net interest income</w:t>
            </w:r>
          </w:p>
        </w:tc>
        <w:tc>
          <w:tcPr>
            <w:tcW w:w="1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9"/>
              <w:spacing w:after="0" w:line="15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27,520</w:t>
            </w: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ind w:left="20"/>
              <w:spacing w:after="0" w:line="15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18,624</w:t>
            </w: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line="172"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8"/>
                <w:szCs w:val="18"/>
                <w:color w:val="auto"/>
                <w:vertAlign w:val="superscript"/>
              </w:rPr>
              <w:t>(3)</w:t>
            </w: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b w:val="1"/>
                <w:bCs w:val="1"/>
                <w:color w:val="auto"/>
              </w:rPr>
              <w:t>5.47 %</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4.72 %</w:t>
            </w:r>
          </w:p>
        </w:tc>
        <w:tc>
          <w:tcPr>
            <w:tcW w:w="0" w:type="dxa"/>
            <w:vAlign w:val="bottom"/>
          </w:tcPr>
          <w:p>
            <w:pPr>
              <w:spacing w:after="0" w:line="20" w:lineRule="exact"/>
              <w:rPr>
                <w:sz w:val="1"/>
                <w:szCs w:val="1"/>
                <w:color w:val="auto"/>
              </w:rPr>
            </w:pPr>
          </w:p>
        </w:tc>
      </w:tr>
      <w:tr>
        <w:trPr>
          <w:trHeight w:val="132"/>
        </w:trPr>
        <w:tc>
          <w:tcPr>
            <w:tcW w:w="3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185" w:lineRule="auto"/>
        <w:tabs>
          <w:tab w:leader="none" w:pos="32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Annualized.</w:t>
      </w:r>
    </w:p>
    <w:p>
      <w:pPr>
        <w:ind w:left="320" w:hanging="314"/>
        <w:spacing w:after="0" w:line="191" w:lineRule="auto"/>
        <w:tabs>
          <w:tab w:leader="none" w:pos="320" w:val="left"/>
        </w:tabs>
        <w:numPr>
          <w:ilvl w:val="0"/>
          <w:numId w:val="9"/>
        </w:numPr>
        <w:rPr>
          <w:rFonts w:ascii="Arial" w:cs="Arial" w:eastAsia="Arial" w:hAnsi="Arial"/>
          <w:sz w:val="13"/>
          <w:szCs w:val="13"/>
          <w:color w:val="auto"/>
          <w:vertAlign w:val="superscript"/>
        </w:rPr>
      </w:pPr>
      <w:r>
        <w:rPr>
          <w:rFonts w:ascii="Arial" w:cs="Arial" w:eastAsia="Arial" w:hAnsi="Arial"/>
          <w:sz w:val="10"/>
          <w:szCs w:val="10"/>
          <w:color w:val="auto"/>
        </w:rPr>
        <w:t>Includes nonaccrual loans.</w:t>
      </w:r>
    </w:p>
    <w:p>
      <w:pPr>
        <w:ind w:left="320" w:hanging="314"/>
        <w:spacing w:after="0" w:line="190" w:lineRule="auto"/>
        <w:tabs>
          <w:tab w:leader="none" w:pos="32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For the three months ended June 30, 2021 and 2020 , SBA-PPP loans and credit card loans collectively accounted for 192 and 76 basis points of the reported net interest margin,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83"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following table presents information regarding the dollar amount of changes in interest income and interest expense for the periods indicated for each major component of interest earning assets and interest bearing liabilities and distinguishes between the changes attributable to changes in volume and changes attributable to changes in interest rates. For purposes of this table, changes attributable to both rate and volume that cannot be segregated have been proportionately allocated to both volume and rate.</w:t>
      </w:r>
    </w:p>
    <w:p>
      <w:pPr>
        <w:spacing w:after="0" w:line="18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ANALYSIS OF CHANGES IN NET INTEREST INCOME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0" w:type="dxa"/>
            <w:vAlign w:val="bottom"/>
            <w:gridSpan w:val="6"/>
          </w:tcPr>
          <w:p>
            <w:pPr>
              <w:jc w:val="center"/>
              <w:ind w:left="549"/>
              <w:spacing w:after="0"/>
              <w:rPr>
                <w:sz w:val="20"/>
                <w:szCs w:val="20"/>
                <w:color w:val="auto"/>
              </w:rPr>
            </w:pPr>
            <w:r>
              <w:rPr>
                <w:rFonts w:ascii="Arial" w:cs="Arial" w:eastAsia="Arial" w:hAnsi="Arial"/>
                <w:sz w:val="14"/>
                <w:szCs w:val="14"/>
                <w:b w:val="1"/>
                <w:bCs w:val="1"/>
                <w:color w:val="auto"/>
              </w:rPr>
              <w:t>Three Months Ended June 30, 2021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960" w:type="dxa"/>
            <w:vAlign w:val="bottom"/>
            <w:gridSpan w:val="6"/>
          </w:tcPr>
          <w:p>
            <w:pPr>
              <w:jc w:val="center"/>
              <w:ind w:left="609"/>
              <w:spacing w:after="0"/>
              <w:rPr>
                <w:sz w:val="20"/>
                <w:szCs w:val="20"/>
                <w:color w:val="auto"/>
              </w:rPr>
            </w:pPr>
            <w:r>
              <w:rPr>
                <w:rFonts w:ascii="Arial" w:cs="Arial" w:eastAsia="Arial" w:hAnsi="Arial"/>
                <w:sz w:val="14"/>
                <w:szCs w:val="14"/>
                <w:b w:val="1"/>
                <w:bCs w:val="1"/>
                <w:color w:val="auto"/>
              </w:rPr>
              <w:t>Six Months Ended June 30, 2021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center"/>
              <w:ind w:left="129"/>
              <w:spacing w:after="0"/>
              <w:rPr>
                <w:sz w:val="20"/>
                <w:szCs w:val="20"/>
                <w:color w:val="auto"/>
              </w:rPr>
            </w:pPr>
            <w:r>
              <w:rPr>
                <w:rFonts w:ascii="Arial" w:cs="Arial" w:eastAsia="Arial" w:hAnsi="Arial"/>
                <w:sz w:val="14"/>
                <w:szCs w:val="14"/>
                <w:b w:val="1"/>
                <w:bCs w:val="1"/>
                <w:color w:val="auto"/>
              </w:rPr>
              <w:t>Compared to the</w:t>
            </w: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left="209"/>
              <w:spacing w:after="0"/>
              <w:rPr>
                <w:sz w:val="20"/>
                <w:szCs w:val="20"/>
                <w:color w:val="auto"/>
              </w:rPr>
            </w:pPr>
            <w:r>
              <w:rPr>
                <w:rFonts w:ascii="Arial" w:cs="Arial" w:eastAsia="Arial" w:hAnsi="Arial"/>
                <w:sz w:val="14"/>
                <w:szCs w:val="14"/>
                <w:b w:val="1"/>
                <w:bCs w:val="1"/>
                <w:color w:val="auto"/>
              </w:rPr>
              <w:t>Compared to the</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center"/>
              <w:ind w:left="549"/>
              <w:spacing w:after="0"/>
              <w:rPr>
                <w:sz w:val="20"/>
                <w:szCs w:val="20"/>
                <w:color w:val="auto"/>
              </w:rPr>
            </w:pPr>
            <w:r>
              <w:rPr>
                <w:rFonts w:ascii="Arial" w:cs="Arial" w:eastAsia="Arial" w:hAnsi="Arial"/>
                <w:sz w:val="14"/>
                <w:szCs w:val="14"/>
                <w:b w:val="1"/>
                <w:bCs w:val="1"/>
                <w:color w:val="auto"/>
              </w:rPr>
              <w:t>Three Months Ended June 30, 2020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center"/>
              <w:ind w:left="609"/>
              <w:spacing w:after="0"/>
              <w:rPr>
                <w:sz w:val="20"/>
                <w:szCs w:val="20"/>
                <w:color w:val="auto"/>
              </w:rPr>
            </w:pPr>
            <w:r>
              <w:rPr>
                <w:rFonts w:ascii="Arial" w:cs="Arial" w:eastAsia="Arial" w:hAnsi="Arial"/>
                <w:sz w:val="14"/>
                <w:szCs w:val="14"/>
                <w:b w:val="1"/>
                <w:bCs w:val="1"/>
                <w:color w:val="auto"/>
              </w:rPr>
              <w:t>Six Months Ended June 30, 2020</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Change Due To</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50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Change Due To</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57"/>
        </w:trPr>
        <w:tc>
          <w:tcPr>
            <w:tcW w:w="24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480" w:type="dxa"/>
            <w:vAlign w:val="bottom"/>
          </w:tcPr>
          <w:p>
            <w:pPr>
              <w:ind w:left="340"/>
              <w:spacing w:after="0"/>
              <w:rPr>
                <w:sz w:val="20"/>
                <w:szCs w:val="20"/>
                <w:color w:val="auto"/>
              </w:rPr>
            </w:pPr>
            <w:r>
              <w:rPr>
                <w:rFonts w:ascii="Arial" w:cs="Arial" w:eastAsia="Arial" w:hAnsi="Arial"/>
                <w:sz w:val="11"/>
                <w:szCs w:val="11"/>
                <w:i w:val="1"/>
                <w:iCs w:val="1"/>
                <w:color w:val="auto"/>
              </w:rPr>
              <w:t>(in thousands)</w:t>
            </w:r>
          </w:p>
        </w:tc>
        <w:tc>
          <w:tcPr>
            <w:tcW w:w="50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Volume</w:t>
            </w:r>
          </w:p>
        </w:tc>
        <w:tc>
          <w:tcPr>
            <w:tcW w:w="640" w:type="dxa"/>
            <w:vAlign w:val="bottom"/>
          </w:tcPr>
          <w:p>
            <w:pPr>
              <w:spacing w:after="0"/>
              <w:rPr>
                <w:sz w:val="17"/>
                <w:szCs w:val="17"/>
                <w:color w:val="auto"/>
              </w:rPr>
            </w:pPr>
          </w:p>
        </w:tc>
        <w:tc>
          <w:tcPr>
            <w:tcW w:w="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Rate</w:t>
            </w:r>
          </w:p>
        </w:tc>
        <w:tc>
          <w:tcPr>
            <w:tcW w:w="1480" w:type="dxa"/>
            <w:vAlign w:val="bottom"/>
            <w:gridSpan w:val="3"/>
          </w:tcPr>
          <w:p>
            <w:pPr>
              <w:ind w:left="400"/>
              <w:spacing w:after="0"/>
              <w:rPr>
                <w:sz w:val="20"/>
                <w:szCs w:val="20"/>
                <w:color w:val="auto"/>
              </w:rPr>
            </w:pPr>
            <w:r>
              <w:rPr>
                <w:rFonts w:ascii="Arial" w:cs="Arial" w:eastAsia="Arial" w:hAnsi="Arial"/>
                <w:sz w:val="14"/>
                <w:szCs w:val="14"/>
                <w:b w:val="1"/>
                <w:bCs w:val="1"/>
                <w:color w:val="auto"/>
              </w:rPr>
              <w:t>Variance</w:t>
            </w:r>
          </w:p>
        </w:tc>
        <w:tc>
          <w:tcPr>
            <w:tcW w:w="50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Volume</w:t>
            </w:r>
          </w:p>
        </w:tc>
        <w:tc>
          <w:tcPr>
            <w:tcW w:w="6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Rate</w:t>
            </w:r>
          </w:p>
        </w:tc>
        <w:tc>
          <w:tcPr>
            <w:tcW w:w="122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21"/>
        </w:trPr>
        <w:tc>
          <w:tcPr>
            <w:tcW w:w="2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Interest Income:</w:t>
            </w: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24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Interest bearing deposits</w:t>
            </w: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5"/>
        </w:trPr>
        <w:tc>
          <w:tcPr>
            <w:tcW w:w="2480" w:type="dxa"/>
            <w:vAlign w:val="bottom"/>
          </w:tcPr>
          <w:p>
            <w:pPr>
              <w:ind w:left="500"/>
              <w:spacing w:after="0"/>
              <w:rPr>
                <w:sz w:val="20"/>
                <w:szCs w:val="20"/>
                <w:color w:val="auto"/>
              </w:rPr>
            </w:pPr>
            <w:r>
              <w:rPr>
                <w:rFonts w:ascii="Arial" w:cs="Arial" w:eastAsia="Arial" w:hAnsi="Arial"/>
                <w:sz w:val="14"/>
                <w:szCs w:val="14"/>
                <w:color w:val="auto"/>
              </w:rPr>
              <w:t>Federal funds sold</w:t>
            </w: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6"/>
        </w:trPr>
        <w:tc>
          <w:tcPr>
            <w:tcW w:w="2480" w:type="dxa"/>
            <w:vAlign w:val="bottom"/>
          </w:tcPr>
          <w:p>
            <w:pPr>
              <w:ind w:left="180"/>
              <w:spacing w:after="0"/>
              <w:rPr>
                <w:sz w:val="20"/>
                <w:szCs w:val="20"/>
                <w:color w:val="auto"/>
              </w:rPr>
            </w:pPr>
            <w:r>
              <w:rPr>
                <w:rFonts w:ascii="Arial" w:cs="Arial" w:eastAsia="Arial" w:hAnsi="Arial"/>
                <w:sz w:val="14"/>
                <w:szCs w:val="14"/>
                <w:color w:val="auto"/>
              </w:rPr>
              <w:t>Restricted stock</w:t>
            </w: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5"/>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6"/>
        </w:trPr>
        <w:tc>
          <w:tcPr>
            <w:tcW w:w="2480" w:type="dxa"/>
            <w:vAlign w:val="bottom"/>
          </w:tcPr>
          <w:p>
            <w:pPr>
              <w:ind w:left="180"/>
              <w:spacing w:after="0"/>
              <w:rPr>
                <w:sz w:val="20"/>
                <w:szCs w:val="20"/>
                <w:color w:val="auto"/>
              </w:rPr>
            </w:pPr>
            <w:r>
              <w:rPr>
                <w:rFonts w:ascii="Arial" w:cs="Arial" w:eastAsia="Arial" w:hAnsi="Arial"/>
                <w:sz w:val="14"/>
                <w:szCs w:val="14"/>
                <w:color w:val="auto"/>
              </w:rPr>
              <w:t>SBA-PPP loans receivable</w:t>
            </w: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1,261</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3,729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85"/>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Portfolio loans receivable</w:t>
            </w:r>
          </w:p>
        </w:tc>
        <w:tc>
          <w:tcPr>
            <w:tcW w:w="5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1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4,055</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6,143</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4,202</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4,353</w:t>
            </w:r>
          </w:p>
        </w:tc>
        <w:tc>
          <w:tcPr>
            <w:tcW w:w="1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179"/>
        </w:trPr>
        <w:tc>
          <w:tcPr>
            <w:tcW w:w="2480" w:type="dxa"/>
            <w:vAlign w:val="bottom"/>
            <w:tcBorders>
              <w:bottom w:val="single" w:sz="8" w:color="CCEEFF"/>
            </w:tcBorders>
          </w:tcPr>
          <w:p>
            <w:pPr>
              <w:ind w:left="620"/>
              <w:spacing w:after="0"/>
              <w:rPr>
                <w:sz w:val="20"/>
                <w:szCs w:val="20"/>
                <w:color w:val="auto"/>
              </w:rPr>
            </w:pPr>
            <w:r>
              <w:rPr>
                <w:rFonts w:ascii="Arial" w:cs="Arial" w:eastAsia="Arial" w:hAnsi="Arial"/>
                <w:sz w:val="14"/>
                <w:szCs w:val="14"/>
                <w:color w:val="auto"/>
              </w:rPr>
              <w:t>Total interest income</w:t>
            </w: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3,411</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3,878</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7,289</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8,010</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4,173</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80" w:type="dxa"/>
            <w:vAlign w:val="bottom"/>
          </w:tcPr>
          <w:p>
            <w:pPr>
              <w:ind w:left="340"/>
              <w:spacing w:after="0"/>
              <w:rPr>
                <w:sz w:val="20"/>
                <w:szCs w:val="20"/>
                <w:color w:val="auto"/>
              </w:rPr>
            </w:pPr>
            <w:r>
              <w:rPr>
                <w:rFonts w:ascii="Arial" w:cs="Arial" w:eastAsia="Arial" w:hAnsi="Arial"/>
                <w:sz w:val="14"/>
                <w:szCs w:val="14"/>
                <w:b w:val="1"/>
                <w:bCs w:val="1"/>
                <w:color w:val="auto"/>
              </w:rPr>
              <w:t>Interest Expense:</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480" w:type="dxa"/>
            <w:vAlign w:val="bottom"/>
            <w:shd w:val="clear" w:color="auto" w:fill="CCEEFF"/>
          </w:tcPr>
          <w:p>
            <w:pPr>
              <w:ind w:left="500"/>
              <w:spacing w:after="0" w:line="151" w:lineRule="exact"/>
              <w:rPr>
                <w:sz w:val="20"/>
                <w:szCs w:val="20"/>
                <w:color w:val="auto"/>
              </w:rPr>
            </w:pPr>
            <w:r>
              <w:rPr>
                <w:rFonts w:ascii="Arial" w:cs="Arial" w:eastAsia="Arial" w:hAnsi="Arial"/>
                <w:sz w:val="14"/>
                <w:szCs w:val="14"/>
                <w:color w:val="auto"/>
              </w:rPr>
              <w:t>Interest bearing demand</w:t>
            </w:r>
          </w:p>
        </w:tc>
        <w:tc>
          <w:tcPr>
            <w:tcW w:w="5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(1,384)</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8"/>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w:t>
            </w:r>
          </w:p>
        </w:tc>
        <w:tc>
          <w:tcPr>
            <w:tcW w:w="5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80" w:type="dxa"/>
            <w:vAlign w:val="bottom"/>
          </w:tcPr>
          <w:p>
            <w:pPr>
              <w:ind w:left="500"/>
              <w:spacing w:after="0"/>
              <w:rPr>
                <w:sz w:val="20"/>
                <w:szCs w:val="20"/>
                <w:color w:val="auto"/>
              </w:rPr>
            </w:pPr>
            <w:r>
              <w:rPr>
                <w:rFonts w:ascii="Arial" w:cs="Arial" w:eastAsia="Arial" w:hAnsi="Arial"/>
                <w:sz w:val="14"/>
                <w:szCs w:val="14"/>
                <w:color w:val="auto"/>
              </w:rPr>
              <w:t>Savings</w:t>
            </w:r>
          </w:p>
        </w:tc>
        <w:tc>
          <w:tcPr>
            <w:tcW w:w="5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Money market accounts</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(2,125)</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5"/>
        </w:trPr>
        <w:tc>
          <w:tcPr>
            <w:tcW w:w="2480" w:type="dxa"/>
            <w:vAlign w:val="bottom"/>
          </w:tcPr>
          <w:p>
            <w:pPr>
              <w:ind w:left="500"/>
              <w:spacing w:after="0"/>
              <w:rPr>
                <w:sz w:val="20"/>
                <w:szCs w:val="20"/>
                <w:color w:val="auto"/>
              </w:rPr>
            </w:pPr>
            <w:r>
              <w:rPr>
                <w:rFonts w:ascii="Arial" w:cs="Arial" w:eastAsia="Arial" w:hAnsi="Arial"/>
                <w:sz w:val="14"/>
                <w:szCs w:val="14"/>
                <w:color w:val="auto"/>
              </w:rPr>
              <w:t>Time deposits</w:t>
            </w: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(926)</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6"/>
        </w:trPr>
        <w:tc>
          <w:tcPr>
            <w:tcW w:w="2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Borrowed funds</w:t>
            </w:r>
          </w:p>
        </w:tc>
        <w:tc>
          <w:tcPr>
            <w:tcW w:w="5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9"/>
        </w:trPr>
        <w:tc>
          <w:tcPr>
            <w:tcW w:w="24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interest expense</w:t>
            </w: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(1,607)</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1,291</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(4,760)</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04"/>
        </w:trPr>
        <w:tc>
          <w:tcPr>
            <w:tcW w:w="2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Net interest income</w:t>
            </w: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3,135</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5,761</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8,896</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6,719</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8,933</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Net interest income increased by $8.9 million, or 47.8%, for the second quarter of 2021 compared to the second quarter of 2020 as average total interest earning assets increased from $1.6 billion to $2.0 billion. The increase in average interest earning assets was driven by an increase in average portfolio loan balances of $116.9 million, or 9.7%, from an average of $1.2 billion for the quarter ended June 30, 2020 to $1.3 billion for the quarter ended June 30, 2021. Average interest earning assets increased by the SBA-PPP loans which had an average balance of $250.0 million for the three months ended June 30, 2021 compared to $166.0 million for the three months ended June 30, 2020. The increase in average outstanding loan balances on SBA-PPP and portfolio loans, in addition to the increase in the average yield on SBA-PPP and portfolio loans, led to a 25 basis point increase in the yield on interest earning assets, from 5.57% for the three months ended June 30, 2020 to 5.82% for the three months ended June 30, 2021. The overall increase in yield on interest earning assets is primarily attributed to improving yields in the credit card portfolio as customer behaviors continue to normalize from the effects of the pandemic.</w:t>
      </w:r>
    </w:p>
    <w:p>
      <w:pPr>
        <w:spacing w:after="0" w:line="211"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Average interest bearing liabilities increased by $103.0 million, or 10.4%, from $986.8 million for the second quarter of 2020 to $1.1 billion for the second quarter of 2021. The increase was due to growth of $111.9 million, or 11.9%, in the average balance of interest bearing deposits partially offset by a decrease in the average balance of borrowed funds of $8.9 million, or 19.9%. The average interest rate paid on interest bearing liabilities decreased 73 basis points to 0.65% for the second quarter of 2021 from 1.38%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6" w:name="page47"/>
    <w:bookmarkEnd w:id="46"/>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for the second quarter of 2020. The decreases in the interest rates primarily reflect market interest rate decreases in 2020 and 2021.</w:t>
      </w:r>
    </w:p>
    <w:p>
      <w:pPr>
        <w:spacing w:after="0" w:line="217"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net interest margin increased 75 basis point to 5.47% for the three months ended June 30, 2021, from 4.72% for the three months ended June 30, 2020. Excluding credit cards and SBA-PPP loans, the Company’s net interest margin was 3.55% for the three months ended June 30, 2021, down 41 basis points from 3.96% for the three months ended June 30, 2020. The year over year net interest margin decrease of 75 basis points was primarily due to the declining rate environment. The Company’s net interest spread was 5.17% and 4.19% for the three months ended June 30, 2021 and 2020,respectively.</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Average</w:t>
            </w:r>
          </w:p>
        </w:tc>
        <w:tc>
          <w:tcPr>
            <w:tcW w:w="480" w:type="dxa"/>
            <w:vAlign w:val="bottom"/>
          </w:tcPr>
          <w:p>
            <w:pPr>
              <w:spacing w:after="0"/>
              <w:rPr>
                <w:sz w:val="12"/>
                <w:szCs w:val="12"/>
                <w:color w:val="auto"/>
              </w:rPr>
            </w:pPr>
          </w:p>
        </w:tc>
        <w:tc>
          <w:tcPr>
            <w:tcW w:w="96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Interest</w:t>
            </w:r>
          </w:p>
        </w:tc>
        <w:tc>
          <w:tcPr>
            <w:tcW w:w="1100" w:type="dxa"/>
            <w:vAlign w:val="bottom"/>
          </w:tcPr>
          <w:p>
            <w:pPr>
              <w:ind w:left="500"/>
              <w:spacing w:after="0" w:line="139"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2"/>
          </w:tcPr>
          <w:p>
            <w:pPr>
              <w:ind w:left="180"/>
              <w:spacing w:after="0" w:line="139" w:lineRule="exact"/>
              <w:rPr>
                <w:sz w:val="20"/>
                <w:szCs w:val="20"/>
                <w:color w:val="auto"/>
              </w:rPr>
            </w:pPr>
            <w:r>
              <w:rPr>
                <w:rFonts w:ascii="Arial" w:cs="Arial" w:eastAsia="Arial" w:hAnsi="Arial"/>
                <w:sz w:val="14"/>
                <w:szCs w:val="14"/>
                <w:b w:val="1"/>
                <w:bCs w:val="1"/>
                <w:color w:val="auto"/>
              </w:rPr>
              <w:t>Average</w:t>
            </w:r>
          </w:p>
        </w:tc>
        <w:tc>
          <w:tcPr>
            <w:tcW w:w="480" w:type="dxa"/>
            <w:vAlign w:val="bottom"/>
          </w:tcPr>
          <w:p>
            <w:pPr>
              <w:spacing w:after="0"/>
              <w:rPr>
                <w:sz w:val="12"/>
                <w:szCs w:val="12"/>
                <w:color w:val="auto"/>
              </w:rPr>
            </w:pPr>
          </w:p>
        </w:tc>
        <w:tc>
          <w:tcPr>
            <w:tcW w:w="96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Interest</w:t>
            </w:r>
          </w:p>
        </w:tc>
        <w:tc>
          <w:tcPr>
            <w:tcW w:w="1100" w:type="dxa"/>
            <w:vAlign w:val="bottom"/>
          </w:tcPr>
          <w:p>
            <w:pPr>
              <w:ind w:left="500"/>
              <w:spacing w:after="0" w:line="13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gridSpan w:val="3"/>
          </w:tcPr>
          <w:p>
            <w:pPr>
              <w:ind w:left="320"/>
              <w:spacing w:after="0" w:line="133" w:lineRule="exact"/>
              <w:rPr>
                <w:sz w:val="20"/>
                <w:szCs w:val="20"/>
                <w:color w:val="auto"/>
              </w:rPr>
            </w:pPr>
            <w:r>
              <w:rPr>
                <w:rFonts w:ascii="Arial" w:cs="Arial" w:eastAsia="Arial" w:hAnsi="Arial"/>
                <w:sz w:val="14"/>
                <w:szCs w:val="14"/>
                <w:b w:val="1"/>
                <w:bCs w:val="1"/>
                <w:color w:val="auto"/>
              </w:rPr>
              <w:t>Outstanding</w:t>
            </w:r>
          </w:p>
        </w:tc>
        <w:tc>
          <w:tcPr>
            <w:tcW w:w="1440" w:type="dxa"/>
            <w:vAlign w:val="bottom"/>
            <w:gridSpan w:val="3"/>
          </w:tcPr>
          <w:p>
            <w:pPr>
              <w:ind w:left="380"/>
              <w:spacing w:after="0" w:line="133" w:lineRule="exact"/>
              <w:rPr>
                <w:sz w:val="20"/>
                <w:szCs w:val="20"/>
                <w:color w:val="auto"/>
              </w:rPr>
            </w:pPr>
            <w:r>
              <w:rPr>
                <w:rFonts w:ascii="Arial" w:cs="Arial" w:eastAsia="Arial" w:hAnsi="Arial"/>
                <w:sz w:val="14"/>
                <w:szCs w:val="14"/>
                <w:b w:val="1"/>
                <w:bCs w:val="1"/>
                <w:color w:val="auto"/>
              </w:rPr>
              <w:t>Income/</w:t>
            </w:r>
          </w:p>
        </w:tc>
        <w:tc>
          <w:tcPr>
            <w:tcW w:w="1100" w:type="dxa"/>
            <w:vAlign w:val="bottom"/>
          </w:tcPr>
          <w:p>
            <w:pPr>
              <w:jc w:val="center"/>
              <w:ind w:left="89"/>
              <w:spacing w:after="0" w:line="133" w:lineRule="exact"/>
              <w:rPr>
                <w:sz w:val="20"/>
                <w:szCs w:val="20"/>
                <w:color w:val="auto"/>
              </w:rPr>
            </w:pPr>
            <w:r>
              <w:rPr>
                <w:rFonts w:ascii="Arial" w:cs="Arial" w:eastAsia="Arial" w:hAnsi="Arial"/>
                <w:sz w:val="14"/>
                <w:szCs w:val="14"/>
                <w:b w:val="1"/>
                <w:bCs w:val="1"/>
                <w:color w:val="auto"/>
              </w:rPr>
              <w:t>Yield/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tcPr>
          <w:p>
            <w:pPr>
              <w:ind w:left="340"/>
              <w:spacing w:after="0" w:line="133" w:lineRule="exact"/>
              <w:rPr>
                <w:sz w:val="20"/>
                <w:szCs w:val="20"/>
                <w:color w:val="auto"/>
              </w:rPr>
            </w:pPr>
            <w:r>
              <w:rPr>
                <w:rFonts w:ascii="Arial" w:cs="Arial" w:eastAsia="Arial" w:hAnsi="Arial"/>
                <w:sz w:val="14"/>
                <w:szCs w:val="14"/>
                <w:b w:val="1"/>
                <w:bCs w:val="1"/>
                <w:color w:val="auto"/>
              </w:rPr>
              <w:t>Outstanding</w:t>
            </w:r>
          </w:p>
        </w:tc>
        <w:tc>
          <w:tcPr>
            <w:tcW w:w="1440" w:type="dxa"/>
            <w:vAlign w:val="bottom"/>
            <w:gridSpan w:val="3"/>
          </w:tcPr>
          <w:p>
            <w:pPr>
              <w:ind w:left="380"/>
              <w:spacing w:after="0" w:line="133" w:lineRule="exact"/>
              <w:rPr>
                <w:sz w:val="20"/>
                <w:szCs w:val="20"/>
                <w:color w:val="auto"/>
              </w:rPr>
            </w:pPr>
            <w:r>
              <w:rPr>
                <w:rFonts w:ascii="Arial" w:cs="Arial" w:eastAsia="Arial" w:hAnsi="Arial"/>
                <w:sz w:val="14"/>
                <w:szCs w:val="14"/>
                <w:b w:val="1"/>
                <w:bCs w:val="1"/>
                <w:color w:val="auto"/>
              </w:rPr>
              <w:t>Income/</w:t>
            </w:r>
          </w:p>
        </w:tc>
        <w:tc>
          <w:tcPr>
            <w:tcW w:w="1100" w:type="dxa"/>
            <w:vAlign w:val="bottom"/>
          </w:tcPr>
          <w:p>
            <w:pPr>
              <w:jc w:val="center"/>
              <w:ind w:left="89"/>
              <w:spacing w:after="0" w:line="133"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2"/>
        </w:trPr>
        <w:tc>
          <w:tcPr>
            <w:tcW w:w="2360" w:type="dxa"/>
            <w:vAlign w:val="bottom"/>
            <w:vMerge w:val="restart"/>
          </w:tcPr>
          <w:p>
            <w:pPr>
              <w:ind w:left="340"/>
              <w:spacing w:after="0"/>
              <w:rPr>
                <w:sz w:val="20"/>
                <w:szCs w:val="20"/>
                <w:color w:val="auto"/>
              </w:rPr>
            </w:pPr>
            <w:r>
              <w:rPr>
                <w:rFonts w:ascii="Arial" w:cs="Arial" w:eastAsia="Arial" w:hAnsi="Arial"/>
                <w:sz w:val="11"/>
                <w:szCs w:val="11"/>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14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Expense</w:t>
            </w:r>
          </w:p>
        </w:tc>
        <w:tc>
          <w:tcPr>
            <w:tcW w:w="1100" w:type="dxa"/>
            <w:vAlign w:val="bottom"/>
            <w:tcBorders>
              <w:bottom w:val="single" w:sz="8" w:color="auto"/>
            </w:tcBorders>
          </w:tcPr>
          <w:p>
            <w:pPr>
              <w:jc w:val="center"/>
              <w:ind w:left="129"/>
              <w:spacing w:after="0" w:line="172"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8"/>
                <w:szCs w:val="18"/>
                <w:b w:val="1"/>
                <w:bCs w:val="1"/>
                <w:color w:val="auto"/>
                <w:w w:val="93"/>
                <w:vertAlign w:val="superscript"/>
              </w:rPr>
              <w:t>(1)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14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Expense</w:t>
            </w:r>
          </w:p>
        </w:tc>
        <w:tc>
          <w:tcPr>
            <w:tcW w:w="1100" w:type="dxa"/>
            <w:vAlign w:val="bottom"/>
            <w:tcBorders>
              <w:bottom w:val="single" w:sz="8" w:color="auto"/>
            </w:tcBorders>
          </w:tcPr>
          <w:p>
            <w:pPr>
              <w:jc w:val="center"/>
              <w:ind w:left="129"/>
              <w:spacing w:after="0" w:line="172"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8"/>
                <w:szCs w:val="18"/>
                <w:b w:val="1"/>
                <w:bCs w:val="1"/>
                <w:color w:val="auto"/>
                <w:w w:val="93"/>
                <w:vertAlign w:val="superscript"/>
              </w:rPr>
              <w:t>(1)</w:t>
            </w:r>
          </w:p>
        </w:tc>
        <w:tc>
          <w:tcPr>
            <w:tcW w:w="0" w:type="dxa"/>
            <w:vAlign w:val="bottom"/>
          </w:tcPr>
          <w:p>
            <w:pPr>
              <w:spacing w:after="0"/>
              <w:rPr>
                <w:sz w:val="1"/>
                <w:szCs w:val="1"/>
                <w:color w:val="auto"/>
              </w:rPr>
            </w:pPr>
          </w:p>
        </w:tc>
      </w:tr>
      <w:tr>
        <w:trPr>
          <w:trHeight w:val="118"/>
        </w:trPr>
        <w:tc>
          <w:tcPr>
            <w:tcW w:w="236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360" w:type="dxa"/>
            <w:vAlign w:val="bottom"/>
          </w:tcPr>
          <w:p>
            <w:pPr>
              <w:ind w:left="340"/>
              <w:spacing w:after="0"/>
              <w:rPr>
                <w:sz w:val="20"/>
                <w:szCs w:val="20"/>
                <w:color w:val="auto"/>
              </w:rPr>
            </w:pPr>
            <w:r>
              <w:rPr>
                <w:rFonts w:ascii="Arial" w:cs="Arial" w:eastAsia="Arial" w:hAnsi="Arial"/>
                <w:sz w:val="14"/>
                <w:szCs w:val="14"/>
                <w:b w:val="1"/>
                <w:bCs w:val="1"/>
                <w:color w:val="auto"/>
              </w:rPr>
              <w:t>Assets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earning assets:</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Pr>
          <w:p>
            <w:pPr>
              <w:ind w:left="180"/>
              <w:spacing w:after="0"/>
              <w:rPr>
                <w:sz w:val="20"/>
                <w:szCs w:val="20"/>
                <w:color w:val="auto"/>
              </w:rPr>
            </w:pPr>
            <w:r>
              <w:rPr>
                <w:rFonts w:ascii="Arial" w:cs="Arial" w:eastAsia="Arial" w:hAnsi="Arial"/>
                <w:sz w:val="14"/>
                <w:szCs w:val="14"/>
                <w:color w:val="auto"/>
              </w:rPr>
              <w:t>Interest bearing deposits</w:t>
            </w:r>
          </w:p>
        </w:tc>
        <w:tc>
          <w:tcPr>
            <w:tcW w:w="46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232,712</w:t>
            </w:r>
          </w:p>
        </w:tc>
        <w:tc>
          <w:tcPr>
            <w:tcW w:w="120" w:type="dxa"/>
            <w:vAlign w:val="bottom"/>
          </w:tcPr>
          <w:p>
            <w:pPr>
              <w:spacing w:after="0"/>
              <w:rPr>
                <w:sz w:val="16"/>
                <w:szCs w:val="16"/>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16"/>
                <w:szCs w:val="16"/>
                <w:color w:val="auto"/>
              </w:rPr>
            </w:pPr>
          </w:p>
        </w:tc>
        <w:tc>
          <w:tcPr>
            <w:tcW w:w="1100" w:type="dxa"/>
            <w:vAlign w:val="bottom"/>
          </w:tcPr>
          <w:p>
            <w:pPr>
              <w:jc w:val="center"/>
              <w:ind w:left="109"/>
              <w:spacing w:after="0"/>
              <w:rPr>
                <w:sz w:val="20"/>
                <w:szCs w:val="20"/>
                <w:color w:val="auto"/>
              </w:rPr>
            </w:pPr>
            <w:r>
              <w:rPr>
                <w:rFonts w:ascii="Arial" w:cs="Arial" w:eastAsia="Arial" w:hAnsi="Arial"/>
                <w:sz w:val="14"/>
                <w:szCs w:val="14"/>
                <w:b w:val="1"/>
                <w:bCs w:val="1"/>
                <w:color w:val="auto"/>
              </w:rPr>
              <w:t>0.10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88,238</w:t>
            </w:r>
          </w:p>
        </w:tc>
        <w:tc>
          <w:tcPr>
            <w:tcW w:w="120" w:type="dxa"/>
            <w:vAlign w:val="bottom"/>
          </w:tcPr>
          <w:p>
            <w:pPr>
              <w:spacing w:after="0"/>
              <w:rPr>
                <w:sz w:val="16"/>
                <w:szCs w:val="16"/>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6"/>
                <w:szCs w:val="16"/>
                <w:color w:val="auto"/>
              </w:rPr>
            </w:pPr>
          </w:p>
        </w:tc>
        <w:tc>
          <w:tcPr>
            <w:tcW w:w="1100" w:type="dxa"/>
            <w:vAlign w:val="bottom"/>
          </w:tcPr>
          <w:p>
            <w:pPr>
              <w:jc w:val="center"/>
              <w:ind w:left="109"/>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185"/>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Federal funds sold</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3,477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center"/>
              <w:ind w:left="109"/>
              <w:spacing w:after="0"/>
              <w:rPr>
                <w:sz w:val="20"/>
                <w:szCs w:val="20"/>
                <w:color w:val="auto"/>
              </w:rPr>
            </w:pPr>
            <w:r>
              <w:rPr>
                <w:rFonts w:ascii="Arial" w:cs="Arial" w:eastAsia="Arial" w:hAnsi="Arial"/>
                <w:sz w:val="14"/>
                <w:szCs w:val="14"/>
                <w:b w:val="1"/>
                <w:bCs w:val="1"/>
                <w:color w:val="auto"/>
              </w:rPr>
              <w:t>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left="109"/>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86"/>
        </w:trPr>
        <w:tc>
          <w:tcPr>
            <w:tcW w:w="2360" w:type="dxa"/>
            <w:vAlign w:val="bottom"/>
          </w:tcPr>
          <w:p>
            <w:pPr>
              <w:ind w:left="180"/>
              <w:spacing w:after="0"/>
              <w:rPr>
                <w:sz w:val="20"/>
                <w:szCs w:val="20"/>
                <w:color w:val="auto"/>
              </w:rPr>
            </w:pPr>
            <w:r>
              <w:rPr>
                <w:rFonts w:ascii="Arial" w:cs="Arial" w:eastAsia="Arial" w:hAnsi="Arial"/>
                <w:sz w:val="14"/>
                <w:szCs w:val="14"/>
                <w:color w:val="auto"/>
              </w:rPr>
              <w:t>Investment securities</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123,443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1,022</w:t>
            </w:r>
          </w:p>
        </w:tc>
        <w:tc>
          <w:tcPr>
            <w:tcW w:w="100" w:type="dxa"/>
            <w:vAlign w:val="bottom"/>
          </w:tcPr>
          <w:p>
            <w:pPr>
              <w:spacing w:after="0"/>
              <w:rPr>
                <w:sz w:val="16"/>
                <w:szCs w:val="16"/>
                <w:color w:val="auto"/>
              </w:rPr>
            </w:pPr>
          </w:p>
        </w:tc>
        <w:tc>
          <w:tcPr>
            <w:tcW w:w="1100" w:type="dxa"/>
            <w:vAlign w:val="bottom"/>
          </w:tcPr>
          <w:p>
            <w:pPr>
              <w:jc w:val="center"/>
              <w:ind w:left="109"/>
              <w:spacing w:after="0"/>
              <w:rPr>
                <w:sz w:val="20"/>
                <w:szCs w:val="20"/>
                <w:color w:val="auto"/>
              </w:rPr>
            </w:pPr>
            <w:r>
              <w:rPr>
                <w:rFonts w:ascii="Arial" w:cs="Arial" w:eastAsia="Arial" w:hAnsi="Arial"/>
                <w:sz w:val="14"/>
                <w:szCs w:val="14"/>
                <w:b w:val="1"/>
                <w:bCs w:val="1"/>
                <w:color w:val="auto"/>
              </w:rPr>
              <w:t>1.67</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59,628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6"/>
                <w:szCs w:val="16"/>
                <w:color w:val="auto"/>
              </w:rPr>
            </w:pPr>
          </w:p>
        </w:tc>
        <w:tc>
          <w:tcPr>
            <w:tcW w:w="1100" w:type="dxa"/>
            <w:vAlign w:val="bottom"/>
          </w:tcPr>
          <w:p>
            <w:pPr>
              <w:jc w:val="center"/>
              <w:ind w:left="109"/>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85"/>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investments</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3,691</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left="109"/>
              <w:spacing w:after="0"/>
              <w:rPr>
                <w:sz w:val="20"/>
                <w:szCs w:val="20"/>
                <w:color w:val="auto"/>
              </w:rPr>
            </w:pPr>
            <w:r>
              <w:rPr>
                <w:rFonts w:ascii="Arial" w:cs="Arial" w:eastAsia="Arial" w:hAnsi="Arial"/>
                <w:sz w:val="14"/>
                <w:szCs w:val="14"/>
                <w:b w:val="1"/>
                <w:bCs w:val="1"/>
                <w:color w:val="auto"/>
              </w:rPr>
              <w:t>4.56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4,035</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left="109"/>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86"/>
        </w:trPr>
        <w:tc>
          <w:tcPr>
            <w:tcW w:w="2360" w:type="dxa"/>
            <w:vAlign w:val="bottom"/>
          </w:tcPr>
          <w:p>
            <w:pPr>
              <w:ind w:left="180"/>
              <w:spacing w:after="0"/>
              <w:rPr>
                <w:sz w:val="20"/>
                <w:szCs w:val="20"/>
                <w:color w:val="auto"/>
              </w:rPr>
            </w:pPr>
            <w:r>
              <w:rPr>
                <w:rFonts w:ascii="Arial" w:cs="Arial" w:eastAsia="Arial" w:hAnsi="Arial"/>
                <w:sz w:val="14"/>
                <w:szCs w:val="14"/>
                <w:color w:val="auto"/>
              </w:rPr>
              <w:t>Loans held for sale</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58,475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794</w:t>
            </w:r>
          </w:p>
        </w:tc>
        <w:tc>
          <w:tcPr>
            <w:tcW w:w="100" w:type="dxa"/>
            <w:vAlign w:val="bottom"/>
          </w:tcPr>
          <w:p>
            <w:pPr>
              <w:spacing w:after="0"/>
              <w:rPr>
                <w:sz w:val="16"/>
                <w:szCs w:val="16"/>
                <w:color w:val="auto"/>
              </w:rPr>
            </w:pPr>
          </w:p>
        </w:tc>
        <w:tc>
          <w:tcPr>
            <w:tcW w:w="1100" w:type="dxa"/>
            <w:vAlign w:val="bottom"/>
          </w:tcPr>
          <w:p>
            <w:pPr>
              <w:jc w:val="center"/>
              <w:ind w:left="109"/>
              <w:spacing w:after="0"/>
              <w:rPr>
                <w:sz w:val="20"/>
                <w:szCs w:val="20"/>
                <w:color w:val="auto"/>
              </w:rPr>
            </w:pPr>
            <w:r>
              <w:rPr>
                <w:rFonts w:ascii="Arial" w:cs="Arial" w:eastAsia="Arial" w:hAnsi="Arial"/>
                <w:sz w:val="14"/>
                <w:szCs w:val="14"/>
                <w:b w:val="1"/>
                <w:bCs w:val="1"/>
                <w:color w:val="auto"/>
              </w:rPr>
              <w:t>2.74</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60,180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16"/>
                <w:szCs w:val="16"/>
                <w:color w:val="auto"/>
              </w:rPr>
            </w:pPr>
          </w:p>
        </w:tc>
        <w:tc>
          <w:tcPr>
            <w:tcW w:w="1100" w:type="dxa"/>
            <w:vAlign w:val="bottom"/>
          </w:tcPr>
          <w:p>
            <w:pPr>
              <w:jc w:val="center"/>
              <w:ind w:left="109"/>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86"/>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SBA-PPP loans receivable</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242,619</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4,741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left="109"/>
              <w:spacing w:after="0"/>
              <w:rPr>
                <w:sz w:val="20"/>
                <w:szCs w:val="20"/>
                <w:color w:val="auto"/>
              </w:rPr>
            </w:pPr>
            <w:r>
              <w:rPr>
                <w:rFonts w:ascii="Arial" w:cs="Arial" w:eastAsia="Arial" w:hAnsi="Arial"/>
                <w:sz w:val="14"/>
                <w:szCs w:val="14"/>
                <w:b w:val="1"/>
                <w:bCs w:val="1"/>
                <w:color w:val="auto"/>
              </w:rPr>
              <w:t>3.94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83,060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left="109"/>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85"/>
        </w:trPr>
        <w:tc>
          <w:tcPr>
            <w:tcW w:w="2360" w:type="dxa"/>
            <w:vAlign w:val="bottom"/>
            <w:tcBorders>
              <w:bottom w:val="single" w:sz="8" w:color="CCEEFF"/>
            </w:tcBorders>
          </w:tcPr>
          <w:p>
            <w:pPr>
              <w:ind w:left="180"/>
              <w:spacing w:after="0" w:line="186" w:lineRule="exact"/>
              <w:rPr>
                <w:sz w:val="20"/>
                <w:szCs w:val="20"/>
                <w:color w:val="auto"/>
              </w:rPr>
            </w:pPr>
            <w:r>
              <w:rPr>
                <w:rFonts w:ascii="Arial" w:cs="Arial" w:eastAsia="Arial" w:hAnsi="Arial"/>
                <w:sz w:val="14"/>
                <w:szCs w:val="14"/>
                <w:color w:val="auto"/>
              </w:rPr>
              <w:t>Portfolio loans receivable</w:t>
            </w:r>
            <w:r>
              <w:rPr>
                <w:rFonts w:ascii="Arial" w:cs="Arial" w:eastAsia="Arial" w:hAnsi="Arial"/>
                <w:sz w:val="18"/>
                <w:szCs w:val="18"/>
                <w:color w:val="auto"/>
                <w:vertAlign w:val="superscript"/>
              </w:rPr>
              <w:t>(2)</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1,305,973</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49,174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rPr>
              <w:t>7.59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1,187,170</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40,619</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79"/>
        </w:trPr>
        <w:tc>
          <w:tcPr>
            <w:tcW w:w="23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interest earning assets</w:t>
            </w: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1,970,390</w:t>
            </w:r>
          </w:p>
        </w:tc>
        <w:tc>
          <w:tcPr>
            <w:tcW w:w="1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55,927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ind w:left="109"/>
              <w:spacing w:after="0"/>
              <w:rPr>
                <w:sz w:val="20"/>
                <w:szCs w:val="20"/>
                <w:color w:val="auto"/>
              </w:rPr>
            </w:pPr>
            <w:r>
              <w:rPr>
                <w:rFonts w:ascii="Arial" w:cs="Arial" w:eastAsia="Arial" w:hAnsi="Arial"/>
                <w:sz w:val="14"/>
                <w:szCs w:val="14"/>
                <w:b w:val="1"/>
                <w:bCs w:val="1"/>
                <w:color w:val="auto"/>
              </w:rPr>
              <w:t>5.72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1,483,790</w:t>
            </w:r>
          </w:p>
        </w:tc>
        <w:tc>
          <w:tcPr>
            <w:tcW w:w="1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43,744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ind w:left="109"/>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65"/>
        </w:trPr>
        <w:tc>
          <w:tcPr>
            <w:tcW w:w="23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Noninterest earning assets</w:t>
            </w: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25,113</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21,279</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3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assets</w:t>
            </w:r>
          </w:p>
        </w:tc>
        <w:tc>
          <w:tcPr>
            <w:tcW w:w="46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1,995,503</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1,505,069</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6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b w:val="1"/>
                <w:bCs w:val="1"/>
                <w:color w:val="auto"/>
              </w:rPr>
              <w:t>Liabilities and Stockholders’</w:t>
            </w:r>
          </w:p>
        </w:tc>
        <w:tc>
          <w:tcPr>
            <w:tcW w:w="4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Equity</w:t>
            </w: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360" w:type="dxa"/>
            <w:vAlign w:val="bottom"/>
          </w:tcPr>
          <w:p>
            <w:pPr>
              <w:ind w:left="340"/>
              <w:spacing w:after="0"/>
              <w:rPr>
                <w:sz w:val="20"/>
                <w:szCs w:val="20"/>
                <w:color w:val="auto"/>
              </w:rPr>
            </w:pPr>
            <w:r>
              <w:rPr>
                <w:rFonts w:ascii="Arial" w:cs="Arial" w:eastAsia="Arial" w:hAnsi="Arial"/>
                <w:sz w:val="14"/>
                <w:szCs w:val="14"/>
                <w:color w:val="auto"/>
              </w:rPr>
              <w:t>Interest bearing liabilities:</w:t>
            </w: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demand accounts</w:t>
            </w:r>
          </w:p>
        </w:tc>
        <w:tc>
          <w:tcPr>
            <w:tcW w:w="46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269,647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left="109"/>
              <w:spacing w:after="0"/>
              <w:rPr>
                <w:sz w:val="20"/>
                <w:szCs w:val="20"/>
                <w:color w:val="auto"/>
              </w:rPr>
            </w:pPr>
            <w:r>
              <w:rPr>
                <w:rFonts w:ascii="Arial" w:cs="Arial" w:eastAsia="Arial" w:hAnsi="Arial"/>
                <w:sz w:val="14"/>
                <w:szCs w:val="14"/>
                <w:b w:val="1"/>
                <w:bCs w:val="1"/>
                <w:color w:val="auto"/>
              </w:rPr>
              <w:t>0.09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162,985</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left="109"/>
              <w:spacing w:after="0"/>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185"/>
        </w:trPr>
        <w:tc>
          <w:tcPr>
            <w:tcW w:w="2360" w:type="dxa"/>
            <w:vAlign w:val="bottom"/>
          </w:tcPr>
          <w:p>
            <w:pPr>
              <w:ind w:left="180"/>
              <w:spacing w:after="0"/>
              <w:rPr>
                <w:sz w:val="20"/>
                <w:szCs w:val="20"/>
                <w:color w:val="auto"/>
              </w:rPr>
            </w:pPr>
            <w:r>
              <w:rPr>
                <w:rFonts w:ascii="Arial" w:cs="Arial" w:eastAsia="Arial" w:hAnsi="Arial"/>
                <w:sz w:val="14"/>
                <w:szCs w:val="14"/>
                <w:color w:val="auto"/>
              </w:rPr>
              <w:t>Savings</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6,127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100" w:type="dxa"/>
            <w:vAlign w:val="bottom"/>
          </w:tcPr>
          <w:p>
            <w:pPr>
              <w:jc w:val="center"/>
              <w:ind w:left="109"/>
              <w:spacing w:after="0"/>
              <w:rPr>
                <w:sz w:val="20"/>
                <w:szCs w:val="20"/>
                <w:color w:val="auto"/>
              </w:rPr>
            </w:pPr>
            <w:r>
              <w:rPr>
                <w:rFonts w:ascii="Arial" w:cs="Arial" w:eastAsia="Arial" w:hAnsi="Arial"/>
                <w:sz w:val="14"/>
                <w:szCs w:val="14"/>
                <w:b w:val="1"/>
                <w:bCs w:val="1"/>
                <w:color w:val="auto"/>
              </w:rPr>
              <w:t>0.05</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4,463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100" w:type="dxa"/>
            <w:vAlign w:val="bottom"/>
          </w:tcPr>
          <w:p>
            <w:pPr>
              <w:jc w:val="center"/>
              <w:ind w:left="109"/>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186"/>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Money market accounts</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465,882</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left="109"/>
              <w:spacing w:after="0"/>
              <w:rPr>
                <w:sz w:val="20"/>
                <w:szCs w:val="20"/>
                <w:color w:val="auto"/>
              </w:rPr>
            </w:pPr>
            <w:r>
              <w:rPr>
                <w:rFonts w:ascii="Arial" w:cs="Arial" w:eastAsia="Arial" w:hAnsi="Arial"/>
                <w:sz w:val="14"/>
                <w:szCs w:val="14"/>
                <w:b w:val="1"/>
                <w:bCs w:val="1"/>
                <w:color w:val="auto"/>
              </w:rPr>
              <w:t>0.38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459,865</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2,967</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left="109"/>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5"/>
        </w:trPr>
        <w:tc>
          <w:tcPr>
            <w:tcW w:w="2360" w:type="dxa"/>
            <w:vAlign w:val="bottom"/>
          </w:tcPr>
          <w:p>
            <w:pPr>
              <w:ind w:left="180"/>
              <w:spacing w:after="0"/>
              <w:rPr>
                <w:sz w:val="20"/>
                <w:szCs w:val="20"/>
                <w:color w:val="auto"/>
              </w:rPr>
            </w:pPr>
            <w:r>
              <w:rPr>
                <w:rFonts w:ascii="Arial" w:cs="Arial" w:eastAsia="Arial" w:hAnsi="Arial"/>
                <w:sz w:val="14"/>
                <w:szCs w:val="14"/>
                <w:color w:val="auto"/>
              </w:rPr>
              <w:t>Time deposits</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318,512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2,588</w:t>
            </w:r>
          </w:p>
        </w:tc>
        <w:tc>
          <w:tcPr>
            <w:tcW w:w="100" w:type="dxa"/>
            <w:vAlign w:val="bottom"/>
          </w:tcPr>
          <w:p>
            <w:pPr>
              <w:spacing w:after="0"/>
              <w:rPr>
                <w:sz w:val="16"/>
                <w:szCs w:val="16"/>
                <w:color w:val="auto"/>
              </w:rPr>
            </w:pPr>
          </w:p>
        </w:tc>
        <w:tc>
          <w:tcPr>
            <w:tcW w:w="1100" w:type="dxa"/>
            <w:vAlign w:val="bottom"/>
          </w:tcPr>
          <w:p>
            <w:pPr>
              <w:jc w:val="center"/>
              <w:ind w:left="109"/>
              <w:spacing w:after="0"/>
              <w:rPr>
                <w:sz w:val="20"/>
                <w:szCs w:val="20"/>
                <w:color w:val="auto"/>
              </w:rPr>
            </w:pPr>
            <w:r>
              <w:rPr>
                <w:rFonts w:ascii="Arial" w:cs="Arial" w:eastAsia="Arial" w:hAnsi="Arial"/>
                <w:sz w:val="14"/>
                <w:szCs w:val="14"/>
                <w:b w:val="1"/>
                <w:bCs w:val="1"/>
                <w:color w:val="auto"/>
              </w:rPr>
              <w:t>1.64</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293,374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3,198</w:t>
            </w:r>
          </w:p>
        </w:tc>
        <w:tc>
          <w:tcPr>
            <w:tcW w:w="100" w:type="dxa"/>
            <w:vAlign w:val="bottom"/>
          </w:tcPr>
          <w:p>
            <w:pPr>
              <w:spacing w:after="0"/>
              <w:rPr>
                <w:sz w:val="16"/>
                <w:szCs w:val="16"/>
                <w:color w:val="auto"/>
              </w:rPr>
            </w:pPr>
          </w:p>
        </w:tc>
        <w:tc>
          <w:tcPr>
            <w:tcW w:w="1100" w:type="dxa"/>
            <w:vAlign w:val="bottom"/>
          </w:tcPr>
          <w:p>
            <w:pPr>
              <w:jc w:val="center"/>
              <w:ind w:left="109"/>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85"/>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Borrowed funds</w:t>
            </w:r>
          </w:p>
        </w:tc>
        <w:tc>
          <w:tcPr>
            <w:tcW w:w="4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34,699</w:t>
            </w: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375</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ind w:left="109"/>
              <w:spacing w:after="0"/>
              <w:rPr>
                <w:sz w:val="20"/>
                <w:szCs w:val="20"/>
                <w:color w:val="auto"/>
              </w:rPr>
            </w:pPr>
            <w:r>
              <w:rPr>
                <w:rFonts w:ascii="Arial" w:cs="Arial" w:eastAsia="Arial" w:hAnsi="Arial"/>
                <w:sz w:val="14"/>
                <w:szCs w:val="14"/>
                <w:b w:val="1"/>
                <w:bCs w:val="1"/>
                <w:color w:val="auto"/>
              </w:rPr>
              <w:t>2.18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45,214</w:t>
            </w: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ind w:left="109"/>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79"/>
        </w:trPr>
        <w:tc>
          <w:tcPr>
            <w:tcW w:w="23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interest bearing liabilities</w:t>
            </w:r>
          </w:p>
        </w:tc>
        <w:tc>
          <w:tcPr>
            <w:tcW w:w="4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1,094,867</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3,964</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center"/>
              <w:ind w:left="109"/>
              <w:spacing w:after="0"/>
              <w:rPr>
                <w:sz w:val="20"/>
                <w:szCs w:val="20"/>
                <w:color w:val="auto"/>
              </w:rPr>
            </w:pPr>
            <w:r>
              <w:rPr>
                <w:rFonts w:ascii="Arial" w:cs="Arial" w:eastAsia="Arial" w:hAnsi="Arial"/>
                <w:sz w:val="14"/>
                <w:szCs w:val="14"/>
                <w:b w:val="1"/>
                <w:bCs w:val="1"/>
                <w:color w:val="auto"/>
              </w:rPr>
              <w:t>0.73</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965,901</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7,433</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center"/>
              <w:ind w:left="109"/>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bearing liabilities:</w:t>
            </w: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360" w:type="dxa"/>
            <w:vAlign w:val="bottom"/>
          </w:tcPr>
          <w:p>
            <w:pPr>
              <w:ind w:left="180"/>
              <w:spacing w:after="0"/>
              <w:rPr>
                <w:sz w:val="20"/>
                <w:szCs w:val="20"/>
                <w:color w:val="auto"/>
              </w:rPr>
            </w:pPr>
            <w:r>
              <w:rPr>
                <w:rFonts w:ascii="Arial" w:cs="Arial" w:eastAsia="Arial" w:hAnsi="Arial"/>
                <w:sz w:val="14"/>
                <w:szCs w:val="14"/>
                <w:color w:val="auto"/>
              </w:rPr>
              <w:t>Noninterest bearing liabilities</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22,940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20,744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 bearing deposits</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709,443</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379,881</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Stockholders’ equity</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168,253</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138,543</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360" w:type="dxa"/>
            <w:vAlign w:val="bottom"/>
            <w:shd w:val="clear" w:color="auto" w:fill="CCEEFF"/>
          </w:tcPr>
          <w:p>
            <w:pPr>
              <w:ind w:left="300"/>
              <w:spacing w:after="0" w:line="131" w:lineRule="exact"/>
              <w:rPr>
                <w:sz w:val="20"/>
                <w:szCs w:val="20"/>
                <w:color w:val="auto"/>
              </w:rPr>
            </w:pPr>
            <w:r>
              <w:rPr>
                <w:rFonts w:ascii="Arial" w:cs="Arial" w:eastAsia="Arial" w:hAnsi="Arial"/>
                <w:sz w:val="14"/>
                <w:szCs w:val="14"/>
                <w:color w:val="auto"/>
              </w:rPr>
              <w:t>Total liabilities and stockholders’</w:t>
            </w:r>
          </w:p>
        </w:tc>
        <w:tc>
          <w:tcPr>
            <w:tcW w:w="460" w:type="dxa"/>
            <w:vAlign w:val="bottom"/>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1,995,503</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1,505,069</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60" w:type="dxa"/>
            <w:vAlign w:val="bottom"/>
            <w:shd w:val="clear" w:color="auto" w:fill="CCEEFF"/>
          </w:tcPr>
          <w:p>
            <w:pPr>
              <w:ind w:left="460"/>
              <w:spacing w:after="0" w:line="141" w:lineRule="exact"/>
              <w:rPr>
                <w:sz w:val="20"/>
                <w:szCs w:val="20"/>
                <w:color w:val="auto"/>
              </w:rPr>
            </w:pPr>
            <w:r>
              <w:rPr>
                <w:rFonts w:ascii="Arial" w:cs="Arial" w:eastAsia="Arial" w:hAnsi="Arial"/>
                <w:sz w:val="14"/>
                <w:szCs w:val="14"/>
                <w:color w:val="auto"/>
              </w:rPr>
              <w:t>equity</w:t>
            </w:r>
          </w:p>
        </w:tc>
        <w:tc>
          <w:tcPr>
            <w:tcW w:w="46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interest spread</w:t>
            </w: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ind w:left="109"/>
              <w:spacing w:after="0"/>
              <w:rPr>
                <w:sz w:val="20"/>
                <w:szCs w:val="20"/>
                <w:color w:val="auto"/>
              </w:rPr>
            </w:pPr>
            <w:r>
              <w:rPr>
                <w:rFonts w:ascii="Arial" w:cs="Arial" w:eastAsia="Arial" w:hAnsi="Arial"/>
                <w:sz w:val="14"/>
                <w:szCs w:val="14"/>
                <w:b w:val="1"/>
                <w:bCs w:val="1"/>
                <w:color w:val="auto"/>
              </w:rPr>
              <w:t>4.99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ind w:left="109"/>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4"/>
                <w:szCs w:val="14"/>
                <w:color w:val="auto"/>
              </w:rPr>
              <w:t>Net interest income</w:t>
            </w:r>
          </w:p>
        </w:tc>
        <w:tc>
          <w:tcPr>
            <w:tcW w:w="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b w:val="1"/>
                <w:bCs w:val="1"/>
                <w:color w:val="auto"/>
              </w:rPr>
              <w:t>51,963</w:t>
            </w: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36,311</w:t>
            </w: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36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360" w:type="dxa"/>
            <w:vAlign w:val="bottom"/>
            <w:tcBorders>
              <w:bottom w:val="single" w:sz="8" w:color="CCEEFF"/>
            </w:tcBorders>
            <w:shd w:val="clear" w:color="auto" w:fill="CCEEFF"/>
          </w:tcPr>
          <w:p>
            <w:pPr>
              <w:ind w:left="340"/>
              <w:spacing w:after="0" w:line="152"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17"/>
                <w:szCs w:val="17"/>
                <w:color w:val="auto"/>
                <w:vertAlign w:val="superscript"/>
              </w:rPr>
              <w:t>(3)</w:t>
            </w:r>
          </w:p>
        </w:tc>
        <w:tc>
          <w:tcPr>
            <w:tcW w:w="46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center"/>
              <w:ind w:left="109"/>
              <w:spacing w:after="0" w:line="152" w:lineRule="exact"/>
              <w:rPr>
                <w:sz w:val="20"/>
                <w:szCs w:val="20"/>
                <w:color w:val="auto"/>
              </w:rPr>
            </w:pPr>
            <w:r>
              <w:rPr>
                <w:rFonts w:ascii="Arial" w:cs="Arial" w:eastAsia="Arial" w:hAnsi="Arial"/>
                <w:sz w:val="14"/>
                <w:szCs w:val="14"/>
                <w:b w:val="1"/>
                <w:bCs w:val="1"/>
                <w:color w:val="auto"/>
              </w:rPr>
              <w:t>5.32</w:t>
            </w:r>
          </w:p>
        </w:tc>
        <w:tc>
          <w:tcPr>
            <w:tcW w:w="18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center"/>
              <w:ind w:left="109"/>
              <w:spacing w:after="0" w:line="152" w:lineRule="exact"/>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hanging="314"/>
        <w:spacing w:after="0"/>
        <w:tabs>
          <w:tab w:leader="none" w:pos="320"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Annualized</w:t>
      </w:r>
    </w:p>
    <w:p>
      <w:pPr>
        <w:ind w:left="320" w:hanging="314"/>
        <w:spacing w:after="0" w:line="191" w:lineRule="auto"/>
        <w:tabs>
          <w:tab w:leader="none" w:pos="320" w:val="left"/>
        </w:tabs>
        <w:numPr>
          <w:ilvl w:val="0"/>
          <w:numId w:val="10"/>
        </w:numPr>
        <w:rPr>
          <w:rFonts w:ascii="Arial" w:cs="Arial" w:eastAsia="Arial" w:hAnsi="Arial"/>
          <w:sz w:val="13"/>
          <w:szCs w:val="13"/>
          <w:color w:val="auto"/>
          <w:vertAlign w:val="superscript"/>
        </w:rPr>
      </w:pPr>
      <w:r>
        <w:rPr>
          <w:rFonts w:ascii="Arial" w:cs="Arial" w:eastAsia="Arial" w:hAnsi="Arial"/>
          <w:sz w:val="10"/>
          <w:szCs w:val="10"/>
          <w:color w:val="auto"/>
        </w:rPr>
        <w:t>Includes nonaccrual loans.</w:t>
      </w:r>
    </w:p>
    <w:p>
      <w:pPr>
        <w:ind w:left="320" w:hanging="314"/>
        <w:spacing w:after="0" w:line="190" w:lineRule="auto"/>
        <w:tabs>
          <w:tab w:leader="none" w:pos="320"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For the six months ended June 30, 2021 and 2020, SBA-PPP loans and credit card loans collectively accounted for 173 and 96 basis points of the reported net interest margin,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7" w:name="page48"/>
    <w:bookmarkEnd w:id="47"/>
    <w:p>
      <w:pPr>
        <w:spacing w:after="0" w:line="18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the six months ended June 30, 2021, net interest income increased by $15.7 million, or 43.1%, from the six months ended June 30, 2020 as average total interest earning assets increased from $1.5 billion to $2.0 billion. The increase in average interest earning assets was primarily driven by an increase in average portfolio loan balances of $118.8 million, or 10.0%, from an average balance of $1.2 billion to $1.3 billion for the same period. Reflective of the decreasing interest rate environment, the annualized yield on interest earning assets decreased 20 basis points, from 5.93% for the six months ended June 30, 2020 to 5.72% for the six months ended June 30, 2021.</w:t>
      </w:r>
    </w:p>
    <w:p>
      <w:pPr>
        <w:spacing w:after="0" w:line="20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For the six months ended June 30, 2021, average interest bearing liabilities increased by $129.0 million, or 13.4%, from $965.9 million to $1.1 billion period over period. The increase was due to growth of $139.5 million, or 15.1%, in the average balance of interest bearing deposits and a decrease in the average balance of borrowed funds of $10.5 million, or 23.3%. The annualized average interest rate paid on interest bearing liabilities decreased 82 basis points for the six months ended June 30, 2021 compared to the six months ended June 30, 2020. The average annualized interest rate on interest bearing deposits decreased by 40 basis points in addition to a decrease in the average annualized interest rate on borrowed funds of 167 basis points. The decreases in the annualized average interest rates reflect interest rate decreases in 2020 and 2021.</w:t>
      </w:r>
    </w:p>
    <w:p>
      <w:pPr>
        <w:spacing w:after="0" w:line="21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net interest margin increased 40 basis points to 5.32% for the six months ended June 30, 2021, from 4.92% for the six months ended June 30, 2020. Excluding credit cards and SBA-PPP loans, the annualized net interest margin was 3.59% for the six months ended June 30, 2021, down 37 basis points from 3.96% for the six months ended June 30, 2020. The year over year net interest margin decrease of 40 basis points resulted primarily from the decreasing rate environment. Net interest spread was 4.99% and 4.38% for the six months ended June 30, 2021 and 2020,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provision for loan losses is a charge to income in order to bring our allowance for loan losses to a level deemed appropriate by management. For a description of the factors taken into account by our management in determining the allowance for loan losses see “Financial Condition—Allowance for Loan Losses.”</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During the quarter ended June 30, 2021, credit metrics improved as the economy continued to recover from COVID-19. Primarily as a result of an improving economic environment, the provision for loan losses declined from $3.3 million for the three months ended June 30, 2020 to $781 thousand for the three months ended June 30, 2021. The improvement was partially offset by a small number of charge offs resulting in a $781 thousand provision. Net charge-offs amounted to $252 thousand for the three months ended June 30, 2021, compared to $134 thousand for the three months ended June 30, 2020. The increase in net charge-offs for the three months ended June 30, 2021 was primarily due to increases in charge-offs of $169 thousand in the commercial and industrial loan portfolio and $140 thousand in the credit card portfolio.</w:t>
      </w:r>
    </w:p>
    <w:p>
      <w:pPr>
        <w:spacing w:after="0" w:line="19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a result of the continued improving economic environment, the provision for loan losses was $1.3 million for the six months ended June 30, 2021 compared to $5.7 million for the six months ended June 30, 2020. Net charge-offs amounted to $639 thousand for the six months ended June 30, 2021, compared to $330 thousand for the six months ended June 30, 2020. The increase in net charge-offs for the six months ended June 30, 2021 was primarily due to increases in charge-offs of $169 thousand in commercial and industrial and $140 thousand in the credit card portfolio. Our allowance for loan losses as a percent of portfolio loans was 1.73% and 1.78% at June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35"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Our primary sources of recurring noninterest income are service charges on deposit accounts, certain credit card fees, such as interchange fees and statement fees, credit card fees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19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NONINTEREST INCOME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420" w:type="dxa"/>
            <w:vAlign w:val="bottom"/>
            <w:vMerge w:val="restart"/>
          </w:tcPr>
          <w:p>
            <w:pPr>
              <w:ind w:left="340"/>
              <w:spacing w:after="0"/>
              <w:rPr>
                <w:sz w:val="20"/>
                <w:szCs w:val="20"/>
                <w:color w:val="auto"/>
              </w:rPr>
            </w:pPr>
            <w:r>
              <w:rPr>
                <w:rFonts w:ascii="Arial" w:cs="Arial" w:eastAsia="Arial" w:hAnsi="Arial"/>
                <w:sz w:val="11"/>
                <w:szCs w:val="11"/>
                <w:i w:val="1"/>
                <w:iCs w:val="1"/>
                <w:color w:val="auto"/>
              </w:rPr>
              <w:t>(in thousands)</w:t>
            </w: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18"/>
        </w:trPr>
        <w:tc>
          <w:tcPr>
            <w:tcW w:w="24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Noninterest income:</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420" w:type="dxa"/>
            <w:vAlign w:val="bottom"/>
          </w:tcPr>
          <w:p>
            <w:pPr>
              <w:ind w:left="440"/>
              <w:spacing w:after="0" w:line="175" w:lineRule="exact"/>
              <w:rPr>
                <w:sz w:val="20"/>
                <w:szCs w:val="20"/>
                <w:color w:val="auto"/>
              </w:rPr>
            </w:pPr>
            <w:r>
              <w:rPr>
                <w:rFonts w:ascii="Arial" w:cs="Arial" w:eastAsia="Arial" w:hAnsi="Arial"/>
                <w:sz w:val="16"/>
                <w:szCs w:val="16"/>
                <w:color w:val="auto"/>
              </w:rPr>
              <w:t>Service charges on deposit</w:t>
            </w:r>
          </w:p>
        </w:tc>
        <w:tc>
          <w:tcPr>
            <w:tcW w:w="5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420" w:type="dxa"/>
            <w:vAlign w:val="bottom"/>
          </w:tcPr>
          <w:p>
            <w:pPr>
              <w:ind w:left="120"/>
              <w:spacing w:after="0"/>
              <w:rPr>
                <w:sz w:val="20"/>
                <w:szCs w:val="20"/>
                <w:color w:val="auto"/>
              </w:rPr>
            </w:pPr>
            <w:r>
              <w:rPr>
                <w:rFonts w:ascii="Arial" w:cs="Arial" w:eastAsia="Arial" w:hAnsi="Arial"/>
                <w:sz w:val="16"/>
                <w:szCs w:val="16"/>
                <w:color w:val="auto"/>
              </w:rPr>
              <w:t>accounts</w:t>
            </w:r>
          </w:p>
        </w:tc>
        <w:tc>
          <w:tcPr>
            <w:tcW w:w="5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262"/>
              <w:spacing w:after="0"/>
              <w:rPr>
                <w:sz w:val="20"/>
                <w:szCs w:val="20"/>
                <w:color w:val="auto"/>
              </w:rPr>
            </w:pPr>
            <w:r>
              <w:rPr>
                <w:rFonts w:ascii="Arial" w:cs="Arial" w:eastAsia="Arial" w:hAnsi="Arial"/>
                <w:sz w:val="16"/>
                <w:szCs w:val="16"/>
                <w:color w:val="auto"/>
              </w:rPr>
              <w:t>50.0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312</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ind w:right="209"/>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Credit card fees</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164.9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13,655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177.5</w:t>
            </w:r>
          </w:p>
        </w:tc>
        <w:tc>
          <w:tcPr>
            <w:tcW w:w="0" w:type="dxa"/>
            <w:vAlign w:val="bottom"/>
          </w:tcPr>
          <w:p>
            <w:pPr>
              <w:spacing w:after="0"/>
              <w:rPr>
                <w:sz w:val="1"/>
                <w:szCs w:val="1"/>
                <w:color w:val="auto"/>
              </w:rPr>
            </w:pPr>
          </w:p>
        </w:tc>
      </w:tr>
      <w:tr>
        <w:trPr>
          <w:trHeight w:val="212"/>
        </w:trPr>
        <w:tc>
          <w:tcPr>
            <w:tcW w:w="2420" w:type="dxa"/>
            <w:vAlign w:val="bottom"/>
          </w:tcPr>
          <w:p>
            <w:pPr>
              <w:ind w:left="440"/>
              <w:spacing w:after="0"/>
              <w:rPr>
                <w:sz w:val="20"/>
                <w:szCs w:val="20"/>
                <w:color w:val="auto"/>
              </w:rPr>
            </w:pPr>
            <w:r>
              <w:rPr>
                <w:rFonts w:ascii="Arial" w:cs="Arial" w:eastAsia="Arial" w:hAnsi="Arial"/>
                <w:sz w:val="16"/>
                <w:szCs w:val="16"/>
                <w:color w:val="auto"/>
              </w:rPr>
              <w:t>Mortgage banking revenue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5,270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7,321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222"/>
              <w:spacing w:after="0"/>
              <w:rPr>
                <w:sz w:val="20"/>
                <w:szCs w:val="20"/>
                <w:color w:val="auto"/>
              </w:rPr>
            </w:pPr>
            <w:r>
              <w:rPr>
                <w:rFonts w:ascii="Arial" w:cs="Arial" w:eastAsia="Arial" w:hAnsi="Arial"/>
                <w:sz w:val="16"/>
                <w:szCs w:val="16"/>
                <w:color w:val="auto"/>
              </w:rPr>
              <w:t>(28.0)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13,013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209"/>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Gain on sale of securities</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4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Other fees and charges</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(77.8)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225"/>
        </w:trPr>
        <w:tc>
          <w:tcPr>
            <w:tcW w:w="24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noninterest income</w:t>
            </w: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13,471</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11,101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21.3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27,421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Noninterest income increased $2.4 million, or 21.3%, to $13.5 million for the three months ended June 30, 2021 from $11.1 million for the three months ended June 30, 2020. The increase was primarily due to an increase in credit card fees of $4.8 million, or 164.9%, which was partially offset by a decrease in mortgage banking revenue of $2.1 million, or 28.0%, during the second quarter of 2021 compared to the second quarter of 2020. Mortgage banking revenue included commissions of $2.4 million for the three months ended June 30, 2021 compared to $2.8 million for the three months ended June 30, 2020, reflective of lower levels of mortgage originations. As a result of efforts to emphasize financing for new home purchases, as opposed to re-financings, volumes for purchase transactions as a percentage of loan originations increased to 50.6% for the second quarter of 2021, compared to 31.2% for the second quarter of 2020. Proceeds from the sale of loans held for sale amounted to $286.0 million for the three months ended June 30, 2021 compared to $280.2 million for the three months ended June 30, 2020.</w:t>
      </w:r>
    </w:p>
    <w:p>
      <w:pPr>
        <w:spacing w:after="0" w:line="200" w:lineRule="exact"/>
        <w:rPr>
          <w:sz w:val="20"/>
          <w:szCs w:val="20"/>
          <w:color w:val="auto"/>
        </w:rPr>
      </w:pPr>
    </w:p>
    <w:p>
      <w:pPr>
        <w:jc w:val="both"/>
        <w:ind w:right="100" w:firstLine="318"/>
        <w:spacing w:after="0" w:line="232" w:lineRule="auto"/>
        <w:rPr>
          <w:sz w:val="20"/>
          <w:szCs w:val="20"/>
          <w:color w:val="auto"/>
        </w:rPr>
      </w:pPr>
      <w:r>
        <w:rPr>
          <w:rFonts w:ascii="Arial" w:cs="Arial" w:eastAsia="Arial" w:hAnsi="Arial"/>
          <w:sz w:val="18"/>
          <w:szCs w:val="18"/>
          <w:color w:val="auto"/>
        </w:rPr>
        <w:t>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credit card issuances totaled 98 thousand for the three months ended June 30, 2021, compared to 172 thousand for the three months ended June 30, 2020. Credit card fees increased $4.8 million to $7.7 million for the three months ended June 30, 2021 from $2.9 million for the three months ended June 30, 2020.</w:t>
      </w:r>
    </w:p>
    <w:p>
      <w:pPr>
        <w:spacing w:after="0" w:line="214"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Noninterest income increased $10.8 million, or 64.8%, to $27.4 million for the six months ended June 30, 2021 compared to $16.6 million for the six months ended June 30, 2020. The increase was primarily due to credit card fees which increased $8.7 million, or 177.5%, and mortgage banking revenue, which increased by $2.7 million, or 26.4%, during the six months ended June 30, 2021 compared to the six months ended June 30, 2020. Purchase volume as a percentage of loan originations was 35.7% for the six months ended June 30, 2021, compared to 31.8% for the six months ended June 30, 2020. Proceeds from the sale of loans held for sale amounted to $691.5 million for the six months ended June 30, 2021 compared to $463.8 million for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9" w:name="page50"/>
    <w:bookmarkEnd w:id="49"/>
    <w:p>
      <w:pPr>
        <w:spacing w:after="0" w:line="173" w:lineRule="exact"/>
        <w:rPr>
          <w:sz w:val="20"/>
          <w:szCs w:val="20"/>
          <w:color w:val="auto"/>
        </w:rPr>
      </w:pPr>
    </w:p>
    <w:p>
      <w:pPr>
        <w:jc w:val="both"/>
        <w:ind w:right="100" w:firstLine="318"/>
        <w:spacing w:after="0" w:line="226" w:lineRule="auto"/>
        <w:rPr>
          <w:sz w:val="20"/>
          <w:szCs w:val="20"/>
          <w:color w:val="auto"/>
        </w:rPr>
      </w:pPr>
      <w:r>
        <w:rPr>
          <w:rFonts w:ascii="Arial" w:cs="Arial" w:eastAsia="Arial" w:hAnsi="Arial"/>
          <w:sz w:val="18"/>
          <w:szCs w:val="18"/>
          <w:color w:val="auto"/>
        </w:rPr>
        <w:t>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credit card fees increase $8.7 million to $13.7 million for the six months ended June 30, 2021 from $4.9 million for the six months ended June 30, 2020 primarily due to an increase in credit card accounts.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35"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Generally, noninterest expense is composed of all employee expenses and costs associated with operating our facilities, obtaining and retaining customer relationships and providing bank services. The largest component of noninterest expense is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for the periods indicated, the major categories of noninterest expense:</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NONINTEREST EXPENSE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18"/>
        </w:trPr>
        <w:tc>
          <w:tcPr>
            <w:tcW w:w="222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220" w:type="dxa"/>
            <w:vAlign w:val="bottom"/>
          </w:tcPr>
          <w:p>
            <w:pPr>
              <w:ind w:left="340"/>
              <w:spacing w:after="0"/>
              <w:rPr>
                <w:sz w:val="20"/>
                <w:szCs w:val="20"/>
                <w:color w:val="auto"/>
              </w:rPr>
            </w:pPr>
            <w:r>
              <w:rPr>
                <w:rFonts w:ascii="Arial" w:cs="Arial" w:eastAsia="Arial" w:hAnsi="Arial"/>
                <w:sz w:val="16"/>
                <w:szCs w:val="16"/>
                <w:color w:val="auto"/>
              </w:rPr>
              <w:t>Noninterest expense:</w:t>
            </w: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180"/>
              <w:spacing w:after="0" w:line="177" w:lineRule="exact"/>
              <w:rPr>
                <w:sz w:val="20"/>
                <w:szCs w:val="20"/>
                <w:color w:val="auto"/>
              </w:rPr>
            </w:pPr>
            <w:r>
              <w:rPr>
                <w:rFonts w:ascii="Arial" w:cs="Arial" w:eastAsia="Arial" w:hAnsi="Arial"/>
                <w:sz w:val="16"/>
                <w:szCs w:val="16"/>
                <w:color w:val="auto"/>
              </w:rPr>
              <w:t>Salaries and employee</w:t>
            </w:r>
          </w:p>
        </w:tc>
        <w:tc>
          <w:tcPr>
            <w:tcW w:w="5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8,750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17,317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benefits</w:t>
            </w:r>
          </w:p>
        </w:tc>
        <w:tc>
          <w:tcPr>
            <w:tcW w:w="5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8,498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2"/>
        </w:trPr>
        <w:tc>
          <w:tcPr>
            <w:tcW w:w="2220" w:type="dxa"/>
            <w:vAlign w:val="bottom"/>
          </w:tcPr>
          <w:p>
            <w:pPr>
              <w:ind w:left="180"/>
              <w:spacing w:after="0"/>
              <w:rPr>
                <w:sz w:val="20"/>
                <w:szCs w:val="20"/>
                <w:color w:val="auto"/>
              </w:rPr>
            </w:pPr>
            <w:r>
              <w:rPr>
                <w:rFonts w:ascii="Arial" w:cs="Arial" w:eastAsia="Arial" w:hAnsi="Arial"/>
                <w:sz w:val="16"/>
                <w:szCs w:val="16"/>
                <w:color w:val="auto"/>
              </w:rPr>
              <w:t>Occupancy and equipment</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1,152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261"/>
              <w:spacing w:after="0"/>
              <w:rPr>
                <w:sz w:val="20"/>
                <w:szCs w:val="20"/>
                <w:color w:val="auto"/>
              </w:rPr>
            </w:pPr>
            <w:r>
              <w:rPr>
                <w:rFonts w:ascii="Arial" w:cs="Arial" w:eastAsia="Arial" w:hAnsi="Arial"/>
                <w:sz w:val="16"/>
                <w:szCs w:val="16"/>
                <w:color w:val="auto"/>
              </w:rPr>
              <w:t>3.7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2,324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221"/>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Professional services</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52.3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2,987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12"/>
        </w:trPr>
        <w:tc>
          <w:tcPr>
            <w:tcW w:w="2220" w:type="dxa"/>
            <w:vAlign w:val="bottom"/>
          </w:tcPr>
          <w:p>
            <w:pPr>
              <w:ind w:left="180"/>
              <w:spacing w:after="0"/>
              <w:rPr>
                <w:sz w:val="20"/>
                <w:szCs w:val="20"/>
                <w:color w:val="auto"/>
              </w:rPr>
            </w:pPr>
            <w:r>
              <w:rPr>
                <w:rFonts w:ascii="Arial" w:cs="Arial" w:eastAsia="Arial" w:hAnsi="Arial"/>
                <w:sz w:val="16"/>
                <w:szCs w:val="16"/>
                <w:color w:val="auto"/>
              </w:rPr>
              <w:t>Data processing</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10,122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5,667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261"/>
              <w:spacing w:after="0"/>
              <w:rPr>
                <w:sz w:val="20"/>
                <w:szCs w:val="20"/>
                <w:color w:val="auto"/>
              </w:rPr>
            </w:pPr>
            <w:r>
              <w:rPr>
                <w:rFonts w:ascii="Arial" w:cs="Arial" w:eastAsia="Arial" w:hAnsi="Arial"/>
                <w:sz w:val="16"/>
                <w:szCs w:val="16"/>
                <w:color w:val="auto"/>
              </w:rPr>
              <w:t>78.6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19,433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9,784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261"/>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Advertising</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113.4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2,126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12"/>
        </w:trPr>
        <w:tc>
          <w:tcPr>
            <w:tcW w:w="2220" w:type="dxa"/>
            <w:vAlign w:val="bottom"/>
          </w:tcPr>
          <w:p>
            <w:pPr>
              <w:ind w:left="180"/>
              <w:spacing w:after="0"/>
              <w:rPr>
                <w:sz w:val="20"/>
                <w:szCs w:val="20"/>
                <w:color w:val="auto"/>
              </w:rPr>
            </w:pPr>
            <w:r>
              <w:rPr>
                <w:rFonts w:ascii="Arial" w:cs="Arial" w:eastAsia="Arial" w:hAnsi="Arial"/>
                <w:sz w:val="16"/>
                <w:szCs w:val="16"/>
                <w:color w:val="auto"/>
              </w:rPr>
              <w:t>Loan processing</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261"/>
              <w:spacing w:after="0"/>
              <w:rPr>
                <w:sz w:val="20"/>
                <w:szCs w:val="20"/>
                <w:color w:val="auto"/>
              </w:rPr>
            </w:pPr>
            <w:r>
              <w:rPr>
                <w:rFonts w:ascii="Arial" w:cs="Arial" w:eastAsia="Arial" w:hAnsi="Arial"/>
                <w:sz w:val="16"/>
                <w:szCs w:val="16"/>
                <w:color w:val="auto"/>
              </w:rPr>
              <w:t>31.8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261"/>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174"/>
        </w:trPr>
        <w:tc>
          <w:tcPr>
            <w:tcW w:w="2220" w:type="dxa"/>
            <w:vAlign w:val="bottom"/>
            <w:shd w:val="clear" w:color="auto" w:fill="CCEEFF"/>
          </w:tcPr>
          <w:p>
            <w:pPr>
              <w:ind w:left="180"/>
              <w:spacing w:after="0" w:line="175" w:lineRule="exact"/>
              <w:rPr>
                <w:sz w:val="20"/>
                <w:szCs w:val="20"/>
                <w:color w:val="auto"/>
              </w:rPr>
            </w:pPr>
            <w:r>
              <w:rPr>
                <w:rFonts w:ascii="Arial" w:cs="Arial" w:eastAsia="Arial" w:hAnsi="Arial"/>
                <w:sz w:val="16"/>
                <w:szCs w:val="16"/>
                <w:color w:val="auto"/>
              </w:rPr>
              <w:t>Foreclosed real estate</w:t>
            </w:r>
          </w:p>
        </w:tc>
        <w:tc>
          <w:tcPr>
            <w:tcW w:w="5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273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277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 net</w:t>
            </w:r>
          </w:p>
        </w:tc>
        <w:tc>
          <w:tcPr>
            <w:tcW w:w="5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232.9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212"/>
        </w:trPr>
        <w:tc>
          <w:tcPr>
            <w:tcW w:w="2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operating</w:t>
            </w:r>
          </w:p>
        </w:tc>
        <w:tc>
          <w:tcPr>
            <w:tcW w:w="5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2,266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ind w:right="261"/>
              <w:spacing w:after="0"/>
              <w:rPr>
                <w:sz w:val="20"/>
                <w:szCs w:val="20"/>
                <w:color w:val="auto"/>
              </w:rPr>
            </w:pPr>
            <w:r>
              <w:rPr>
                <w:rFonts w:ascii="Arial" w:cs="Arial" w:eastAsia="Arial" w:hAnsi="Arial"/>
                <w:sz w:val="16"/>
                <w:szCs w:val="16"/>
                <w:color w:val="auto"/>
              </w:rPr>
              <w:t>42.8</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6,482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261"/>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25"/>
        </w:trPr>
        <w:tc>
          <w:tcPr>
            <w:tcW w:w="2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noninterest expense</w:t>
            </w: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27,205</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36.7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52,972</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Noninterest expense amounted to $27.2 million for the three months ended June 30, 2021, an increase of $7.3 million, or 36.7%, compared to $19.9 million for the three months ended June 30, 2020. The increase was primarily due to increases in professional fees, data processing expenses, advertising, and other expenses. The increase of $4.5 million in data processing expense is primarily attributable to the increased credit card loan and deposit balances as well as core processing expenses due to a boost in customer activity during the period. Furthermore, operating expenses increased $1.0 million due to increases in credit expenses, outside service providers and FDIC insurance.</w:t>
      </w:r>
    </w:p>
    <w:p>
      <w:pPr>
        <w:spacing w:after="0" w:line="207"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7"/>
          <w:szCs w:val="17"/>
          <w:color w:val="auto"/>
        </w:rPr>
        <w:t>Noninterest expense amounted to $53.0 million for the six months ended June 30, 2021, an increase of $16.3 million, or 44.3%, compared to $36.7 million for the six months ended June 30, 2020. The increase was primarily due to increases in salaries and employee benefits, professional services, data processing expenses, advertising, loan processing, and other expenses. The increase in salaries and benefits is reflective of the organic growth of the Company. The increase of $9.6 million in data processing expense reflects the higher volume of open credit cards and higher loan and deposit balances during the period in addition to increased mortgage loan processing volumes during the year. The increase of $2.0 million in other operating expenses is due to increases in credit expenses, outside service providers and FDIC insurance.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5"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amount of income tax expense we incur is influenced by our pre-tax income and our nondeductible expenses. Deferred tax assets and liabilities are reflected at current income tax rates in effect for the period in which the deferred tax assets and liabilities are expected to be realized or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0" w:name="page51"/>
    <w:bookmarkEnd w:id="50"/>
    <w:p>
      <w:pPr>
        <w:spacing w:after="0" w:line="18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As changes in tax laws or rates are enacted, deferred tax assets and liabilities are adjusted through the provision for income taxes. Valuation allowances are established when necessary to reduce deferred tax assets to the amount expected to be realized.</w:t>
      </w:r>
    </w:p>
    <w:p>
      <w:pPr>
        <w:spacing w:after="0" w:line="20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Income tax expense was $3.4 million for the three months ended June 30, 2021 compared to $1.8 million for the three months ended June 30, 2020. Our effective tax rates were approximately 25.8% and 27.0% for the 2021 and 2020 periods, respectively. For the six months ended June 30, 2021, income tax expense was $6.5 million compared to $2.8 million for the six months ended June 30, 2020, with effective tax rates of 25.9% and 27.0% for 2021 and 2020,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9" w:lineRule="exact"/>
        <w:rPr>
          <w:sz w:val="20"/>
          <w:szCs w:val="20"/>
          <w:color w:val="auto"/>
        </w:rPr>
      </w:pPr>
    </w:p>
    <w:p>
      <w:pPr>
        <w:jc w:val="both"/>
        <w:ind w:right="40" w:firstLine="318"/>
        <w:spacing w:after="0" w:line="246" w:lineRule="auto"/>
        <w:rPr>
          <w:sz w:val="20"/>
          <w:szCs w:val="20"/>
          <w:color w:val="auto"/>
        </w:rPr>
      </w:pPr>
      <w:r>
        <w:rPr>
          <w:rFonts w:ascii="Arial" w:cs="Arial" w:eastAsia="Arial" w:hAnsi="Arial"/>
          <w:sz w:val="18"/>
          <w:szCs w:val="18"/>
          <w:color w:val="auto"/>
        </w:rPr>
        <w:t>As of June 30, 2021, total assets increased $275.3 million from December 31, 2020 to approximately $2.2 billion. The increase was primarily attributable to the loan origination and funding of $76.3 million supplemented with strong organic deposit growth of $265.3 million during the quarter. Interest bearing deposits at other financial institutions, investment securities available for sale and other assets, including the investment in BOLI, also increased. These increases were partially offset by decreases in loans held for sale, premises and equipment, accrued interest receivable and other real estate owned. Noninterest bearing deposits increased to $828.3 million at June 30, 2021 from $608.6 million at December 31, 2020 and interest bearing deposits increased to $1.1 billion from $1.0 billion in the period. Stockholders’ equity increased $17.9 million, or 11.2%, to $177.2 million at June 30, 2021, primarily due to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Bearing Deposits at Other Financial Institutions</w:t>
      </w:r>
    </w:p>
    <w:p>
      <w:pPr>
        <w:spacing w:after="0" w:line="23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June 30, 2021, interest bearing deposits at other financial institutions increased $160.7 million, or 127.4%, to $286.7 million from $126.1 million at December 31, 2020. The increase was primarily due to increased deposits from customer deposit accounts.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w:t>
      </w:r>
    </w:p>
    <w:p>
      <w:pPr>
        <w:spacing w:after="0" w:line="235"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We use our securities portfolio to provide a source of liquidity, provide an appropriate return on funds invested, manage interest rate risk, meet collateral requirements and meet regulatory capital requirements.</w:t>
      </w:r>
    </w:p>
    <w:p>
      <w:pPr>
        <w:spacing w:after="0" w:line="20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For the years presented, all securities were classified as available for sale.</w:t>
      </w:r>
    </w:p>
    <w:p>
      <w:pPr>
        <w:spacing w:after="0" w:line="20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investment portfolio increased by 60.9%, or approximately $60.7 million, from $99.8 million at December 31, 2020, to $160.5 million at June 30, 2021 primarily as a result of purchases of $139.3 million, which were partially offset by $9.6 million of principal paydowns and a decrease in unrealized gain on securities of $2.1 million. To supplement interest income earned on our loan portfolio, we invest in mortgage-backed securities, U.S Government agency, U.S. Treasury bonds, and high quality municipal and corporate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83"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The following tables summarize the contractual maturities and weighted-average yields of investment securities at June 30, 2021 and the amortized cost and carrying value of those securities as of the indicated dates.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MATURITIES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One Year or Less</w:t>
            </w:r>
          </w:p>
        </w:tc>
        <w:tc>
          <w:tcPr>
            <w:tcW w:w="140" w:type="dxa"/>
            <w:vAlign w:val="bottom"/>
          </w:tcPr>
          <w:p>
            <w:pPr>
              <w:spacing w:after="0"/>
              <w:rPr>
                <w:sz w:val="12"/>
                <w:szCs w:val="12"/>
                <w:color w:val="auto"/>
              </w:rPr>
            </w:pPr>
          </w:p>
        </w:tc>
        <w:tc>
          <w:tcPr>
            <w:tcW w:w="162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rPr>
              <w:t>More Than One Year</w:t>
            </w:r>
          </w:p>
        </w:tc>
        <w:tc>
          <w:tcPr>
            <w:tcW w:w="140" w:type="dxa"/>
            <w:vAlign w:val="bottom"/>
          </w:tcPr>
          <w:p>
            <w:pPr>
              <w:spacing w:after="0"/>
              <w:rPr>
                <w:sz w:val="12"/>
                <w:szCs w:val="12"/>
                <w:color w:val="auto"/>
              </w:rPr>
            </w:pPr>
          </w:p>
        </w:tc>
        <w:tc>
          <w:tcPr>
            <w:tcW w:w="164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rPr>
              <w:t>More Than Five Years</w:t>
            </w:r>
          </w:p>
        </w:tc>
        <w:tc>
          <w:tcPr>
            <w:tcW w:w="80" w:type="dxa"/>
            <w:vAlign w:val="bottom"/>
          </w:tcPr>
          <w:p>
            <w:pPr>
              <w:spacing w:after="0"/>
              <w:rPr>
                <w:sz w:val="12"/>
                <w:szCs w:val="12"/>
                <w:color w:val="auto"/>
              </w:rPr>
            </w:pPr>
          </w:p>
        </w:tc>
        <w:tc>
          <w:tcPr>
            <w:tcW w:w="1760" w:type="dxa"/>
            <w:vAlign w:val="bottom"/>
            <w:gridSpan w:val="4"/>
            <w:vMerge w:val="restart"/>
          </w:tcPr>
          <w:p>
            <w:pPr>
              <w:ind w:left="200"/>
              <w:spacing w:after="0"/>
              <w:rPr>
                <w:sz w:val="20"/>
                <w:szCs w:val="20"/>
                <w:color w:val="auto"/>
              </w:rPr>
            </w:pPr>
            <w:r>
              <w:rPr>
                <w:rFonts w:ascii="Arial" w:cs="Arial" w:eastAsia="Arial" w:hAnsi="Arial"/>
                <w:sz w:val="12"/>
                <w:szCs w:val="12"/>
                <w:b w:val="1"/>
                <w:bCs w:val="1"/>
                <w:color w:val="auto"/>
              </w:rPr>
              <w:t>More Than 10 Years</w:t>
            </w:r>
          </w:p>
        </w:tc>
        <w:tc>
          <w:tcPr>
            <w:tcW w:w="8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jc w:val="center"/>
              <w:ind w:right="280"/>
              <w:spacing w:after="0"/>
              <w:rPr>
                <w:sz w:val="20"/>
                <w:szCs w:val="20"/>
                <w:color w:val="auto"/>
              </w:rPr>
            </w:pPr>
            <w:r>
              <w:rPr>
                <w:rFonts w:ascii="Arial" w:cs="Arial" w:eastAsia="Arial" w:hAnsi="Arial"/>
                <w:sz w:val="12"/>
                <w:szCs w:val="12"/>
                <w:b w:val="1"/>
                <w:bCs w:val="1"/>
                <w:color w:val="auto"/>
              </w:rPr>
              <w:t>Through Five Years</w:t>
            </w:r>
          </w:p>
        </w:tc>
        <w:tc>
          <w:tcPr>
            <w:tcW w:w="140" w:type="dxa"/>
            <w:vAlign w:val="bottom"/>
          </w:tcPr>
          <w:p>
            <w:pPr>
              <w:spacing w:after="0"/>
              <w:rPr>
                <w:sz w:val="14"/>
                <w:szCs w:val="14"/>
                <w:color w:val="auto"/>
              </w:rPr>
            </w:pPr>
          </w:p>
        </w:tc>
        <w:tc>
          <w:tcPr>
            <w:tcW w:w="164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rPr>
              <w:t>Through 10 Years</w:t>
            </w:r>
          </w:p>
        </w:tc>
        <w:tc>
          <w:tcPr>
            <w:tcW w:w="80" w:type="dxa"/>
            <w:vAlign w:val="bottom"/>
          </w:tcPr>
          <w:p>
            <w:pPr>
              <w:spacing w:after="0"/>
              <w:rPr>
                <w:sz w:val="14"/>
                <w:szCs w:val="14"/>
                <w:color w:val="auto"/>
              </w:rPr>
            </w:pPr>
          </w:p>
        </w:tc>
        <w:tc>
          <w:tcPr>
            <w:tcW w:w="17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ind w:left="40"/>
              <w:spacing w:after="0" w:line="106" w:lineRule="exact"/>
              <w:rPr>
                <w:sz w:val="20"/>
                <w:szCs w:val="20"/>
                <w:color w:val="auto"/>
              </w:rPr>
            </w:pPr>
            <w:r>
              <w:rPr>
                <w:rFonts w:ascii="Arial" w:cs="Arial" w:eastAsia="Arial" w:hAnsi="Arial"/>
                <w:sz w:val="11"/>
                <w:szCs w:val="11"/>
                <w:b w:val="1"/>
                <w:bCs w:val="1"/>
                <w:color w:val="auto"/>
              </w:rPr>
              <w:t>Book</w:t>
            </w:r>
          </w:p>
        </w:tc>
        <w:tc>
          <w:tcPr>
            <w:tcW w:w="840" w:type="dxa"/>
            <w:vAlign w:val="bottom"/>
            <w:tcBorders>
              <w:top w:val="single" w:sz="8" w:color="auto"/>
            </w:tcBorders>
          </w:tcPr>
          <w:p>
            <w:pPr>
              <w:ind w:left="180"/>
              <w:spacing w:after="0" w:line="106" w:lineRule="exact"/>
              <w:rPr>
                <w:sz w:val="20"/>
                <w:szCs w:val="20"/>
                <w:color w:val="auto"/>
              </w:rPr>
            </w:pPr>
            <w:r>
              <w:rPr>
                <w:rFonts w:ascii="Arial" w:cs="Arial" w:eastAsia="Arial" w:hAnsi="Arial"/>
                <w:sz w:val="11"/>
                <w:szCs w:val="11"/>
                <w:b w:val="1"/>
                <w:bCs w:val="1"/>
                <w:color w:val="auto"/>
              </w:rPr>
              <w:t>Weighted</w:t>
            </w: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w w:val="92"/>
              </w:rPr>
              <w:t>Weighted</w:t>
            </w: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w w:val="96"/>
              </w:rPr>
              <w:t>Weighted</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w w:val="92"/>
              </w:rPr>
              <w:t>Weighted</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right"/>
              <w:ind w:right="140"/>
              <w:spacing w:after="0" w:line="106"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59"/>
        </w:trPr>
        <w:tc>
          <w:tcPr>
            <w:tcW w:w="1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Value</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Average Yield</w:t>
            </w:r>
          </w:p>
        </w:tc>
        <w:tc>
          <w:tcPr>
            <w:tcW w:w="780" w:type="dxa"/>
            <w:vAlign w:val="bottom"/>
            <w:gridSpan w:val="3"/>
          </w:tcPr>
          <w:p>
            <w:pPr>
              <w:ind w:left="40"/>
              <w:spacing w:after="0"/>
              <w:rPr>
                <w:sz w:val="20"/>
                <w:szCs w:val="20"/>
                <w:color w:val="auto"/>
              </w:rPr>
            </w:pPr>
            <w:r>
              <w:rPr>
                <w:rFonts w:ascii="Arial" w:cs="Arial" w:eastAsia="Arial" w:hAnsi="Arial"/>
                <w:sz w:val="11"/>
                <w:szCs w:val="11"/>
                <w:b w:val="1"/>
                <w:bCs w:val="1"/>
                <w:color w:val="auto"/>
              </w:rPr>
              <w:t>Book Value</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Average Yield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Book Value</w:t>
            </w:r>
          </w:p>
        </w:tc>
        <w:tc>
          <w:tcPr>
            <w:tcW w:w="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Average Yield</w:t>
            </w:r>
          </w:p>
        </w:tc>
        <w:tc>
          <w:tcPr>
            <w:tcW w:w="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Book Value</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Average Yield</w:t>
            </w:r>
          </w:p>
        </w:tc>
        <w:tc>
          <w:tcPr>
            <w:tcW w:w="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Book Value</w:t>
            </w:r>
          </w:p>
        </w:tc>
        <w:tc>
          <w:tcPr>
            <w:tcW w:w="1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Fair Value</w:t>
            </w:r>
          </w:p>
        </w:tc>
        <w:tc>
          <w:tcPr>
            <w:tcW w:w="860" w:type="dxa"/>
            <w:vAlign w:val="bottom"/>
          </w:tcPr>
          <w:p>
            <w:pPr>
              <w:jc w:val="right"/>
              <w:ind w:right="20"/>
              <w:spacing w:after="0"/>
              <w:rPr>
                <w:sz w:val="20"/>
                <w:szCs w:val="20"/>
                <w:color w:val="auto"/>
              </w:rPr>
            </w:pPr>
            <w:r>
              <w:rPr>
                <w:rFonts w:ascii="Arial" w:cs="Arial" w:eastAsia="Arial" w:hAnsi="Arial"/>
                <w:sz w:val="11"/>
                <w:szCs w:val="11"/>
                <w:b w:val="1"/>
                <w:bCs w:val="1"/>
                <w:color w:val="auto"/>
              </w:rPr>
              <w:t>Average Yield</w:t>
            </w:r>
          </w:p>
        </w:tc>
        <w:tc>
          <w:tcPr>
            <w:tcW w:w="0" w:type="dxa"/>
            <w:vAlign w:val="bottom"/>
          </w:tcPr>
          <w:p>
            <w:pPr>
              <w:spacing w:after="0"/>
              <w:rPr>
                <w:sz w:val="1"/>
                <w:szCs w:val="1"/>
                <w:color w:val="auto"/>
              </w:rPr>
            </w:pPr>
          </w:p>
        </w:tc>
      </w:tr>
      <w:tr>
        <w:trPr>
          <w:trHeight w:val="118"/>
        </w:trPr>
        <w:tc>
          <w:tcPr>
            <w:tcW w:w="1640" w:type="dxa"/>
            <w:vAlign w:val="bottom"/>
          </w:tcPr>
          <w:p>
            <w:pPr>
              <w:ind w:left="20"/>
              <w:spacing w:after="0" w:line="118" w:lineRule="exact"/>
              <w:rPr>
                <w:sz w:val="20"/>
                <w:szCs w:val="20"/>
                <w:color w:val="auto"/>
              </w:rPr>
            </w:pPr>
            <w:r>
              <w:rPr>
                <w:rFonts w:ascii="Arial" w:cs="Arial" w:eastAsia="Arial" w:hAnsi="Arial"/>
                <w:sz w:val="11"/>
                <w:szCs w:val="11"/>
                <w:color w:val="auto"/>
              </w:rPr>
              <w:t>(in thousands)</w:t>
            </w: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640" w:type="dxa"/>
            <w:vAlign w:val="bottom"/>
            <w:shd w:val="clear" w:color="auto" w:fill="CCEEFF"/>
          </w:tcPr>
          <w:p>
            <w:pPr>
              <w:ind w:left="20"/>
              <w:spacing w:after="0" w:line="127" w:lineRule="exact"/>
              <w:rPr>
                <w:sz w:val="20"/>
                <w:szCs w:val="20"/>
                <w:color w:val="auto"/>
              </w:rPr>
            </w:pPr>
            <w:r>
              <w:rPr>
                <w:rFonts w:ascii="Arial" w:cs="Arial" w:eastAsia="Arial" w:hAnsi="Arial"/>
                <w:sz w:val="12"/>
                <w:szCs w:val="12"/>
                <w:color w:val="auto"/>
              </w:rPr>
              <w:t>Securities Available for</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40" w:type="dxa"/>
            <w:vAlign w:val="bottom"/>
          </w:tcPr>
          <w:p>
            <w:pPr>
              <w:ind w:left="20"/>
              <w:spacing w:after="0"/>
              <w:rPr>
                <w:sz w:val="20"/>
                <w:szCs w:val="20"/>
                <w:color w:val="auto"/>
              </w:rPr>
            </w:pPr>
            <w:r>
              <w:rPr>
                <w:rFonts w:ascii="Arial" w:cs="Arial" w:eastAsia="Arial" w:hAnsi="Arial"/>
                <w:sz w:val="12"/>
                <w:szCs w:val="12"/>
                <w:color w:val="auto"/>
              </w:rPr>
              <w:t>U.S. Treasuries</w:t>
            </w:r>
          </w:p>
        </w:tc>
        <w:tc>
          <w:tcPr>
            <w:tcW w:w="10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ind w:left="540"/>
              <w:spacing w:after="0"/>
              <w:rPr>
                <w:sz w:val="20"/>
                <w:szCs w:val="20"/>
                <w:color w:val="auto"/>
              </w:rPr>
            </w:pPr>
            <w:r>
              <w:rPr>
                <w:rFonts w:ascii="Arial" w:cs="Arial" w:eastAsia="Arial" w:hAnsi="Arial"/>
                <w:sz w:val="12"/>
                <w:szCs w:val="12"/>
                <w:color w:val="auto"/>
              </w:rPr>
              <w:t>— %</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28,329</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0.73 %</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73,986</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1.27 %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 %</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102,315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102,123</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1.12 %</w:t>
            </w:r>
          </w:p>
        </w:tc>
        <w:tc>
          <w:tcPr>
            <w:tcW w:w="0" w:type="dxa"/>
            <w:vAlign w:val="bottom"/>
          </w:tcPr>
          <w:p>
            <w:pPr>
              <w:spacing w:after="0"/>
              <w:rPr>
                <w:sz w:val="1"/>
                <w:szCs w:val="1"/>
                <w:color w:val="auto"/>
              </w:rPr>
            </w:pPr>
          </w:p>
        </w:tc>
      </w:tr>
      <w:tr>
        <w:trPr>
          <w:trHeight w:val="181"/>
        </w:trPr>
        <w:tc>
          <w:tcPr>
            <w:tcW w:w="1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Municipal</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 %</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10,831</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1.94 %</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10,706</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1.94 %</w:t>
            </w:r>
          </w:p>
        </w:tc>
        <w:tc>
          <w:tcPr>
            <w:tcW w:w="0" w:type="dxa"/>
            <w:vAlign w:val="bottom"/>
          </w:tcPr>
          <w:p>
            <w:pPr>
              <w:spacing w:after="0"/>
              <w:rPr>
                <w:sz w:val="1"/>
                <w:szCs w:val="1"/>
                <w:color w:val="auto"/>
              </w:rPr>
            </w:pPr>
          </w:p>
        </w:tc>
      </w:tr>
      <w:tr>
        <w:trPr>
          <w:trHeight w:val="164"/>
        </w:trPr>
        <w:tc>
          <w:tcPr>
            <w:tcW w:w="1640" w:type="dxa"/>
            <w:vAlign w:val="bottom"/>
          </w:tcPr>
          <w:p>
            <w:pPr>
              <w:ind w:left="20"/>
              <w:spacing w:after="0"/>
              <w:rPr>
                <w:sz w:val="20"/>
                <w:szCs w:val="20"/>
                <w:color w:val="auto"/>
              </w:rPr>
            </w:pPr>
            <w:r>
              <w:rPr>
                <w:rFonts w:ascii="Arial" w:cs="Arial" w:eastAsia="Arial" w:hAnsi="Arial"/>
                <w:sz w:val="12"/>
                <w:szCs w:val="12"/>
                <w:color w:val="auto"/>
              </w:rPr>
              <w:t>Corporate bonds</w:t>
            </w:r>
          </w:p>
        </w:tc>
        <w:tc>
          <w:tcPr>
            <w:tcW w:w="10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ind w:left="540"/>
              <w:spacing w:after="0"/>
              <w:rPr>
                <w:sz w:val="20"/>
                <w:szCs w:val="20"/>
                <w:color w:val="auto"/>
              </w:rPr>
            </w:pPr>
            <w:r>
              <w:rPr>
                <w:rFonts w:ascii="Arial" w:cs="Arial" w:eastAsia="Arial" w:hAnsi="Arial"/>
                <w:sz w:val="12"/>
                <w:szCs w:val="12"/>
                <w:color w:val="auto"/>
              </w:rPr>
              <w:t>— %</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2,000</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5.50 %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5,000</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4.31 %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 %</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6,967</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4.65 %</w:t>
            </w:r>
          </w:p>
        </w:tc>
        <w:tc>
          <w:tcPr>
            <w:tcW w:w="0" w:type="dxa"/>
            <w:vAlign w:val="bottom"/>
          </w:tcPr>
          <w:p>
            <w:pPr>
              <w:spacing w:after="0"/>
              <w:rPr>
                <w:sz w:val="1"/>
                <w:szCs w:val="1"/>
                <w:color w:val="auto"/>
              </w:rPr>
            </w:pPr>
          </w:p>
        </w:tc>
      </w:tr>
      <w:tr>
        <w:trPr>
          <w:trHeight w:val="181"/>
        </w:trPr>
        <w:tc>
          <w:tcPr>
            <w:tcW w:w="1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Asset-backed securities</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 %</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10,452</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1.04 %</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10,452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10,568</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1.04 %</w:t>
            </w:r>
          </w:p>
        </w:tc>
        <w:tc>
          <w:tcPr>
            <w:tcW w:w="0" w:type="dxa"/>
            <w:vAlign w:val="bottom"/>
          </w:tcPr>
          <w:p>
            <w:pPr>
              <w:spacing w:after="0"/>
              <w:rPr>
                <w:sz w:val="1"/>
                <w:szCs w:val="1"/>
                <w:color w:val="auto"/>
              </w:rPr>
            </w:pPr>
          </w:p>
        </w:tc>
      </w:tr>
      <w:tr>
        <w:trPr>
          <w:trHeight w:val="127"/>
        </w:trPr>
        <w:tc>
          <w:tcPr>
            <w:tcW w:w="1640" w:type="dxa"/>
            <w:vAlign w:val="bottom"/>
          </w:tcPr>
          <w:p>
            <w:pPr>
              <w:ind w:left="20"/>
              <w:spacing w:after="0" w:line="127" w:lineRule="exact"/>
              <w:rPr>
                <w:sz w:val="20"/>
                <w:szCs w:val="20"/>
                <w:color w:val="auto"/>
              </w:rPr>
            </w:pPr>
            <w:r>
              <w:rPr>
                <w:rFonts w:ascii="Arial" w:cs="Arial" w:eastAsia="Arial" w:hAnsi="Arial"/>
                <w:sz w:val="12"/>
                <w:szCs w:val="12"/>
                <w:color w:val="auto"/>
              </w:rPr>
              <w:t>Mortgage-backed</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securities</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2"/>
                <w:szCs w:val="12"/>
                <w:color w:val="auto"/>
              </w:rPr>
              <w:t>— %</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10,183</w:t>
            </w: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3.08 %</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19,514</w:t>
            </w:r>
          </w:p>
        </w:tc>
        <w:tc>
          <w:tcPr>
            <w:tcW w:w="1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1.61 %</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29,697</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30,151</w:t>
            </w:r>
          </w:p>
        </w:tc>
        <w:tc>
          <w:tcPr>
            <w:tcW w:w="1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1.86 %</w:t>
            </w:r>
          </w:p>
        </w:tc>
        <w:tc>
          <w:tcPr>
            <w:tcW w:w="0" w:type="dxa"/>
            <w:vAlign w:val="bottom"/>
          </w:tcPr>
          <w:p>
            <w:pPr>
              <w:spacing w:after="0"/>
              <w:rPr>
                <w:sz w:val="1"/>
                <w:szCs w:val="1"/>
                <w:color w:val="auto"/>
              </w:rPr>
            </w:pPr>
          </w:p>
        </w:tc>
      </w:tr>
      <w:tr>
        <w:trPr>
          <w:trHeight w:val="192"/>
        </w:trPr>
        <w:tc>
          <w:tcPr>
            <w:tcW w:w="1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 %</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30,329</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89,169</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1.64 %</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40,797</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1.55 %</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160,295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160,515</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1.46 %</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Loans Receivable</w:t>
      </w:r>
    </w:p>
    <w:p>
      <w:pPr>
        <w:spacing w:after="0" w:line="23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primary source of income is derived from interest earned on loans. Our portfolio loans consist of loans secured by real estate as well as commercial business loans, credit card loans, substantially all of which are secured by corresponding deposits at the Bank and, to a very limited extent, other consumer loans. Our loan customers primarily consist of small- to medium-sized businesses, professionals, real estate investors, small residential builders and individuals. Our owner-occupied commercial real estate loans, residential construction loans and commercial business and investment loans provide us with higher risk-adjusted returns, shorter maturities and more sensitivity to interest rate fluctuations, and are complemented by our relatively lower risk residential real estate loans to individuals. To a lesser extent, our credit card portfolio supplements our traditional lending products with enhanced yields. Our lending activities are principally directed to our market area consisting of the Washington, D.C. and Baltimore, Maryland metropolitan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loan portfolio by type of loan as of the dates indicated:</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COMPOSITION OF PORTFOLIO LOANS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As of June 30, 2021</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96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6"/>
        </w:trPr>
        <w:tc>
          <w:tcPr>
            <w:tcW w:w="3960" w:type="dxa"/>
            <w:vAlign w:val="bottom"/>
          </w:tcPr>
          <w:p>
            <w:pPr>
              <w:ind w:left="340"/>
              <w:spacing w:after="0"/>
              <w:rPr>
                <w:sz w:val="20"/>
                <w:szCs w:val="20"/>
                <w:color w:val="auto"/>
              </w:rPr>
            </w:pPr>
            <w:r>
              <w:rPr>
                <w:rFonts w:ascii="Arial" w:cs="Arial" w:eastAsia="Arial" w:hAnsi="Arial"/>
                <w:sz w:val="14"/>
                <w:szCs w:val="14"/>
                <w:color w:val="auto"/>
              </w:rPr>
              <w:t>Real estate:</w:t>
            </w: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9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Residential</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420,015</w:t>
            </w:r>
          </w:p>
        </w:tc>
        <w:tc>
          <w:tcPr>
            <w:tcW w:w="134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437,860</w:t>
            </w:r>
          </w:p>
        </w:tc>
        <w:tc>
          <w:tcPr>
            <w:tcW w:w="136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3960" w:type="dxa"/>
            <w:vAlign w:val="bottom"/>
          </w:tcPr>
          <w:p>
            <w:pPr>
              <w:ind w:left="500"/>
              <w:spacing w:after="0"/>
              <w:rPr>
                <w:sz w:val="20"/>
                <w:szCs w:val="20"/>
                <w:color w:val="auto"/>
              </w:rPr>
            </w:pPr>
            <w:r>
              <w:rPr>
                <w:rFonts w:ascii="Arial" w:cs="Arial" w:eastAsia="Arial" w:hAnsi="Arial"/>
                <w:sz w:val="14"/>
                <w:szCs w:val="14"/>
                <w:color w:val="auto"/>
              </w:rPr>
              <w:t>Commercial</w:t>
            </w:r>
          </w:p>
        </w:tc>
        <w:tc>
          <w:tcPr>
            <w:tcW w:w="460" w:type="dxa"/>
            <w:vAlign w:val="bottom"/>
          </w:tcPr>
          <w:p>
            <w:pPr>
              <w:spacing w:after="0"/>
              <w:rPr>
                <w:sz w:val="16"/>
                <w:szCs w:val="16"/>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b w:val="1"/>
                <w:bCs w:val="1"/>
                <w:color w:val="auto"/>
              </w:rPr>
              <w:t>471,807</w:t>
            </w:r>
          </w:p>
        </w:tc>
        <w:tc>
          <w:tcPr>
            <w:tcW w:w="1340" w:type="dxa"/>
            <w:vAlign w:val="bottom"/>
            <w:gridSpan w:val="2"/>
          </w:tcPr>
          <w:p>
            <w:pPr>
              <w:jc w:val="right"/>
              <w:ind w:right="209"/>
              <w:spacing w:after="0"/>
              <w:rPr>
                <w:sz w:val="20"/>
                <w:szCs w:val="20"/>
                <w:color w:val="auto"/>
              </w:rPr>
            </w:pPr>
            <w:r>
              <w:rPr>
                <w:rFonts w:ascii="Arial" w:cs="Arial" w:eastAsia="Arial" w:hAnsi="Arial"/>
                <w:sz w:val="14"/>
                <w:szCs w:val="14"/>
                <w:color w:val="auto"/>
              </w:rPr>
              <w:t>34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392,550</w:t>
            </w:r>
          </w:p>
        </w:tc>
        <w:tc>
          <w:tcPr>
            <w:tcW w:w="1360" w:type="dxa"/>
            <w:vAlign w:val="bottom"/>
            <w:gridSpan w:val="2"/>
          </w:tcPr>
          <w:p>
            <w:pPr>
              <w:jc w:val="right"/>
              <w:ind w:right="209"/>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5"/>
        </w:trPr>
        <w:tc>
          <w:tcPr>
            <w:tcW w:w="39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Construction</w:t>
            </w: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223,832</w:t>
            </w:r>
          </w:p>
        </w:tc>
        <w:tc>
          <w:tcPr>
            <w:tcW w:w="134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224,904</w:t>
            </w:r>
          </w:p>
        </w:tc>
        <w:tc>
          <w:tcPr>
            <w:tcW w:w="136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6"/>
        </w:trPr>
        <w:tc>
          <w:tcPr>
            <w:tcW w:w="3960" w:type="dxa"/>
            <w:vAlign w:val="bottom"/>
          </w:tcPr>
          <w:p>
            <w:pPr>
              <w:ind w:left="340"/>
              <w:spacing w:after="0"/>
              <w:rPr>
                <w:sz w:val="20"/>
                <w:szCs w:val="20"/>
                <w:color w:val="auto"/>
              </w:rPr>
            </w:pPr>
            <w:r>
              <w:rPr>
                <w:rFonts w:ascii="Arial" w:cs="Arial" w:eastAsia="Arial" w:hAnsi="Arial"/>
                <w:sz w:val="14"/>
                <w:szCs w:val="14"/>
                <w:color w:val="auto"/>
              </w:rPr>
              <w:t>Commercial and Industrial</w:t>
            </w:r>
          </w:p>
        </w:tc>
        <w:tc>
          <w:tcPr>
            <w:tcW w:w="460" w:type="dxa"/>
            <w:vAlign w:val="bottom"/>
          </w:tcPr>
          <w:p>
            <w:pPr>
              <w:spacing w:after="0"/>
              <w:rPr>
                <w:sz w:val="16"/>
                <w:szCs w:val="16"/>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b w:val="1"/>
                <w:bCs w:val="1"/>
                <w:color w:val="auto"/>
              </w:rPr>
              <w:t>158,392</w:t>
            </w:r>
          </w:p>
        </w:tc>
        <w:tc>
          <w:tcPr>
            <w:tcW w:w="1340" w:type="dxa"/>
            <w:vAlign w:val="bottom"/>
            <w:gridSpan w:val="2"/>
          </w:tcPr>
          <w:p>
            <w:pPr>
              <w:jc w:val="right"/>
              <w:ind w:right="209"/>
              <w:spacing w:after="0"/>
              <w:rPr>
                <w:sz w:val="20"/>
                <w:szCs w:val="20"/>
                <w:color w:val="auto"/>
              </w:rPr>
            </w:pPr>
            <w:r>
              <w:rPr>
                <w:rFonts w:ascii="Arial" w:cs="Arial" w:eastAsia="Arial" w:hAnsi="Arial"/>
                <w:sz w:val="14"/>
                <w:szCs w:val="14"/>
                <w:color w:val="auto"/>
              </w:rPr>
              <w:t>11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157,127</w:t>
            </w:r>
          </w:p>
        </w:tc>
        <w:tc>
          <w:tcPr>
            <w:tcW w:w="1360" w:type="dxa"/>
            <w:vAlign w:val="bottom"/>
            <w:gridSpan w:val="2"/>
          </w:tcPr>
          <w:p>
            <w:pPr>
              <w:jc w:val="right"/>
              <w:ind w:right="20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3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Credit card</w:t>
            </w: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121,410</w:t>
            </w:r>
          </w:p>
        </w:tc>
        <w:tc>
          <w:tcPr>
            <w:tcW w:w="134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102,186</w:t>
            </w:r>
          </w:p>
        </w:tc>
        <w:tc>
          <w:tcPr>
            <w:tcW w:w="136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5"/>
        </w:trPr>
        <w:tc>
          <w:tcPr>
            <w:tcW w:w="39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consumer</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1,034</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9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Portfolio loans receivable, gross</w:t>
            </w: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1,396,490</w:t>
            </w:r>
          </w:p>
        </w:tc>
        <w:tc>
          <w:tcPr>
            <w:tcW w:w="134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1,316,276</w:t>
            </w:r>
          </w:p>
        </w:tc>
        <w:tc>
          <w:tcPr>
            <w:tcW w:w="136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4"/>
                <w:szCs w:val="14"/>
                <w:color w:val="auto"/>
              </w:rPr>
              <w:t>Deferred origination fees, net</w:t>
            </w:r>
          </w:p>
        </w:tc>
        <w:tc>
          <w:tcPr>
            <w:tcW w:w="4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b w:val="1"/>
                <w:bCs w:val="1"/>
                <w:color w:val="auto"/>
              </w:rPr>
              <w:t>(4,019)</w:t>
            </w: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(774)</w:t>
            </w: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960" w:type="dxa"/>
            <w:vAlign w:val="bottom"/>
            <w:tcBorders>
              <w:bottom w:val="single" w:sz="8" w:color="CCEEFF"/>
            </w:tcBorders>
            <w:vMerge w:val="continue"/>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Portfolio loans, net of unearned income</w:t>
            </w: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1,392,471</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1,315,502</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9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Allowance for loan losses</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(24,079)</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(23,434)</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Portfolio loans receivable, net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1,368,392</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1,292,068</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repayment of loans is a source of additional liquidity. The following table details maturities and sensitivity to interest rate changes for our loan portfolio at June 30, 2021:</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LOAN MATURITY AND SENSITIVITY TO CHANGES IN INTEREST RATES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As of June 30, 2021</w:t>
            </w: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Due in One Year</w:t>
            </w:r>
          </w:p>
        </w:tc>
        <w:tc>
          <w:tcPr>
            <w:tcW w:w="460" w:type="dxa"/>
            <w:vAlign w:val="bottom"/>
          </w:tcPr>
          <w:p>
            <w:pPr>
              <w:spacing w:after="0"/>
              <w:rPr>
                <w:sz w:val="12"/>
                <w:szCs w:val="12"/>
                <w:color w:val="auto"/>
              </w:rPr>
            </w:pPr>
          </w:p>
        </w:tc>
        <w:tc>
          <w:tcPr>
            <w:tcW w:w="14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Due in One to</w:t>
            </w:r>
          </w:p>
        </w:tc>
        <w:tc>
          <w:tcPr>
            <w:tcW w:w="480" w:type="dxa"/>
            <w:vAlign w:val="bottom"/>
          </w:tcPr>
          <w:p>
            <w:pPr>
              <w:spacing w:after="0"/>
              <w:rPr>
                <w:sz w:val="12"/>
                <w:szCs w:val="12"/>
                <w:color w:val="auto"/>
              </w:rPr>
            </w:pPr>
          </w:p>
        </w:tc>
        <w:tc>
          <w:tcPr>
            <w:tcW w:w="1400" w:type="dxa"/>
            <w:vAlign w:val="bottom"/>
            <w:gridSpan w:val="2"/>
          </w:tcPr>
          <w:p>
            <w:pPr>
              <w:ind w:left="220"/>
              <w:spacing w:after="0" w:line="139" w:lineRule="exact"/>
              <w:rPr>
                <w:sz w:val="20"/>
                <w:szCs w:val="20"/>
                <w:color w:val="auto"/>
              </w:rPr>
            </w:pPr>
            <w:r>
              <w:rPr>
                <w:rFonts w:ascii="Arial" w:cs="Arial" w:eastAsia="Arial" w:hAnsi="Arial"/>
                <w:sz w:val="14"/>
                <w:szCs w:val="14"/>
                <w:b w:val="1"/>
                <w:bCs w:val="1"/>
                <w:color w:val="auto"/>
              </w:rPr>
              <w:t>Due After</w:t>
            </w:r>
          </w:p>
        </w:tc>
        <w:tc>
          <w:tcPr>
            <w:tcW w:w="640" w:type="dxa"/>
            <w:vAlign w:val="bottom"/>
          </w:tcPr>
          <w:p>
            <w:pPr>
              <w:spacing w:after="0"/>
              <w:rPr>
                <w:sz w:val="12"/>
                <w:szCs w:val="12"/>
                <w:color w:val="auto"/>
              </w:rPr>
            </w:pPr>
          </w:p>
        </w:tc>
        <w:tc>
          <w:tcPr>
            <w:tcW w:w="92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84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44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or Less</w:t>
            </w:r>
          </w:p>
        </w:tc>
        <w:tc>
          <w:tcPr>
            <w:tcW w:w="46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Five Years</w:t>
            </w:r>
          </w:p>
        </w:tc>
        <w:tc>
          <w:tcPr>
            <w:tcW w:w="48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Five Years</w:t>
            </w:r>
          </w:p>
        </w:tc>
        <w:tc>
          <w:tcPr>
            <w:tcW w:w="6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40" w:type="dxa"/>
            <w:vAlign w:val="bottom"/>
          </w:tcPr>
          <w:p>
            <w:pPr>
              <w:ind w:left="340"/>
              <w:spacing w:after="0"/>
              <w:rPr>
                <w:sz w:val="20"/>
                <w:szCs w:val="20"/>
                <w:color w:val="auto"/>
              </w:rPr>
            </w:pPr>
            <w:r>
              <w:rPr>
                <w:rFonts w:ascii="Arial" w:cs="Arial" w:eastAsia="Arial" w:hAnsi="Arial"/>
                <w:sz w:val="14"/>
                <w:szCs w:val="14"/>
                <w:color w:val="auto"/>
              </w:rPr>
              <w:t>Real estate:</w:t>
            </w:r>
          </w:p>
        </w:tc>
        <w:tc>
          <w:tcPr>
            <w:tcW w:w="4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88,853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160,290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170,872</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w:t>
            </w:r>
          </w:p>
        </w:tc>
        <w:tc>
          <w:tcPr>
            <w:tcW w:w="0" w:type="dxa"/>
            <w:vAlign w:val="bottom"/>
          </w:tcPr>
          <w:p>
            <w:pPr>
              <w:spacing w:after="0"/>
              <w:rPr>
                <w:sz w:val="1"/>
                <w:szCs w:val="1"/>
                <w:color w:val="auto"/>
              </w:rPr>
            </w:pPr>
          </w:p>
        </w:tc>
      </w:tr>
      <w:tr>
        <w:trPr>
          <w:trHeight w:val="185"/>
        </w:trPr>
        <w:tc>
          <w:tcPr>
            <w:tcW w:w="3840" w:type="dxa"/>
            <w:vAlign w:val="bottom"/>
          </w:tcPr>
          <w:p>
            <w:pPr>
              <w:ind w:left="500"/>
              <w:spacing w:after="0"/>
              <w:rPr>
                <w:sz w:val="20"/>
                <w:szCs w:val="20"/>
                <w:color w:val="auto"/>
              </w:rPr>
            </w:pPr>
            <w:r>
              <w:rPr>
                <w:rFonts w:ascii="Arial" w:cs="Arial" w:eastAsia="Arial" w:hAnsi="Arial"/>
                <w:sz w:val="14"/>
                <w:szCs w:val="14"/>
                <w:color w:val="auto"/>
              </w:rPr>
              <w:t>Commercial</w:t>
            </w:r>
          </w:p>
        </w:tc>
        <w:tc>
          <w:tcPr>
            <w:tcW w:w="44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85,242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206,904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179,661</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471,8</w:t>
            </w:r>
          </w:p>
        </w:tc>
        <w:tc>
          <w:tcPr>
            <w:tcW w:w="0" w:type="dxa"/>
            <w:vAlign w:val="bottom"/>
          </w:tcPr>
          <w:p>
            <w:pPr>
              <w:spacing w:after="0"/>
              <w:rPr>
                <w:sz w:val="1"/>
                <w:szCs w:val="1"/>
                <w:color w:val="auto"/>
              </w:rPr>
            </w:pPr>
          </w:p>
        </w:tc>
      </w:tr>
      <w:tr>
        <w:trPr>
          <w:trHeight w:val="185"/>
        </w:trPr>
        <w:tc>
          <w:tcPr>
            <w:tcW w:w="38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Construction</w:t>
            </w: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201,132</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w:t>
            </w:r>
          </w:p>
        </w:tc>
        <w:tc>
          <w:tcPr>
            <w:tcW w:w="0" w:type="dxa"/>
            <w:vAlign w:val="bottom"/>
          </w:tcPr>
          <w:p>
            <w:pPr>
              <w:spacing w:after="0"/>
              <w:rPr>
                <w:sz w:val="1"/>
                <w:szCs w:val="1"/>
                <w:color w:val="auto"/>
              </w:rPr>
            </w:pPr>
          </w:p>
        </w:tc>
      </w:tr>
      <w:tr>
        <w:trPr>
          <w:trHeight w:val="185"/>
        </w:trPr>
        <w:tc>
          <w:tcPr>
            <w:tcW w:w="3840" w:type="dxa"/>
            <w:vAlign w:val="bottom"/>
          </w:tcPr>
          <w:p>
            <w:pPr>
              <w:ind w:left="340"/>
              <w:spacing w:after="0"/>
              <w:rPr>
                <w:sz w:val="20"/>
                <w:szCs w:val="20"/>
                <w:color w:val="auto"/>
              </w:rPr>
            </w:pPr>
            <w:r>
              <w:rPr>
                <w:rFonts w:ascii="Arial" w:cs="Arial" w:eastAsia="Arial" w:hAnsi="Arial"/>
                <w:sz w:val="14"/>
                <w:szCs w:val="14"/>
                <w:color w:val="auto"/>
              </w:rPr>
              <w:t>Commercial and Industrial</w:t>
            </w:r>
          </w:p>
        </w:tc>
        <w:tc>
          <w:tcPr>
            <w:tcW w:w="44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65,347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61,162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31,883</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185"/>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Credit card</w:t>
            </w: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121,410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0" w:type="dxa"/>
            <w:vAlign w:val="bottom"/>
          </w:tcPr>
          <w:p>
            <w:pPr>
              <w:spacing w:after="0"/>
              <w:rPr>
                <w:sz w:val="1"/>
                <w:szCs w:val="1"/>
                <w:color w:val="auto"/>
              </w:rPr>
            </w:pPr>
          </w:p>
        </w:tc>
      </w:tr>
      <w:tr>
        <w:trPr>
          <w:trHeight w:val="186"/>
        </w:trPr>
        <w:tc>
          <w:tcPr>
            <w:tcW w:w="38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consumer</w:t>
            </w: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404</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390</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Portfolio loans receivable, gross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562,388</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451,296</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382,806</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1,396,4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840" w:type="dxa"/>
            <w:vAlign w:val="bottom"/>
          </w:tcPr>
          <w:p>
            <w:pPr>
              <w:ind w:left="500"/>
              <w:spacing w:after="0" w:line="159" w:lineRule="exact"/>
              <w:rPr>
                <w:sz w:val="20"/>
                <w:szCs w:val="20"/>
                <w:color w:val="auto"/>
              </w:rPr>
            </w:pPr>
            <w:r>
              <w:rPr>
                <w:rFonts w:ascii="Arial" w:cs="Arial" w:eastAsia="Arial" w:hAnsi="Arial"/>
                <w:sz w:val="14"/>
                <w:szCs w:val="14"/>
                <w:color w:val="auto"/>
              </w:rPr>
              <w:t>Amounts with fixed rates</w:t>
            </w: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184,150</w:t>
            </w:r>
          </w:p>
        </w:tc>
        <w:tc>
          <w:tcPr>
            <w:tcW w:w="12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330,563</w:t>
            </w: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129,114</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ind w:right="169"/>
              <w:spacing w:after="0" w:line="15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643,8</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Amounts with floating rates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378,238</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120,733</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253,692</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In addition to the portfolio loans shown above, SBA-PPP loans receivable, which totaled $208.1 million at June 30, 2021, mature in the 1-5 year time-frame and carry a fixed rate of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35"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Nonperforming loans decreased to $8.4 million, or 0.60% of total portfolio loans, at June 30, 2021 compared to $9.2 million, or 0.70% of total portfolio loans, at December 31, 2020. The $859 thousand, or 9.3%, decrease during the six months ended June 30, 2021 was primarily due to decreases of $2.3 million in commercial real estate loans and $468 thousand in commercial loans which were partially offset by an increase of $914 thousand in nonperforming construction loans and $1.0 million in residential real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3" w:name="page54"/>
    <w:bookmarkEnd w:id="53"/>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estate. Included in nonperforming loans at June 30, 2021 are troubled debt restructurings of $558 thousand.</w:t>
      </w:r>
    </w:p>
    <w:p>
      <w:pPr>
        <w:spacing w:after="0" w:line="21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Foreclosed real estate decreased to $3.2 million as of June 30, 2021 compared to $3.3 million as of December 31, 2020 due to the sale of a residential loan.</w:t>
      </w:r>
    </w:p>
    <w:p>
      <w:pPr>
        <w:spacing w:after="0" w:line="203"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Total nonperforming assets were $11.6 million at June 30, 2021 compared to $12.6 million at December 31, 2020, or 0.54% and 0.67% of corresponding total assets, respectively.</w:t>
      </w:r>
    </w:p>
    <w:p>
      <w:pPr>
        <w:spacing w:after="0" w:line="20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a result of the COVID-19 pandemic, we anticipate that our commercial, commercial real estate, residential and consumer borrowers could encounter economic difficulties, which could lead to increases in our levels of nonperforming assets, impaired loans and troubled debt restructurings.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information regarding nonperforming assets at the dates indicated: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NONPERFORMING ASSETS</w:t>
      </w:r>
      <w:r>
        <w:rPr>
          <w:rFonts w:ascii="Arial" w:cs="Arial" w:eastAsia="Arial" w:hAnsi="Arial"/>
          <w:sz w:val="22"/>
          <w:szCs w:val="22"/>
          <w:b w:val="1"/>
          <w:bCs w:val="1"/>
          <w:color w:val="auto"/>
          <w:vertAlign w:val="superscript"/>
        </w:rPr>
        <w:t>(1)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60" w:type="dxa"/>
            <w:vAlign w:val="bottom"/>
          </w:tcPr>
          <w:p>
            <w:pPr>
              <w:spacing w:after="0"/>
              <w:rPr>
                <w:sz w:val="16"/>
                <w:szCs w:val="16"/>
                <w:color w:val="auto"/>
              </w:rPr>
            </w:pPr>
          </w:p>
        </w:tc>
        <w:tc>
          <w:tcPr>
            <w:tcW w:w="19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6"/>
                <w:szCs w:val="16"/>
                <w:color w:val="auto"/>
              </w:rPr>
            </w:pPr>
          </w:p>
        </w:tc>
        <w:tc>
          <w:tcPr>
            <w:tcW w:w="1800" w:type="dxa"/>
            <w:vAlign w:val="bottom"/>
          </w:tcPr>
          <w:p>
            <w:pPr>
              <w:jc w:val="right"/>
              <w:ind w:right="301"/>
              <w:spacing w:after="0"/>
              <w:rPr>
                <w:sz w:val="20"/>
                <w:szCs w:val="20"/>
                <w:color w:val="auto"/>
              </w:rPr>
            </w:pPr>
            <w:r>
              <w:rPr>
                <w:rFonts w:ascii="Arial" w:cs="Arial" w:eastAsia="Arial" w:hAnsi="Arial"/>
                <w:sz w:val="14"/>
                <w:szCs w:val="14"/>
                <w:b w:val="1"/>
                <w:bCs w:val="1"/>
                <w:color w:val="auto"/>
              </w:rPr>
              <w:t>December 31, 2020</w:t>
            </w:r>
          </w:p>
        </w:tc>
      </w:tr>
      <w:tr>
        <w:trPr>
          <w:trHeight w:val="189"/>
        </w:trPr>
        <w:tc>
          <w:tcPr>
            <w:tcW w:w="6880" w:type="dxa"/>
            <w:vAlign w:val="bottom"/>
          </w:tcPr>
          <w:p>
            <w:pPr>
              <w:ind w:left="20"/>
              <w:spacing w:after="0"/>
              <w:rPr>
                <w:sz w:val="20"/>
                <w:szCs w:val="20"/>
                <w:color w:val="auto"/>
              </w:rPr>
            </w:pPr>
            <w:r>
              <w:rPr>
                <w:rFonts w:ascii="Arial" w:cs="Arial" w:eastAsia="Arial" w:hAnsi="Arial"/>
                <w:sz w:val="16"/>
                <w:szCs w:val="16"/>
                <w:color w:val="auto"/>
              </w:rPr>
              <w:t>Nonaccrual loans</w:t>
            </w:r>
          </w:p>
        </w:tc>
        <w:tc>
          <w:tcPr>
            <w:tcW w:w="36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r>
      <w:tr>
        <w:trPr>
          <w:trHeight w:val="215"/>
        </w:trPr>
        <w:tc>
          <w:tcPr>
            <w:tcW w:w="6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Real Estate:</w:t>
            </w: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2"/>
        </w:trPr>
        <w:tc>
          <w:tcPr>
            <w:tcW w:w="6880" w:type="dxa"/>
            <w:vAlign w:val="bottom"/>
          </w:tcPr>
          <w:p>
            <w:pPr>
              <w:ind w:left="340"/>
              <w:spacing w:after="0"/>
              <w:rPr>
                <w:sz w:val="20"/>
                <w:szCs w:val="20"/>
                <w:color w:val="auto"/>
              </w:rPr>
            </w:pPr>
            <w:r>
              <w:rPr>
                <w:rFonts w:ascii="Arial" w:cs="Arial" w:eastAsia="Arial" w:hAnsi="Arial"/>
                <w:sz w:val="16"/>
                <w:szCs w:val="16"/>
                <w:color w:val="auto"/>
              </w:rPr>
              <w:t>Residential</w:t>
            </w:r>
          </w:p>
        </w:tc>
        <w:tc>
          <w:tcPr>
            <w:tcW w:w="360" w:type="dxa"/>
            <w:vAlign w:val="bottom"/>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Pr>
          <w:p>
            <w:pPr>
              <w:jc w:val="right"/>
              <w:ind w:right="121"/>
              <w:spacing w:after="0"/>
              <w:rPr>
                <w:sz w:val="20"/>
                <w:szCs w:val="20"/>
                <w:color w:val="auto"/>
              </w:rPr>
            </w:pPr>
            <w:r>
              <w:rPr>
                <w:rFonts w:ascii="Arial" w:cs="Arial" w:eastAsia="Arial" w:hAnsi="Arial"/>
                <w:sz w:val="16"/>
                <w:szCs w:val="16"/>
                <w:b w:val="1"/>
                <w:bCs w:val="1"/>
                <w:color w:val="auto"/>
              </w:rPr>
              <w:t>4,583</w:t>
            </w:r>
          </w:p>
        </w:tc>
        <w:tc>
          <w:tcPr>
            <w:tcW w:w="1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21"/>
              <w:spacing w:after="0"/>
              <w:rPr>
                <w:sz w:val="20"/>
                <w:szCs w:val="20"/>
                <w:color w:val="auto"/>
              </w:rPr>
            </w:pPr>
            <w:r>
              <w:rPr>
                <w:rFonts w:ascii="Arial" w:cs="Arial" w:eastAsia="Arial" w:hAnsi="Arial"/>
                <w:sz w:val="16"/>
                <w:szCs w:val="16"/>
                <w:color w:val="auto"/>
              </w:rPr>
              <w:t>3,581</w:t>
            </w:r>
          </w:p>
        </w:tc>
      </w:tr>
      <w:tr>
        <w:trPr>
          <w:trHeight w:val="212"/>
        </w:trPr>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Commercial</w:t>
            </w: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65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2,358</w:t>
            </w:r>
          </w:p>
        </w:tc>
      </w:tr>
      <w:tr>
        <w:trPr>
          <w:trHeight w:val="212"/>
        </w:trPr>
        <w:tc>
          <w:tcPr>
            <w:tcW w:w="6880" w:type="dxa"/>
            <w:vAlign w:val="bottom"/>
          </w:tcPr>
          <w:p>
            <w:pPr>
              <w:ind w:left="340"/>
              <w:spacing w:after="0"/>
              <w:rPr>
                <w:sz w:val="20"/>
                <w:szCs w:val="20"/>
                <w:color w:val="auto"/>
              </w:rPr>
            </w:pPr>
            <w:r>
              <w:rPr>
                <w:rFonts w:ascii="Arial" w:cs="Arial" w:eastAsia="Arial" w:hAnsi="Arial"/>
                <w:sz w:val="16"/>
                <w:szCs w:val="16"/>
                <w:color w:val="auto"/>
              </w:rPr>
              <w:t>Construction</w:t>
            </w:r>
          </w:p>
        </w:tc>
        <w:tc>
          <w:tcPr>
            <w:tcW w:w="360" w:type="dxa"/>
            <w:vAlign w:val="bottom"/>
          </w:tcPr>
          <w:p>
            <w:pPr>
              <w:spacing w:after="0"/>
              <w:rPr>
                <w:sz w:val="18"/>
                <w:szCs w:val="18"/>
                <w:color w:val="auto"/>
              </w:rPr>
            </w:pPr>
          </w:p>
        </w:tc>
        <w:tc>
          <w:tcPr>
            <w:tcW w:w="1780" w:type="dxa"/>
            <w:vAlign w:val="bottom"/>
          </w:tcPr>
          <w:p>
            <w:pPr>
              <w:jc w:val="right"/>
              <w:ind w:right="121"/>
              <w:spacing w:after="0"/>
              <w:rPr>
                <w:sz w:val="20"/>
                <w:szCs w:val="20"/>
                <w:color w:val="auto"/>
              </w:rPr>
            </w:pPr>
            <w:r>
              <w:rPr>
                <w:rFonts w:ascii="Arial" w:cs="Arial" w:eastAsia="Arial" w:hAnsi="Arial"/>
                <w:sz w:val="16"/>
                <w:szCs w:val="16"/>
                <w:b w:val="1"/>
                <w:bCs w:val="1"/>
                <w:color w:val="auto"/>
              </w:rPr>
              <w:t>2,800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21"/>
              <w:spacing w:after="0"/>
              <w:rPr>
                <w:sz w:val="20"/>
                <w:szCs w:val="20"/>
                <w:color w:val="auto"/>
              </w:rPr>
            </w:pPr>
            <w:r>
              <w:rPr>
                <w:rFonts w:ascii="Arial" w:cs="Arial" w:eastAsia="Arial" w:hAnsi="Arial"/>
                <w:sz w:val="16"/>
                <w:szCs w:val="16"/>
                <w:color w:val="auto"/>
              </w:rPr>
              <w:t>1,886</w:t>
            </w:r>
          </w:p>
        </w:tc>
      </w:tr>
      <w:tr>
        <w:trPr>
          <w:trHeight w:val="212"/>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and Industrial</w:t>
            </w: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713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1,182</w:t>
            </w:r>
          </w:p>
        </w:tc>
      </w:tr>
      <w:tr>
        <w:trPr>
          <w:trHeight w:val="212"/>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Accruing loans 90 or more days past due</w:t>
            </w: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217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231</w:t>
            </w:r>
          </w:p>
        </w:tc>
      </w:tr>
      <w:tr>
        <w:trPr>
          <w:trHeight w:val="205"/>
        </w:trPr>
        <w:tc>
          <w:tcPr>
            <w:tcW w:w="6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nonperforming portfolio loans</w:t>
            </w:r>
          </w:p>
        </w:tc>
        <w:tc>
          <w:tcPr>
            <w:tcW w:w="36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8,378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9,238</w:t>
            </w:r>
          </w:p>
        </w:tc>
      </w:tr>
      <w:tr>
        <w:trPr>
          <w:trHeight w:val="212"/>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Foreclosed real estate</w:t>
            </w: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3,236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3,326</w:t>
            </w:r>
          </w:p>
        </w:tc>
      </w:tr>
      <w:tr>
        <w:trPr>
          <w:trHeight w:val="230"/>
        </w:trPr>
        <w:tc>
          <w:tcPr>
            <w:tcW w:w="6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nonperforming assets</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11,614</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12,564</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12"/>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Restructured loans - nonaccrual</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78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558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440</w:t>
            </w:r>
          </w:p>
        </w:tc>
      </w:tr>
      <w:tr>
        <w:trPr>
          <w:trHeight w:val="212"/>
        </w:trPr>
        <w:tc>
          <w:tcPr>
            <w:tcW w:w="6880" w:type="dxa"/>
            <w:vAlign w:val="bottom"/>
          </w:tcPr>
          <w:p>
            <w:pPr>
              <w:ind w:left="20"/>
              <w:spacing w:after="0"/>
              <w:rPr>
                <w:sz w:val="20"/>
                <w:szCs w:val="20"/>
                <w:color w:val="auto"/>
              </w:rPr>
            </w:pPr>
            <w:r>
              <w:rPr>
                <w:rFonts w:ascii="Arial" w:cs="Arial" w:eastAsia="Arial" w:hAnsi="Arial"/>
                <w:sz w:val="16"/>
                <w:szCs w:val="16"/>
                <w:color w:val="auto"/>
              </w:rPr>
              <w:t>Ratio of nonperforming loans to portfolio loans</w:t>
            </w:r>
          </w:p>
        </w:tc>
        <w:tc>
          <w:tcPr>
            <w:tcW w:w="3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0.60 %</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0.61 %</w:t>
            </w:r>
          </w:p>
        </w:tc>
      </w:tr>
      <w:tr>
        <w:trPr>
          <w:trHeight w:val="265"/>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nonperforming assets to total assets</w:t>
            </w:r>
          </w:p>
        </w:tc>
        <w:tc>
          <w:tcPr>
            <w:tcW w:w="36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0.54 %</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0.67 %</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198" w:lineRule="auto"/>
        <w:tabs>
          <w:tab w:leader="none" w:pos="320" w:val="left"/>
        </w:tabs>
        <w:numPr>
          <w:ilvl w:val="0"/>
          <w:numId w:val="11"/>
        </w:numPr>
        <w:rPr>
          <w:rFonts w:ascii="Arial" w:cs="Arial" w:eastAsia="Arial" w:hAnsi="Arial"/>
          <w:sz w:val="14"/>
          <w:szCs w:val="14"/>
          <w:color w:val="auto"/>
          <w:vertAlign w:val="superscript"/>
        </w:rPr>
      </w:pPr>
      <w:r>
        <w:rPr>
          <w:rFonts w:ascii="Arial" w:cs="Arial" w:eastAsia="Arial" w:hAnsi="Arial"/>
          <w:sz w:val="11"/>
          <w:szCs w:val="11"/>
          <w:color w:val="auto"/>
        </w:rPr>
        <w:t>Excludes SBA-PPP loans receivable, none of which were nonperforming.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83"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following table presents the loan balances by category as well as risk rating at the dates indicated. No assets were classified as loss during the periods presented.</w:t>
      </w:r>
    </w:p>
    <w:p>
      <w:pPr>
        <w:spacing w:after="0" w:line="18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PORTFOLIO LOAN CLASSIFICATION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8"/>
                <w:szCs w:val="18"/>
                <w:b w:val="1"/>
                <w:bCs w:val="1"/>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Special Mention</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Substandard</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Doubtful</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118"/>
        </w:trPr>
        <w:tc>
          <w:tcPr>
            <w:tcW w:w="20" w:type="dxa"/>
            <w:vAlign w:val="bottom"/>
          </w:tcPr>
          <w:p>
            <w:pPr>
              <w:spacing w:after="0"/>
              <w:rPr>
                <w:sz w:val="10"/>
                <w:szCs w:val="10"/>
                <w:color w:val="auto"/>
              </w:rPr>
            </w:pPr>
          </w:p>
        </w:tc>
        <w:tc>
          <w:tcPr>
            <w:tcW w:w="3520" w:type="dxa"/>
            <w:vAlign w:val="bottom"/>
            <w:gridSpan w:val="3"/>
          </w:tcPr>
          <w:p>
            <w:pPr>
              <w:spacing w:after="0" w:line="118" w:lineRule="exact"/>
              <w:rPr>
                <w:sz w:val="20"/>
                <w:szCs w:val="20"/>
                <w:color w:val="auto"/>
              </w:rPr>
            </w:pPr>
            <w:r>
              <w:rPr>
                <w:rFonts w:ascii="Arial" w:cs="Arial" w:eastAsia="Arial" w:hAnsi="Arial"/>
                <w:sz w:val="11"/>
                <w:szCs w:val="11"/>
                <w:color w:val="auto"/>
              </w:rPr>
              <w:t>(in thousands)</w:t>
            </w: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w w:val="97"/>
              </w:rPr>
              <w:t>June 30, 2021</w:t>
            </w:r>
          </w:p>
        </w:tc>
        <w:tc>
          <w:tcPr>
            <w:tcW w:w="2480" w:type="dxa"/>
            <w:vAlign w:val="bottom"/>
            <w:tcBorders>
              <w:bottom w:val="single" w:sz="8" w:color="CCEEFF"/>
            </w:tcBorders>
            <w:gridSpan w:val="2"/>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412,673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420,015</w:t>
            </w:r>
          </w:p>
        </w:tc>
      </w:tr>
      <w:tr>
        <w:trPr>
          <w:trHeight w:val="212"/>
        </w:trPr>
        <w:tc>
          <w:tcPr>
            <w:tcW w:w="20" w:type="dxa"/>
            <w:vAlign w:val="bottom"/>
          </w:tcPr>
          <w:p>
            <w:pPr>
              <w:spacing w:after="0"/>
              <w:rPr>
                <w:sz w:val="18"/>
                <w:szCs w:val="18"/>
                <w:color w:val="auto"/>
              </w:rPr>
            </w:pPr>
          </w:p>
        </w:tc>
        <w:tc>
          <w:tcPr>
            <w:tcW w:w="3520" w:type="dxa"/>
            <w:vAlign w:val="bottom"/>
            <w:gridSpan w:val="3"/>
          </w:tcPr>
          <w:p>
            <w:pPr>
              <w:ind w:left="16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464,596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b w:val="1"/>
                <w:bCs w:val="1"/>
                <w:color w:val="auto"/>
              </w:rPr>
              <w:t>6,822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471,807</w:t>
            </w:r>
          </w:p>
        </w:tc>
      </w:tr>
      <w:tr>
        <w:trPr>
          <w:trHeight w:val="212"/>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219,327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223,832</w:t>
            </w:r>
          </w:p>
        </w:tc>
      </w:tr>
      <w:tr>
        <w:trPr>
          <w:trHeight w:val="212"/>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Commercial and Industrial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144,387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b w:val="1"/>
                <w:bCs w:val="1"/>
                <w:color w:val="auto"/>
              </w:rPr>
              <w:t>12,485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1,520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158,392</w:t>
            </w:r>
          </w:p>
        </w:tc>
      </w:tr>
      <w:tr>
        <w:trPr>
          <w:trHeight w:val="212"/>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Credit card</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121,410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121,410</w:t>
            </w:r>
          </w:p>
        </w:tc>
      </w:tr>
      <w:tr>
        <w:trPr>
          <w:trHeight w:val="212"/>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Other consumer</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1,034</w:t>
            </w:r>
          </w:p>
        </w:tc>
      </w:tr>
      <w:tr>
        <w:trPr>
          <w:trHeight w:val="230"/>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5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Portfolio loans receivable, gross</w:t>
            </w: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1,363,427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22,881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1,396,490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6"/>
                <w:szCs w:val="16"/>
                <w:b w:val="1"/>
                <w:bCs w:val="1"/>
                <w:color w:val="auto"/>
                <w:w w:val="98"/>
              </w:rPr>
              <w:t>December 31, 2020</w:t>
            </w:r>
          </w:p>
        </w:tc>
        <w:tc>
          <w:tcPr>
            <w:tcW w:w="20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437,860</w:t>
            </w:r>
          </w:p>
        </w:tc>
      </w:tr>
      <w:tr>
        <w:trPr>
          <w:trHeight w:val="209"/>
        </w:trPr>
        <w:tc>
          <w:tcPr>
            <w:tcW w:w="20" w:type="dxa"/>
            <w:vAlign w:val="bottom"/>
          </w:tcPr>
          <w:p>
            <w:pPr>
              <w:spacing w:after="0"/>
              <w:rPr>
                <w:sz w:val="18"/>
                <w:szCs w:val="18"/>
                <w:color w:val="auto"/>
              </w:rPr>
            </w:pPr>
          </w:p>
        </w:tc>
        <w:tc>
          <w:tcPr>
            <w:tcW w:w="3520" w:type="dxa"/>
            <w:vAlign w:val="bottom"/>
            <w:gridSpan w:val="3"/>
          </w:tcPr>
          <w:p>
            <w:pPr>
              <w:ind w:left="16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383,311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6,881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392,550</w:t>
            </w:r>
          </w:p>
        </w:tc>
      </w:tr>
      <w:tr>
        <w:trPr>
          <w:trHeight w:val="214"/>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224,904</w:t>
            </w:r>
          </w:p>
        </w:tc>
      </w:tr>
      <w:tr>
        <w:trPr>
          <w:trHeight w:val="210"/>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Commercial and Industrial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145,365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9,766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157,127</w:t>
            </w:r>
          </w:p>
        </w:tc>
      </w:tr>
      <w:tr>
        <w:trPr>
          <w:trHeight w:val="214"/>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Credit card</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102,186</w:t>
            </w:r>
          </w:p>
        </w:tc>
      </w:tr>
      <w:tr>
        <w:trPr>
          <w:trHeight w:val="210"/>
        </w:trPr>
        <w:tc>
          <w:tcPr>
            <w:tcW w:w="2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consumer</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1,649</w:t>
            </w:r>
          </w:p>
        </w:tc>
      </w:tr>
      <w:tr>
        <w:trPr>
          <w:trHeight w:val="228"/>
        </w:trPr>
        <w:tc>
          <w:tcPr>
            <w:tcW w:w="20" w:type="dxa"/>
            <w:vAlign w:val="bottom"/>
            <w:shd w:val="clear" w:color="auto" w:fill="CCEEFF"/>
          </w:tcPr>
          <w:p>
            <w:pPr>
              <w:spacing w:after="0"/>
              <w:rPr>
                <w:sz w:val="19"/>
                <w:szCs w:val="19"/>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Portfolio loans receivable, gross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1,280,828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22,909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1,316,276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198" w:lineRule="auto"/>
        <w:tabs>
          <w:tab w:leader="none" w:pos="320"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Category includes loans graded exceptional, very good, good, satisfactory and pass / watch, in addition to credit cards and consumer credits that are not graded.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At June 30, 2021, the recorded investment in impaired loans was $7.9 million, of which $373 thousand required a specific reserve of $236 thousand. This compares to a recorded investment in impaired loans of $10.0 million at December 31, 2020, including $391 thousand which required a specific reserve of $253 thousand. The decrease in impaired loans is largely attributable to a reduction in commercial real estate of $2.3 million and $468 thousand in commercial which was partially offset by an increase in $664 thousand in construction and residential real estate of $46 thousand.</w:t>
      </w:r>
    </w:p>
    <w:p>
      <w:pPr>
        <w:spacing w:after="0" w:line="20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Impaired loans also include certain loans that have been modified as TDRs. The Company had five loans amounting to $558 thousand at June 30, 2021, and five loans totaling $440 thousand at December 31, 2020 that were considered to be TDRs.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maintain an allowance for loan losses that represents management’s best estimate of the loan losses and risks inherent in our loan portfolio. The amount of the allowance for loan losses should not be interpreted as an indication that charge-offs in future periods will necessarily occur in those amounts, or at all. In determining the allowance for loan losses, we estimate losses on specific loans, or groups of loans, where the probable loss can be identified and reasonably determined. The balance of the allowance for loan losses is based on internally assigned risk classifications of loans, historical loan loss rates, changes in the nature of our loan portfolio, overall portfolio quality, industry concentrations, delinquency trends, current economic factors and the estimated impact of current economic conditions on certain historical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loan loss rates. The following table presents a summary of changes in the allowance for loan losses for the periods and dates indicated: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25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740" w:type="dxa"/>
            <w:vAlign w:val="bottom"/>
            <w:gridSpan w:val="3"/>
          </w:tcPr>
          <w:p>
            <w:pPr>
              <w:ind w:left="360"/>
              <w:spacing w:after="0"/>
              <w:rPr>
                <w:sz w:val="20"/>
                <w:szCs w:val="20"/>
                <w:color w:val="auto"/>
              </w:rPr>
            </w:pPr>
            <w:r>
              <w:rPr>
                <w:rFonts w:ascii="Arial" w:cs="Arial" w:eastAsia="Arial" w:hAnsi="Arial"/>
                <w:sz w:val="14"/>
                <w:szCs w:val="14"/>
                <w:b w:val="1"/>
                <w:bCs w:val="1"/>
                <w:color w:val="auto"/>
              </w:rPr>
              <w:t>For the Six Months Ended June</w:t>
            </w:r>
          </w:p>
        </w:tc>
        <w:tc>
          <w:tcPr>
            <w:tcW w:w="440" w:type="dxa"/>
            <w:vAlign w:val="bottom"/>
          </w:tcPr>
          <w:p>
            <w:pPr>
              <w:spacing w:after="0"/>
              <w:rPr>
                <w:sz w:val="14"/>
                <w:szCs w:val="14"/>
                <w:color w:val="auto"/>
              </w:rPr>
            </w:pPr>
          </w:p>
        </w:tc>
        <w:tc>
          <w:tcPr>
            <w:tcW w:w="2160" w:type="dxa"/>
            <w:vAlign w:val="bottom"/>
          </w:tcPr>
          <w:p>
            <w:pPr>
              <w:jc w:val="right"/>
              <w:ind w:right="61"/>
              <w:spacing w:after="0"/>
              <w:rPr>
                <w:sz w:val="20"/>
                <w:szCs w:val="20"/>
                <w:color w:val="auto"/>
              </w:rPr>
            </w:pPr>
            <w:r>
              <w:rPr>
                <w:rFonts w:ascii="Arial" w:cs="Arial" w:eastAsia="Arial" w:hAnsi="Arial"/>
                <w:sz w:val="14"/>
                <w:szCs w:val="14"/>
                <w:b w:val="1"/>
                <w:bCs w:val="1"/>
                <w:color w:val="auto"/>
              </w:rPr>
              <w:t>For the Year Ended December</w:t>
            </w:r>
          </w:p>
        </w:tc>
      </w:tr>
      <w:tr>
        <w:trPr>
          <w:trHeight w:val="172"/>
        </w:trPr>
        <w:tc>
          <w:tcPr>
            <w:tcW w:w="5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921"/>
              <w:spacing w:after="0"/>
              <w:rPr>
                <w:sz w:val="20"/>
                <w:szCs w:val="20"/>
                <w:color w:val="auto"/>
              </w:rPr>
            </w:pPr>
            <w:r>
              <w:rPr>
                <w:rFonts w:ascii="Arial" w:cs="Arial" w:eastAsia="Arial" w:hAnsi="Arial"/>
                <w:sz w:val="14"/>
                <w:szCs w:val="14"/>
                <w:b w:val="1"/>
                <w:bCs w:val="1"/>
                <w:color w:val="auto"/>
              </w:rPr>
              <w:t>30, 2021</w:t>
            </w: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ind w:right="961"/>
              <w:spacing w:after="0"/>
              <w:rPr>
                <w:sz w:val="20"/>
                <w:szCs w:val="20"/>
                <w:color w:val="auto"/>
              </w:rPr>
            </w:pPr>
            <w:r>
              <w:rPr>
                <w:rFonts w:ascii="Arial" w:cs="Arial" w:eastAsia="Arial" w:hAnsi="Arial"/>
                <w:sz w:val="14"/>
                <w:szCs w:val="14"/>
                <w:b w:val="1"/>
                <w:bCs w:val="1"/>
                <w:color w:val="auto"/>
              </w:rPr>
              <w:t>31, 2020</w:t>
            </w:r>
          </w:p>
        </w:tc>
      </w:tr>
      <w:tr>
        <w:trPr>
          <w:trHeight w:val="118"/>
        </w:trPr>
        <w:tc>
          <w:tcPr>
            <w:tcW w:w="512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160" w:type="dxa"/>
            <w:vAlign w:val="bottom"/>
          </w:tcPr>
          <w:p>
            <w:pPr>
              <w:spacing w:after="0"/>
              <w:rPr>
                <w:sz w:val="10"/>
                <w:szCs w:val="10"/>
                <w:color w:val="auto"/>
              </w:rPr>
            </w:pPr>
          </w:p>
        </w:tc>
      </w:tr>
      <w:tr>
        <w:trPr>
          <w:trHeight w:val="21"/>
        </w:trPr>
        <w:tc>
          <w:tcPr>
            <w:tcW w:w="5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loan losses at beginning of period</w:t>
            </w:r>
          </w:p>
        </w:tc>
        <w:tc>
          <w:tcPr>
            <w:tcW w:w="70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w:t>
            </w:r>
          </w:p>
        </w:tc>
        <w:tc>
          <w:tcPr>
            <w:tcW w:w="1840" w:type="dxa"/>
            <w:vAlign w:val="bottom"/>
            <w:shd w:val="clear" w:color="auto" w:fill="CCEEFF"/>
          </w:tcPr>
          <w:p>
            <w:pPr>
              <w:jc w:val="right"/>
              <w:ind w:right="441"/>
              <w:spacing w:after="0"/>
              <w:rPr>
                <w:sz w:val="20"/>
                <w:szCs w:val="20"/>
                <w:color w:val="auto"/>
              </w:rPr>
            </w:pPr>
            <w:r>
              <w:rPr>
                <w:rFonts w:ascii="Arial" w:cs="Arial" w:eastAsia="Arial" w:hAnsi="Arial"/>
                <w:sz w:val="16"/>
                <w:szCs w:val="16"/>
                <w:b w:val="1"/>
                <w:bCs w:val="1"/>
                <w:color w:val="auto"/>
              </w:rPr>
              <w:t>23,434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6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13,301</w:t>
            </w:r>
          </w:p>
        </w:tc>
      </w:tr>
      <w:tr>
        <w:trPr>
          <w:trHeight w:val="209"/>
        </w:trPr>
        <w:tc>
          <w:tcPr>
            <w:tcW w:w="5120" w:type="dxa"/>
            <w:vAlign w:val="bottom"/>
          </w:tcPr>
          <w:p>
            <w:pPr>
              <w:ind w:left="340"/>
              <w:spacing w:after="0"/>
              <w:rPr>
                <w:sz w:val="20"/>
                <w:szCs w:val="20"/>
                <w:color w:val="auto"/>
              </w:rPr>
            </w:pPr>
            <w:r>
              <w:rPr>
                <w:rFonts w:ascii="Arial" w:cs="Arial" w:eastAsia="Arial" w:hAnsi="Arial"/>
                <w:sz w:val="16"/>
                <w:szCs w:val="16"/>
                <w:color w:val="auto"/>
              </w:rPr>
              <w:t>Charge-offs:</w:t>
            </w:r>
          </w:p>
        </w:tc>
        <w:tc>
          <w:tcPr>
            <w:tcW w:w="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4"/>
        </w:trPr>
        <w:tc>
          <w:tcPr>
            <w:tcW w:w="5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Real estate:</w:t>
            </w:r>
          </w:p>
        </w:tc>
        <w:tc>
          <w:tcPr>
            <w:tcW w:w="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2"/>
        </w:trPr>
        <w:tc>
          <w:tcPr>
            <w:tcW w:w="5120" w:type="dxa"/>
            <w:vAlign w:val="bottom"/>
          </w:tcPr>
          <w:p>
            <w:pPr>
              <w:ind w:left="460"/>
              <w:spacing w:after="0"/>
              <w:rPr>
                <w:sz w:val="20"/>
                <w:szCs w:val="20"/>
                <w:color w:val="auto"/>
              </w:rPr>
            </w:pPr>
            <w:r>
              <w:rPr>
                <w:rFonts w:ascii="Arial" w:cs="Arial" w:eastAsia="Arial" w:hAnsi="Arial"/>
                <w:sz w:val="16"/>
                <w:szCs w:val="16"/>
                <w:color w:val="auto"/>
              </w:rPr>
              <w:t>Residential</w:t>
            </w:r>
          </w:p>
        </w:tc>
        <w:tc>
          <w:tcPr>
            <w:tcW w:w="700" w:type="dxa"/>
            <w:vAlign w:val="bottom"/>
          </w:tcPr>
          <w:p>
            <w:pPr>
              <w:spacing w:after="0"/>
              <w:rPr>
                <w:sz w:val="18"/>
                <w:szCs w:val="18"/>
                <w:color w:val="auto"/>
              </w:rPr>
            </w:pPr>
          </w:p>
        </w:tc>
        <w:tc>
          <w:tcPr>
            <w:tcW w:w="204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c>
          <w:tcPr>
            <w:tcW w:w="2160" w:type="dxa"/>
            <w:vAlign w:val="bottom"/>
          </w:tcPr>
          <w:p>
            <w:pPr>
              <w:jc w:val="right"/>
              <w:ind w:right="461"/>
              <w:spacing w:after="0"/>
              <w:rPr>
                <w:sz w:val="20"/>
                <w:szCs w:val="20"/>
                <w:color w:val="auto"/>
              </w:rPr>
            </w:pPr>
            <w:r>
              <w:rPr>
                <w:rFonts w:ascii="Arial" w:cs="Arial" w:eastAsia="Arial" w:hAnsi="Arial"/>
                <w:sz w:val="16"/>
                <w:szCs w:val="16"/>
                <w:color w:val="auto"/>
              </w:rPr>
              <w:t>—</w:t>
            </w:r>
          </w:p>
        </w:tc>
      </w:tr>
      <w:tr>
        <w:trPr>
          <w:trHeight w:val="212"/>
        </w:trPr>
        <w:tc>
          <w:tcPr>
            <w:tcW w:w="5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Commercial</w:t>
            </w:r>
          </w:p>
        </w:tc>
        <w:tc>
          <w:tcPr>
            <w:tcW w:w="7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w:t>
            </w:r>
          </w:p>
        </w:tc>
      </w:tr>
      <w:tr>
        <w:trPr>
          <w:trHeight w:val="212"/>
        </w:trPr>
        <w:tc>
          <w:tcPr>
            <w:tcW w:w="5120" w:type="dxa"/>
            <w:vAlign w:val="bottom"/>
          </w:tcPr>
          <w:p>
            <w:pPr>
              <w:ind w:left="600"/>
              <w:spacing w:after="0"/>
              <w:rPr>
                <w:sz w:val="20"/>
                <w:szCs w:val="20"/>
                <w:color w:val="auto"/>
              </w:rPr>
            </w:pPr>
            <w:r>
              <w:rPr>
                <w:rFonts w:ascii="Arial" w:cs="Arial" w:eastAsia="Arial" w:hAnsi="Arial"/>
                <w:sz w:val="16"/>
                <w:szCs w:val="16"/>
                <w:color w:val="auto"/>
              </w:rPr>
              <w:t>Construction</w:t>
            </w:r>
          </w:p>
        </w:tc>
        <w:tc>
          <w:tcPr>
            <w:tcW w:w="700" w:type="dxa"/>
            <w:vAlign w:val="bottom"/>
          </w:tcPr>
          <w:p>
            <w:pPr>
              <w:spacing w:after="0"/>
              <w:rPr>
                <w:sz w:val="18"/>
                <w:szCs w:val="18"/>
                <w:color w:val="auto"/>
              </w:rPr>
            </w:pPr>
          </w:p>
        </w:tc>
        <w:tc>
          <w:tcPr>
            <w:tcW w:w="204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c>
          <w:tcPr>
            <w:tcW w:w="2160" w:type="dxa"/>
            <w:vAlign w:val="bottom"/>
          </w:tcPr>
          <w:p>
            <w:pPr>
              <w:jc w:val="right"/>
              <w:ind w:right="401"/>
              <w:spacing w:after="0"/>
              <w:rPr>
                <w:sz w:val="20"/>
                <w:szCs w:val="20"/>
                <w:color w:val="auto"/>
              </w:rPr>
            </w:pPr>
            <w:r>
              <w:rPr>
                <w:rFonts w:ascii="Arial" w:cs="Arial" w:eastAsia="Arial" w:hAnsi="Arial"/>
                <w:sz w:val="16"/>
                <w:szCs w:val="16"/>
                <w:color w:val="auto"/>
              </w:rPr>
              <w:t>(296)</w:t>
            </w:r>
          </w:p>
        </w:tc>
      </w:tr>
      <w:tr>
        <w:trPr>
          <w:trHeight w:val="212"/>
        </w:trPr>
        <w:tc>
          <w:tcPr>
            <w:tcW w:w="5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Commercial and Industrial</w:t>
            </w:r>
          </w:p>
        </w:tc>
        <w:tc>
          <w:tcPr>
            <w:tcW w:w="7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401"/>
              <w:spacing w:after="0"/>
              <w:rPr>
                <w:sz w:val="20"/>
                <w:szCs w:val="20"/>
                <w:color w:val="auto"/>
              </w:rPr>
            </w:pPr>
            <w:r>
              <w:rPr>
                <w:rFonts w:ascii="Arial" w:cs="Arial" w:eastAsia="Arial" w:hAnsi="Arial"/>
                <w:sz w:val="16"/>
                <w:szCs w:val="16"/>
                <w:b w:val="1"/>
                <w:bCs w:val="1"/>
                <w:color w:val="auto"/>
              </w:rPr>
              <w:t>(200)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(233)</w:t>
            </w:r>
          </w:p>
        </w:tc>
      </w:tr>
      <w:tr>
        <w:trPr>
          <w:trHeight w:val="212"/>
        </w:trPr>
        <w:tc>
          <w:tcPr>
            <w:tcW w:w="5120" w:type="dxa"/>
            <w:vAlign w:val="bottom"/>
          </w:tcPr>
          <w:p>
            <w:pPr>
              <w:ind w:left="460"/>
              <w:spacing w:after="0"/>
              <w:rPr>
                <w:sz w:val="20"/>
                <w:szCs w:val="20"/>
                <w:color w:val="auto"/>
              </w:rPr>
            </w:pPr>
            <w:r>
              <w:rPr>
                <w:rFonts w:ascii="Arial" w:cs="Arial" w:eastAsia="Arial" w:hAnsi="Arial"/>
                <w:sz w:val="16"/>
                <w:szCs w:val="16"/>
                <w:color w:val="auto"/>
              </w:rPr>
              <w:t>Credit card</w:t>
            </w:r>
          </w:p>
        </w:tc>
        <w:tc>
          <w:tcPr>
            <w:tcW w:w="700" w:type="dxa"/>
            <w:vAlign w:val="bottom"/>
          </w:tcPr>
          <w:p>
            <w:pPr>
              <w:spacing w:after="0"/>
              <w:rPr>
                <w:sz w:val="18"/>
                <w:szCs w:val="18"/>
                <w:color w:val="auto"/>
              </w:rPr>
            </w:pPr>
          </w:p>
        </w:tc>
        <w:tc>
          <w:tcPr>
            <w:tcW w:w="1840" w:type="dxa"/>
            <w:vAlign w:val="bottom"/>
          </w:tcPr>
          <w:p>
            <w:pPr>
              <w:jc w:val="right"/>
              <w:ind w:right="401"/>
              <w:spacing w:after="0"/>
              <w:rPr>
                <w:sz w:val="20"/>
                <w:szCs w:val="20"/>
                <w:color w:val="auto"/>
              </w:rPr>
            </w:pPr>
            <w:r>
              <w:rPr>
                <w:rFonts w:ascii="Arial" w:cs="Arial" w:eastAsia="Arial" w:hAnsi="Arial"/>
                <w:sz w:val="16"/>
                <w:szCs w:val="16"/>
                <w:b w:val="1"/>
                <w:bCs w:val="1"/>
                <w:color w:val="auto"/>
              </w:rPr>
              <w:t>(472)</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jc w:val="right"/>
              <w:ind w:right="401"/>
              <w:spacing w:after="0"/>
              <w:rPr>
                <w:sz w:val="20"/>
                <w:szCs w:val="20"/>
                <w:color w:val="auto"/>
              </w:rPr>
            </w:pPr>
            <w:r>
              <w:rPr>
                <w:rFonts w:ascii="Arial" w:cs="Arial" w:eastAsia="Arial" w:hAnsi="Arial"/>
                <w:sz w:val="16"/>
                <w:szCs w:val="16"/>
                <w:color w:val="auto"/>
              </w:rPr>
              <w:t>(637)</w:t>
            </w:r>
          </w:p>
        </w:tc>
      </w:tr>
      <w:tr>
        <w:trPr>
          <w:trHeight w:val="225"/>
        </w:trPr>
        <w:tc>
          <w:tcPr>
            <w:tcW w:w="5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consumer</w:t>
            </w:r>
          </w:p>
        </w:tc>
        <w:tc>
          <w:tcPr>
            <w:tcW w:w="7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r>
      <w:tr>
        <w:trPr>
          <w:trHeight w:val="205"/>
        </w:trPr>
        <w:tc>
          <w:tcPr>
            <w:tcW w:w="512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Total charge-offs</w:t>
            </w:r>
          </w:p>
        </w:tc>
        <w:tc>
          <w:tcPr>
            <w:tcW w:w="70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(672)</w:t>
            </w:r>
          </w:p>
        </w:tc>
        <w:tc>
          <w:tcPr>
            <w:tcW w:w="2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1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6"/>
                <w:szCs w:val="16"/>
                <w:color w:val="auto"/>
              </w:rPr>
              <w:t>(1,166)</w:t>
            </w:r>
          </w:p>
        </w:tc>
      </w:tr>
      <w:tr>
        <w:trPr>
          <w:trHeight w:val="192"/>
        </w:trPr>
        <w:tc>
          <w:tcPr>
            <w:tcW w:w="5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r>
      <w:tr>
        <w:trPr>
          <w:trHeight w:val="210"/>
        </w:trPr>
        <w:tc>
          <w:tcPr>
            <w:tcW w:w="5120" w:type="dxa"/>
            <w:vAlign w:val="bottom"/>
          </w:tcPr>
          <w:p>
            <w:pPr>
              <w:ind w:left="340"/>
              <w:spacing w:after="0"/>
              <w:rPr>
                <w:sz w:val="20"/>
                <w:szCs w:val="20"/>
                <w:color w:val="auto"/>
              </w:rPr>
            </w:pPr>
            <w:r>
              <w:rPr>
                <w:rFonts w:ascii="Arial" w:cs="Arial" w:eastAsia="Arial" w:hAnsi="Arial"/>
                <w:sz w:val="16"/>
                <w:szCs w:val="16"/>
                <w:color w:val="auto"/>
              </w:rPr>
              <w:t>Recoveries:</w:t>
            </w:r>
          </w:p>
        </w:tc>
        <w:tc>
          <w:tcPr>
            <w:tcW w:w="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4"/>
        </w:trPr>
        <w:tc>
          <w:tcPr>
            <w:tcW w:w="5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Real estate:</w:t>
            </w:r>
          </w:p>
        </w:tc>
        <w:tc>
          <w:tcPr>
            <w:tcW w:w="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2"/>
        </w:trPr>
        <w:tc>
          <w:tcPr>
            <w:tcW w:w="5120" w:type="dxa"/>
            <w:vAlign w:val="bottom"/>
          </w:tcPr>
          <w:p>
            <w:pPr>
              <w:ind w:left="600"/>
              <w:spacing w:after="0"/>
              <w:rPr>
                <w:sz w:val="20"/>
                <w:szCs w:val="20"/>
                <w:color w:val="auto"/>
              </w:rPr>
            </w:pPr>
            <w:r>
              <w:rPr>
                <w:rFonts w:ascii="Arial" w:cs="Arial" w:eastAsia="Arial" w:hAnsi="Arial"/>
                <w:sz w:val="16"/>
                <w:szCs w:val="16"/>
                <w:color w:val="auto"/>
              </w:rPr>
              <w:t>Construction</w:t>
            </w:r>
          </w:p>
        </w:tc>
        <w:tc>
          <w:tcPr>
            <w:tcW w:w="700" w:type="dxa"/>
            <w:vAlign w:val="bottom"/>
          </w:tcPr>
          <w:p>
            <w:pPr>
              <w:spacing w:after="0"/>
              <w:rPr>
                <w:sz w:val="18"/>
                <w:szCs w:val="18"/>
                <w:color w:val="auto"/>
              </w:rPr>
            </w:pPr>
          </w:p>
        </w:tc>
        <w:tc>
          <w:tcPr>
            <w:tcW w:w="1840" w:type="dxa"/>
            <w:vAlign w:val="bottom"/>
          </w:tcPr>
          <w:p>
            <w:pPr>
              <w:jc w:val="right"/>
              <w:ind w:right="441"/>
              <w:spacing w:after="0"/>
              <w:rPr>
                <w:sz w:val="20"/>
                <w:szCs w:val="20"/>
                <w:color w:val="auto"/>
              </w:rPr>
            </w:pPr>
            <w:r>
              <w:rPr>
                <w:rFonts w:ascii="Arial" w:cs="Arial" w:eastAsia="Arial" w:hAnsi="Arial"/>
                <w:sz w:val="16"/>
                <w:szCs w:val="16"/>
                <w:b w:val="1"/>
                <w:bCs w:val="1"/>
                <w:color w:val="auto"/>
              </w:rPr>
              <w:t>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jc w:val="right"/>
              <w:ind w:right="461"/>
              <w:spacing w:after="0"/>
              <w:rPr>
                <w:sz w:val="20"/>
                <w:szCs w:val="20"/>
                <w:color w:val="auto"/>
              </w:rPr>
            </w:pPr>
            <w:r>
              <w:rPr>
                <w:rFonts w:ascii="Arial" w:cs="Arial" w:eastAsia="Arial" w:hAnsi="Arial"/>
                <w:sz w:val="16"/>
                <w:szCs w:val="16"/>
                <w:color w:val="auto"/>
              </w:rPr>
              <w:t>7</w:t>
            </w:r>
          </w:p>
        </w:tc>
      </w:tr>
      <w:tr>
        <w:trPr>
          <w:trHeight w:val="212"/>
        </w:trPr>
        <w:tc>
          <w:tcPr>
            <w:tcW w:w="5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Commercial and Industrial</w:t>
            </w:r>
          </w:p>
        </w:tc>
        <w:tc>
          <w:tcPr>
            <w:tcW w:w="7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441"/>
              <w:spacing w:after="0"/>
              <w:rPr>
                <w:sz w:val="20"/>
                <w:szCs w:val="20"/>
                <w:color w:val="auto"/>
              </w:rPr>
            </w:pPr>
            <w:r>
              <w:rPr>
                <w:rFonts w:ascii="Arial" w:cs="Arial" w:eastAsia="Arial" w:hAnsi="Arial"/>
                <w:sz w:val="16"/>
                <w:szCs w:val="16"/>
                <w:b w:val="1"/>
                <w:bCs w:val="1"/>
                <w:color w:val="auto"/>
              </w:rPr>
              <w:t>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w:t>
            </w:r>
          </w:p>
        </w:tc>
      </w:tr>
      <w:tr>
        <w:trPr>
          <w:trHeight w:val="212"/>
        </w:trPr>
        <w:tc>
          <w:tcPr>
            <w:tcW w:w="51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Credit card</w:t>
            </w:r>
          </w:p>
        </w:tc>
        <w:tc>
          <w:tcPr>
            <w:tcW w:w="7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27</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50</w:t>
            </w:r>
          </w:p>
        </w:tc>
      </w:tr>
      <w:tr>
        <w:trPr>
          <w:trHeight w:val="205"/>
        </w:trPr>
        <w:tc>
          <w:tcPr>
            <w:tcW w:w="51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recoveries</w:t>
            </w:r>
          </w:p>
        </w:tc>
        <w:tc>
          <w:tcPr>
            <w:tcW w:w="70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b w:val="1"/>
                <w:bCs w:val="1"/>
                <w:color w:val="auto"/>
              </w:rPr>
              <w:t>33</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jc w:val="right"/>
              <w:ind w:right="461"/>
              <w:spacing w:after="0"/>
              <w:rPr>
                <w:sz w:val="20"/>
                <w:szCs w:val="20"/>
                <w:color w:val="auto"/>
              </w:rPr>
            </w:pPr>
            <w:r>
              <w:rPr>
                <w:rFonts w:ascii="Arial" w:cs="Arial" w:eastAsia="Arial" w:hAnsi="Arial"/>
                <w:sz w:val="16"/>
                <w:szCs w:val="16"/>
                <w:color w:val="auto"/>
              </w:rPr>
              <w:t>57</w:t>
            </w:r>
          </w:p>
        </w:tc>
      </w:tr>
      <w:tr>
        <w:trPr>
          <w:trHeight w:val="205"/>
        </w:trPr>
        <w:tc>
          <w:tcPr>
            <w:tcW w:w="5120" w:type="dxa"/>
            <w:vAlign w:val="bottom"/>
          </w:tcPr>
          <w:p>
            <w:pPr>
              <w:ind w:left="760"/>
              <w:spacing w:after="0"/>
              <w:rPr>
                <w:sz w:val="20"/>
                <w:szCs w:val="20"/>
                <w:color w:val="auto"/>
              </w:rPr>
            </w:pPr>
            <w:r>
              <w:rPr>
                <w:rFonts w:ascii="Arial" w:cs="Arial" w:eastAsia="Arial" w:hAnsi="Arial"/>
                <w:sz w:val="16"/>
                <w:szCs w:val="16"/>
                <w:color w:val="auto"/>
              </w:rPr>
              <w:t>Net charge-offs</w:t>
            </w:r>
          </w:p>
        </w:tc>
        <w:tc>
          <w:tcPr>
            <w:tcW w:w="700" w:type="dxa"/>
            <w:vAlign w:val="bottom"/>
          </w:tcPr>
          <w:p>
            <w:pPr>
              <w:spacing w:after="0"/>
              <w:rPr>
                <w:sz w:val="17"/>
                <w:szCs w:val="17"/>
                <w:color w:val="auto"/>
              </w:rPr>
            </w:pPr>
          </w:p>
        </w:tc>
        <w:tc>
          <w:tcPr>
            <w:tcW w:w="1840" w:type="dxa"/>
            <w:vAlign w:val="bottom"/>
          </w:tcPr>
          <w:p>
            <w:pPr>
              <w:jc w:val="right"/>
              <w:ind w:right="401"/>
              <w:spacing w:after="0"/>
              <w:rPr>
                <w:sz w:val="20"/>
                <w:szCs w:val="20"/>
                <w:color w:val="auto"/>
              </w:rPr>
            </w:pPr>
            <w:r>
              <w:rPr>
                <w:rFonts w:ascii="Arial" w:cs="Arial" w:eastAsia="Arial" w:hAnsi="Arial"/>
                <w:sz w:val="16"/>
                <w:szCs w:val="16"/>
                <w:b w:val="1"/>
                <w:bCs w:val="1"/>
                <w:color w:val="auto"/>
              </w:rPr>
              <w:t>(639)</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60" w:type="dxa"/>
            <w:vAlign w:val="bottom"/>
          </w:tcPr>
          <w:p>
            <w:pPr>
              <w:jc w:val="right"/>
              <w:ind w:right="401"/>
              <w:spacing w:after="0"/>
              <w:rPr>
                <w:sz w:val="20"/>
                <w:szCs w:val="20"/>
                <w:color w:val="auto"/>
              </w:rPr>
            </w:pPr>
            <w:r>
              <w:rPr>
                <w:rFonts w:ascii="Arial" w:cs="Arial" w:eastAsia="Arial" w:hAnsi="Arial"/>
                <w:sz w:val="16"/>
                <w:szCs w:val="16"/>
                <w:color w:val="auto"/>
              </w:rPr>
              <w:t>(1,109)</w:t>
            </w:r>
          </w:p>
        </w:tc>
      </w:tr>
      <w:tr>
        <w:trPr>
          <w:trHeight w:val="212"/>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Provision for loan losses</w:t>
            </w:r>
          </w:p>
        </w:tc>
        <w:tc>
          <w:tcPr>
            <w:tcW w:w="7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b w:val="1"/>
                <w:bCs w:val="1"/>
                <w:color w:val="auto"/>
              </w:rPr>
              <w:t>1,284</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jc w:val="right"/>
              <w:ind w:right="461"/>
              <w:spacing w:after="0"/>
              <w:rPr>
                <w:sz w:val="20"/>
                <w:szCs w:val="20"/>
                <w:color w:val="auto"/>
              </w:rPr>
            </w:pPr>
            <w:r>
              <w:rPr>
                <w:rFonts w:ascii="Arial" w:cs="Arial" w:eastAsia="Arial" w:hAnsi="Arial"/>
                <w:sz w:val="16"/>
                <w:szCs w:val="16"/>
                <w:color w:val="auto"/>
              </w:rPr>
              <w:t>11,242</w:t>
            </w:r>
          </w:p>
        </w:tc>
      </w:tr>
      <w:tr>
        <w:trPr>
          <w:trHeight w:val="205"/>
        </w:trPr>
        <w:tc>
          <w:tcPr>
            <w:tcW w:w="5120" w:type="dxa"/>
            <w:vAlign w:val="bottom"/>
          </w:tcPr>
          <w:p>
            <w:pPr>
              <w:ind w:left="20"/>
              <w:spacing w:after="0"/>
              <w:rPr>
                <w:sz w:val="20"/>
                <w:szCs w:val="20"/>
                <w:color w:val="auto"/>
              </w:rPr>
            </w:pPr>
            <w:r>
              <w:rPr>
                <w:rFonts w:ascii="Arial" w:cs="Arial" w:eastAsia="Arial" w:hAnsi="Arial"/>
                <w:sz w:val="16"/>
                <w:szCs w:val="16"/>
                <w:color w:val="auto"/>
              </w:rPr>
              <w:t>Allowance for loan losses at period end</w:t>
            </w:r>
          </w:p>
        </w:tc>
        <w:tc>
          <w:tcPr>
            <w:tcW w:w="7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24,079</w:t>
            </w:r>
          </w:p>
        </w:tc>
        <w:tc>
          <w:tcPr>
            <w:tcW w:w="200" w:type="dxa"/>
            <w:vAlign w:val="bottom"/>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23,434</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78"/>
        </w:trPr>
        <w:tc>
          <w:tcPr>
            <w:tcW w:w="5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r>
      <w:tr>
        <w:trPr>
          <w:trHeight w:val="212"/>
        </w:trPr>
        <w:tc>
          <w:tcPr>
            <w:tcW w:w="5120" w:type="dxa"/>
            <w:vAlign w:val="bottom"/>
          </w:tcPr>
          <w:p>
            <w:pPr>
              <w:ind w:left="340"/>
              <w:spacing w:after="0"/>
              <w:rPr>
                <w:sz w:val="20"/>
                <w:szCs w:val="20"/>
                <w:color w:val="auto"/>
              </w:rPr>
            </w:pPr>
            <w:r>
              <w:rPr>
                <w:rFonts w:ascii="Arial" w:cs="Arial" w:eastAsia="Arial" w:hAnsi="Arial"/>
                <w:sz w:val="16"/>
                <w:szCs w:val="16"/>
                <w:color w:val="auto"/>
              </w:rPr>
              <w:t>Portfolio loans outstanding, net of unearned income</w:t>
            </w:r>
          </w:p>
        </w:tc>
        <w:tc>
          <w:tcPr>
            <w:tcW w:w="700" w:type="dxa"/>
            <w:vAlign w:val="bottom"/>
          </w:tcPr>
          <w:p>
            <w:pPr>
              <w:jc w:val="right"/>
              <w:ind w:right="202"/>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right"/>
              <w:ind w:right="441"/>
              <w:spacing w:after="0"/>
              <w:rPr>
                <w:sz w:val="20"/>
                <w:szCs w:val="20"/>
                <w:color w:val="auto"/>
              </w:rPr>
            </w:pPr>
            <w:r>
              <w:rPr>
                <w:rFonts w:ascii="Arial" w:cs="Arial" w:eastAsia="Arial" w:hAnsi="Arial"/>
                <w:sz w:val="16"/>
                <w:szCs w:val="16"/>
                <w:b w:val="1"/>
                <w:bCs w:val="1"/>
                <w:color w:val="auto"/>
              </w:rPr>
              <w:t>1,392,471</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461"/>
              <w:spacing w:after="0"/>
              <w:rPr>
                <w:sz w:val="20"/>
                <w:szCs w:val="20"/>
                <w:color w:val="auto"/>
              </w:rPr>
            </w:pPr>
            <w:r>
              <w:rPr>
                <w:rFonts w:ascii="Arial" w:cs="Arial" w:eastAsia="Arial" w:hAnsi="Arial"/>
                <w:sz w:val="16"/>
                <w:szCs w:val="16"/>
                <w:color w:val="auto"/>
              </w:rPr>
              <w:t>1,315,503</w:t>
            </w:r>
          </w:p>
        </w:tc>
      </w:tr>
      <w:tr>
        <w:trPr>
          <w:trHeight w:val="212"/>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Average portfolio loans outstanding, net of unearned income</w:t>
            </w:r>
          </w:p>
        </w:tc>
        <w:tc>
          <w:tcPr>
            <w:tcW w:w="70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w:t>
            </w:r>
          </w:p>
        </w:tc>
        <w:tc>
          <w:tcPr>
            <w:tcW w:w="1840" w:type="dxa"/>
            <w:vAlign w:val="bottom"/>
            <w:shd w:val="clear" w:color="auto" w:fill="CCEEFF"/>
          </w:tcPr>
          <w:p>
            <w:pPr>
              <w:jc w:val="right"/>
              <w:ind w:right="441"/>
              <w:spacing w:after="0"/>
              <w:rPr>
                <w:sz w:val="20"/>
                <w:szCs w:val="20"/>
                <w:color w:val="auto"/>
              </w:rPr>
            </w:pPr>
            <w:r>
              <w:rPr>
                <w:rFonts w:ascii="Arial" w:cs="Arial" w:eastAsia="Arial" w:hAnsi="Arial"/>
                <w:sz w:val="16"/>
                <w:szCs w:val="16"/>
                <w:b w:val="1"/>
                <w:bCs w:val="1"/>
                <w:color w:val="auto"/>
              </w:rPr>
              <w:t>1,308,026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6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1,215,049</w:t>
            </w:r>
          </w:p>
        </w:tc>
      </w:tr>
    </w:tbl>
    <w:p>
      <w:pPr>
        <w:spacing w:after="0" w:line="212"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5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Allowance for loan losses to period end portfolio loans</w:t>
            </w:r>
          </w:p>
        </w:tc>
        <w:tc>
          <w:tcPr>
            <w:tcW w:w="184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1.73</w:t>
            </w:r>
          </w:p>
        </w:tc>
        <w:tc>
          <w:tcPr>
            <w:tcW w:w="1300" w:type="dxa"/>
            <w:vAlign w:val="bottom"/>
            <w:shd w:val="clear" w:color="auto" w:fill="CCEEFF"/>
          </w:tcPr>
          <w:p>
            <w:pPr>
              <w:jc w:val="right"/>
              <w:ind w:right="901"/>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1.78</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480" w:type="dxa"/>
            <w:vAlign w:val="bottom"/>
          </w:tcPr>
          <w:p>
            <w:pPr>
              <w:ind w:left="20"/>
              <w:spacing w:after="0"/>
              <w:rPr>
                <w:sz w:val="20"/>
                <w:szCs w:val="20"/>
                <w:color w:val="auto"/>
              </w:rPr>
            </w:pPr>
            <w:r>
              <w:rPr>
                <w:rFonts w:ascii="Arial" w:cs="Arial" w:eastAsia="Arial" w:hAnsi="Arial"/>
                <w:sz w:val="16"/>
                <w:szCs w:val="16"/>
                <w:color w:val="auto"/>
              </w:rPr>
              <w:t>Annualized net charge-offs to average portfolio loans</w:t>
            </w:r>
          </w:p>
        </w:tc>
        <w:tc>
          <w:tcPr>
            <w:tcW w:w="1840" w:type="dxa"/>
            <w:vAlign w:val="bottom"/>
          </w:tcPr>
          <w:p>
            <w:pPr>
              <w:jc w:val="right"/>
              <w:ind w:right="101"/>
              <w:spacing w:after="0"/>
              <w:rPr>
                <w:sz w:val="20"/>
                <w:szCs w:val="20"/>
                <w:color w:val="auto"/>
              </w:rPr>
            </w:pPr>
            <w:r>
              <w:rPr>
                <w:rFonts w:ascii="Arial" w:cs="Arial" w:eastAsia="Arial" w:hAnsi="Arial"/>
                <w:sz w:val="16"/>
                <w:szCs w:val="16"/>
                <w:b w:val="1"/>
                <w:bCs w:val="1"/>
                <w:color w:val="auto"/>
              </w:rPr>
              <w:t>0.19</w:t>
            </w:r>
          </w:p>
        </w:tc>
        <w:tc>
          <w:tcPr>
            <w:tcW w:w="1300" w:type="dxa"/>
            <w:vAlign w:val="bottom"/>
          </w:tcPr>
          <w:p>
            <w:pPr>
              <w:jc w:val="right"/>
              <w:ind w:right="901"/>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0.09</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charge-offs to average loans, excluding PPP loans</w:t>
            </w:r>
          </w:p>
        </w:tc>
        <w:tc>
          <w:tcPr>
            <w:tcW w:w="184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0.12</w:t>
            </w:r>
          </w:p>
        </w:tc>
        <w:tc>
          <w:tcPr>
            <w:tcW w:w="1300" w:type="dxa"/>
            <w:vAlign w:val="bottom"/>
            <w:shd w:val="clear" w:color="auto" w:fill="CCEEFF"/>
          </w:tcPr>
          <w:p>
            <w:pPr>
              <w:jc w:val="right"/>
              <w:ind w:right="901"/>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0.09</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0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allowance for loan losses at June 30, 2021 and December 31, 2020 was $24.1 million, or 1.73% of portfolio loans, and $23.4 million, or 1.78% of portfolio loans, respectively. The provision for loan losses of $1.3 million for the six months ended June 30, 2021 was primarily due to a small number of loan charge-offs which was offset by improving overall credit metrics. The allowance for loan losses for SBA-PPP loans was separately evaluated given the explicit government guarantee. This analysis, which incorporated historical experience with similar SBA guarantees and underwriting, concluded that the likelihood of loss was remote and therefore these loans were not assigned a reserve in the allowance for loan losses. The allowance for loan losses at June 30, 2021 included specific reserves of $236 thousand established for impaired loans. Charge-offs for the six months ended June 30, 2021 were $672 thousand and were partially offset by recoveries of $33 thousand. At December 31, 2020 the allowance for loan losses included specific reserves of $253 thousand established for impaired loans. Charge-offs for the year ended December 31, 2020 were $1.2 million, and were partially offset by recoveries of $57 thousand. The charge-offs for the first six months ended June 30, 2021 and for the year ended December 31, 2020 were primarily due to credit card charge-offs.</w:t>
      </w:r>
    </w:p>
    <w:p>
      <w:pPr>
        <w:spacing w:after="0" w:line="21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Although we believe that we have established the allowance for loan losses in accordance with GAAP and that the allowance for loan losses was adequate to provide for known and inherent losses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portfolio at all times shown above, future provisions for loan losses will be subject to ongoing evaluations of the risks in our loan portfolio.</w:t>
      </w:r>
    </w:p>
    <w:p>
      <w:pPr>
        <w:spacing w:after="0" w:line="217"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following table shows the allocation of the allowance for loan losses among loan categories and certain other information as of the dates indicated. The total allowance is available to absorb losses from any loan category.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ind w:left="66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6"/>
                <w:szCs w:val="16"/>
                <w:color w:val="auto"/>
              </w:rPr>
            </w:pPr>
          </w:p>
        </w:tc>
        <w:tc>
          <w:tcPr>
            <w:tcW w:w="2460" w:type="dxa"/>
            <w:vAlign w:val="bottom"/>
            <w:gridSpan w:val="3"/>
          </w:tcPr>
          <w:p>
            <w:pPr>
              <w:jc w:val="right"/>
              <w:ind w:right="622"/>
              <w:spacing w:after="0"/>
              <w:rPr>
                <w:sz w:val="20"/>
                <w:szCs w:val="20"/>
                <w:color w:val="auto"/>
              </w:rPr>
            </w:pPr>
            <w:r>
              <w:rPr>
                <w:rFonts w:ascii="Arial" w:cs="Arial" w:eastAsia="Arial" w:hAnsi="Arial"/>
                <w:sz w:val="14"/>
                <w:szCs w:val="14"/>
                <w:b w:val="1"/>
                <w:bCs w:val="1"/>
                <w:color w:val="auto"/>
              </w:rPr>
              <w:t>December 31, 2020</w:t>
            </w:r>
          </w:p>
        </w:tc>
      </w:tr>
      <w:tr>
        <w:trPr>
          <w:trHeight w:val="179"/>
        </w:trPr>
        <w:tc>
          <w:tcPr>
            <w:tcW w:w="576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top w:val="single" w:sz="8" w:color="auto"/>
              <w:bottom w:val="single" w:sz="8" w:color="auto"/>
            </w:tcBorders>
          </w:tcPr>
          <w:p>
            <w:pPr>
              <w:jc w:val="right"/>
              <w:ind w:right="242"/>
              <w:spacing w:after="0" w:line="179" w:lineRule="exact"/>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8"/>
                <w:szCs w:val="18"/>
                <w:b w:val="1"/>
                <w:bCs w:val="1"/>
                <w:color w:val="auto"/>
                <w:vertAlign w:val="superscript"/>
              </w:rPr>
              <w:t>(1)</w:t>
            </w:r>
          </w:p>
        </w:tc>
        <w:tc>
          <w:tcPr>
            <w:tcW w:w="12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top w:val="single" w:sz="8" w:color="auto"/>
              <w:bottom w:val="single" w:sz="8" w:color="auto"/>
            </w:tcBorders>
          </w:tcPr>
          <w:p>
            <w:pPr>
              <w:jc w:val="right"/>
              <w:ind w:right="242"/>
              <w:spacing w:after="0" w:line="179" w:lineRule="exact"/>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8"/>
                <w:szCs w:val="18"/>
                <w:b w:val="1"/>
                <w:bCs w:val="1"/>
                <w:color w:val="auto"/>
                <w:vertAlign w:val="superscript"/>
              </w:rPr>
              <w:t>(1)</w:t>
            </w:r>
          </w:p>
        </w:tc>
      </w:tr>
      <w:tr>
        <w:trPr>
          <w:trHeight w:val="118"/>
        </w:trPr>
        <w:tc>
          <w:tcPr>
            <w:tcW w:w="5760" w:type="dxa"/>
            <w:vAlign w:val="bottom"/>
          </w:tcPr>
          <w:p>
            <w:pPr>
              <w:ind w:left="20"/>
              <w:spacing w:after="0" w:line="118" w:lineRule="exact"/>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31"/>
        </w:trPr>
        <w:tc>
          <w:tcPr>
            <w:tcW w:w="576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4"/>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6,709</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7,153</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2"/>
        </w:trPr>
        <w:tc>
          <w:tcPr>
            <w:tcW w:w="576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7,777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6,786</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212"/>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4,542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4,595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2"/>
        </w:trPr>
        <w:tc>
          <w:tcPr>
            <w:tcW w:w="5760" w:type="dxa"/>
            <w:vAlign w:val="bottom"/>
          </w:tcPr>
          <w:p>
            <w:pPr>
              <w:ind w:left="20"/>
              <w:spacing w:after="0"/>
              <w:rPr>
                <w:sz w:val="20"/>
                <w:szCs w:val="20"/>
                <w:color w:val="auto"/>
              </w:rPr>
            </w:pPr>
            <w:r>
              <w:rPr>
                <w:rFonts w:ascii="Arial" w:cs="Arial" w:eastAsia="Arial" w:hAnsi="Arial"/>
                <w:sz w:val="16"/>
                <w:szCs w:val="16"/>
                <w:color w:val="auto"/>
              </w:rPr>
              <w:t>Commercial and Industrial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2,535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2,417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2"/>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2,503</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2,462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12"/>
        </w:trPr>
        <w:tc>
          <w:tcPr>
            <w:tcW w:w="5760" w:type="dxa"/>
            <w:vAlign w:val="bottom"/>
          </w:tcPr>
          <w:p>
            <w:pPr>
              <w:ind w:left="20"/>
              <w:spacing w:after="0"/>
              <w:rPr>
                <w:sz w:val="20"/>
                <w:szCs w:val="20"/>
                <w:color w:val="auto"/>
              </w:rPr>
            </w:pPr>
            <w:r>
              <w:rPr>
                <w:rFonts w:ascii="Arial" w:cs="Arial" w:eastAsia="Arial" w:hAnsi="Arial"/>
                <w:sz w:val="16"/>
                <w:szCs w:val="16"/>
                <w:color w:val="auto"/>
              </w:rPr>
              <w:t>Other consumer</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 %</w:t>
            </w: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0"/>
        </w:trPr>
        <w:tc>
          <w:tcPr>
            <w:tcW w:w="5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allowance for loan losses</w:t>
            </w: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24,079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23,434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620" w:hanging="296"/>
        <w:spacing w:after="0" w:line="193" w:lineRule="auto"/>
        <w:tabs>
          <w:tab w:leader="none" w:pos="620" w:val="left"/>
        </w:tabs>
        <w:numPr>
          <w:ilvl w:val="0"/>
          <w:numId w:val="13"/>
        </w:numPr>
        <w:rPr>
          <w:rFonts w:ascii="Arial" w:cs="Arial" w:eastAsia="Arial" w:hAnsi="Arial"/>
          <w:sz w:val="18"/>
          <w:szCs w:val="18"/>
          <w:color w:val="auto"/>
          <w:vertAlign w:val="superscript"/>
        </w:rPr>
      </w:pPr>
      <w:r>
        <w:rPr>
          <w:rFonts w:ascii="Arial" w:cs="Arial" w:eastAsia="Arial" w:hAnsi="Arial"/>
          <w:sz w:val="11"/>
          <w:szCs w:val="11"/>
          <w:color w:val="auto"/>
        </w:rPr>
        <w:t>Loan category as a percentage of total portfolio loans.</w:t>
      </w:r>
    </w:p>
    <w:p>
      <w:pPr>
        <w:spacing w:after="0" w:line="10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Management continues to monitor the loan portfolio for industry concentrations that may be impacted as the economy works through the impacts of COVID-19. While the Company has negligible exposure to the energy sector, shared national credits or leveraged lending, the Bank does have exposures to affected industries such as, for example, hospitality, food service and retail businesses.</w:t>
      </w:r>
    </w:p>
    <w:p>
      <w:pPr>
        <w:spacing w:after="0" w:line="206"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Management has been working with customers on payment deferrals to assist companies in managing through the pandemic. The following table shows the allocation of deferred loans related to COVID-19:</w:t>
      </w:r>
    </w:p>
    <w:p>
      <w:pPr>
        <w:spacing w:after="0" w:line="21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Loan Modifications</w:t>
      </w:r>
      <w:r>
        <w:rPr>
          <w:rFonts w:ascii="Arial" w:cs="Arial" w:eastAsia="Arial" w:hAnsi="Arial"/>
          <w:sz w:val="18"/>
          <w:szCs w:val="18"/>
          <w:b w:val="1"/>
          <w:bCs w:val="1"/>
          <w:color w:val="auto"/>
        </w:rPr>
        <w:t xml:space="preserve"> </w:t>
      </w:r>
      <w:r>
        <w:rPr>
          <w:rFonts w:ascii="Arial" w:cs="Arial" w:eastAsia="Arial" w:hAnsi="Arial"/>
          <w:sz w:val="22"/>
          <w:szCs w:val="22"/>
          <w:b w:val="1"/>
          <w:bCs w:val="1"/>
          <w:color w:val="auto"/>
          <w:vertAlign w:val="superscript"/>
        </w:rPr>
        <w:t>(1)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5"/>
          </w:tcPr>
          <w:p>
            <w:pPr>
              <w:ind w:left="1000"/>
              <w:spacing w:after="0"/>
              <w:rPr>
                <w:sz w:val="20"/>
                <w:szCs w:val="20"/>
                <w:color w:val="auto"/>
              </w:rPr>
            </w:pPr>
            <w:r>
              <w:rPr>
                <w:rFonts w:ascii="Arial" w:cs="Arial" w:eastAsia="Arial" w:hAnsi="Arial"/>
                <w:sz w:val="14"/>
                <w:szCs w:val="14"/>
                <w:b w:val="1"/>
                <w:bCs w:val="1"/>
                <w:color w:val="auto"/>
              </w:rPr>
              <w:t>June 30, 2021</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4"/>
                <w:szCs w:val="14"/>
                <w:color w:val="auto"/>
              </w:rPr>
            </w:pPr>
          </w:p>
        </w:tc>
        <w:tc>
          <w:tcPr>
            <w:tcW w:w="1900" w:type="dxa"/>
            <w:vAlign w:val="bottom"/>
            <w:gridSpan w:val="4"/>
          </w:tcPr>
          <w:p>
            <w:pPr>
              <w:ind w:left="38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79"/>
        </w:trPr>
        <w:tc>
          <w:tcPr>
            <w:tcW w:w="3920" w:type="dxa"/>
            <w:vAlign w:val="bottom"/>
          </w:tcPr>
          <w:p>
            <w:pPr>
              <w:ind w:left="20"/>
              <w:spacing w:after="0"/>
              <w:rPr>
                <w:sz w:val="20"/>
                <w:szCs w:val="20"/>
                <w:color w:val="auto"/>
              </w:rPr>
            </w:pPr>
            <w:r>
              <w:rPr>
                <w:rFonts w:ascii="Arial" w:cs="Arial" w:eastAsia="Arial" w:hAnsi="Arial"/>
                <w:sz w:val="11"/>
                <w:szCs w:val="11"/>
                <w:color w:val="auto"/>
              </w:rPr>
              <w:t>(dollars in millions)</w:t>
            </w:r>
          </w:p>
        </w:tc>
        <w:tc>
          <w:tcPr>
            <w:tcW w:w="160" w:type="dxa"/>
            <w:vAlign w:val="bottom"/>
            <w:tcBorders>
              <w:top w:val="single" w:sz="8" w:color="auto"/>
              <w:bottom w:val="single" w:sz="8" w:color="auto"/>
            </w:tcBorders>
          </w:tcPr>
          <w:p>
            <w:pPr>
              <w:spacing w:after="0"/>
              <w:rPr>
                <w:sz w:val="15"/>
                <w:szCs w:val="15"/>
                <w:color w:val="auto"/>
              </w:rPr>
            </w:pPr>
          </w:p>
        </w:tc>
        <w:tc>
          <w:tcPr>
            <w:tcW w:w="2140" w:type="dxa"/>
            <w:vAlign w:val="bottom"/>
            <w:tcBorders>
              <w:top w:val="single" w:sz="8" w:color="auto"/>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Deferred Loans</w:t>
            </w:r>
          </w:p>
        </w:tc>
        <w:tc>
          <w:tcPr>
            <w:tcW w:w="9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92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Sector</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9"/>
              </w:rPr>
              <w:t>Total Loans</w:t>
            </w: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w:t>
            </w: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 of Loans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w:t>
            </w: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 of Loans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Balance</w:t>
            </w: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 of Loans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Deferred</w:t>
            </w: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Deferred</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179"/>
        </w:trPr>
        <w:tc>
          <w:tcPr>
            <w:tcW w:w="3920" w:type="dxa"/>
            <w:vAlign w:val="bottom"/>
          </w:tcPr>
          <w:p>
            <w:pPr>
              <w:ind w:left="20"/>
              <w:spacing w:after="0"/>
              <w:rPr>
                <w:sz w:val="20"/>
                <w:szCs w:val="20"/>
                <w:color w:val="auto"/>
              </w:rPr>
            </w:pPr>
            <w:r>
              <w:rPr>
                <w:rFonts w:ascii="Arial" w:cs="Arial" w:eastAsia="Arial" w:hAnsi="Arial"/>
                <w:sz w:val="14"/>
                <w:szCs w:val="14"/>
                <w:color w:val="auto"/>
              </w:rPr>
              <w:t>Accommodation &amp; Food Services</w:t>
            </w: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 and Rental Leasing</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tcPr>
          <w:p>
            <w:pPr>
              <w:ind w:left="20"/>
              <w:spacing w:after="0"/>
              <w:rPr>
                <w:sz w:val="20"/>
                <w:szCs w:val="20"/>
                <w:color w:val="auto"/>
              </w:rPr>
            </w:pPr>
            <w:r>
              <w:rPr>
                <w:rFonts w:ascii="Arial" w:cs="Arial" w:eastAsia="Arial" w:hAnsi="Arial"/>
                <w:sz w:val="14"/>
                <w:szCs w:val="14"/>
                <w:color w:val="auto"/>
              </w:rPr>
              <w:t>Other Services Including Private Households</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Educational Services</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Scientific, and Technical Services</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tcPr>
          <w:p>
            <w:pPr>
              <w:ind w:left="20"/>
              <w:spacing w:after="0"/>
              <w:rPr>
                <w:sz w:val="20"/>
                <w:szCs w:val="20"/>
                <w:color w:val="auto"/>
              </w:rPr>
            </w:pPr>
            <w:r>
              <w:rPr>
                <w:rFonts w:ascii="Arial" w:cs="Arial" w:eastAsia="Arial" w:hAnsi="Arial"/>
                <w:sz w:val="14"/>
                <w:szCs w:val="14"/>
                <w:color w:val="auto"/>
              </w:rPr>
              <w:t>Arts, Entertainment &amp; Recreation</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Retail Trade</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tcPr>
          <w:p>
            <w:pPr>
              <w:ind w:left="20"/>
              <w:spacing w:after="0"/>
              <w:rPr>
                <w:sz w:val="20"/>
                <w:szCs w:val="20"/>
                <w:color w:val="auto"/>
              </w:rPr>
            </w:pPr>
            <w:r>
              <w:rPr>
                <w:rFonts w:ascii="Arial" w:cs="Arial" w:eastAsia="Arial" w:hAnsi="Arial"/>
                <w:sz w:val="14"/>
                <w:szCs w:val="14"/>
                <w:color w:val="auto"/>
              </w:rPr>
              <w:t>Healthcare &amp; Social Assistance</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Wholesale Trade</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tcBorders>
              <w:bottom w:val="single" w:sz="8" w:color="CCEEFF"/>
            </w:tcBorders>
          </w:tcPr>
          <w:p>
            <w:pPr>
              <w:ind w:left="20"/>
              <w:spacing w:after="0" w:line="186" w:lineRule="exact"/>
              <w:rPr>
                <w:sz w:val="20"/>
                <w:szCs w:val="20"/>
                <w:color w:val="auto"/>
              </w:rPr>
            </w:pPr>
            <w:r>
              <w:rPr>
                <w:rFonts w:ascii="Arial" w:cs="Arial" w:eastAsia="Arial" w:hAnsi="Arial"/>
                <w:sz w:val="14"/>
                <w:szCs w:val="14"/>
                <w:color w:val="auto"/>
              </w:rPr>
              <w:t xml:space="preserve">All other </w:t>
            </w:r>
            <w:r>
              <w:rPr>
                <w:rFonts w:ascii="Arial" w:cs="Arial" w:eastAsia="Arial" w:hAnsi="Arial"/>
                <w:sz w:val="18"/>
                <w:szCs w:val="18"/>
                <w:color w:val="auto"/>
                <w:vertAlign w:val="superscript"/>
              </w:rPr>
              <w:t>(1)</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1,595.2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40" w:hanging="634"/>
        <w:spacing w:after="0" w:line="231" w:lineRule="auto"/>
        <w:tabs>
          <w:tab w:leader="none" w:pos="640" w:val="left"/>
        </w:tabs>
        <w:numPr>
          <w:ilvl w:val="0"/>
          <w:numId w:val="14"/>
        </w:numPr>
        <w:rPr>
          <w:rFonts w:ascii="Arial" w:cs="Arial" w:eastAsia="Arial" w:hAnsi="Arial"/>
          <w:sz w:val="16"/>
          <w:szCs w:val="16"/>
          <w:color w:val="auto"/>
          <w:vertAlign w:val="superscript"/>
        </w:rPr>
      </w:pPr>
      <w:r>
        <w:rPr>
          <w:rFonts w:ascii="Arial" w:cs="Arial" w:eastAsia="Arial" w:hAnsi="Arial"/>
          <w:sz w:val="11"/>
          <w:szCs w:val="11"/>
          <w:color w:val="auto"/>
        </w:rPr>
        <w:t>Loans outstanding include PPP loans; modifications and deferrals made for OpenSky</w:t>
      </w:r>
      <w:r>
        <w:rPr>
          <w:rFonts w:ascii="Arial" w:cs="Arial" w:eastAsia="Arial" w:hAnsi="Arial"/>
          <w:sz w:val="6"/>
          <w:szCs w:val="6"/>
          <w:color w:val="auto"/>
        </w:rPr>
        <w:t>®</w:t>
      </w:r>
      <w:r>
        <w:rPr>
          <w:rFonts w:ascii="Arial" w:cs="Arial" w:eastAsia="Arial" w:hAnsi="Arial"/>
          <w:sz w:val="11"/>
          <w:szCs w:val="11"/>
          <w:color w:val="auto"/>
        </w:rPr>
        <w:t xml:space="preserve"> secured card customers are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83"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Outstanding deferred loans decreased $132.1 million, or 91.7%, from June 30, 2020 to June 30, 2021. Loans that have been removed from deferred status have returned to original payment terms.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35" w:lineRule="exact"/>
        <w:rPr>
          <w:sz w:val="20"/>
          <w:szCs w:val="20"/>
          <w:color w:val="auto"/>
        </w:rPr>
      </w:pPr>
    </w:p>
    <w:p>
      <w:pPr>
        <w:jc w:val="both"/>
        <w:ind w:right="140" w:firstLine="318"/>
        <w:spacing w:after="0" w:line="239" w:lineRule="auto"/>
        <w:rPr>
          <w:sz w:val="20"/>
          <w:szCs w:val="20"/>
          <w:color w:val="auto"/>
        </w:rPr>
      </w:pPr>
      <w:r>
        <w:rPr>
          <w:rFonts w:ascii="Arial" w:cs="Arial" w:eastAsia="Arial" w:hAnsi="Arial"/>
          <w:sz w:val="18"/>
          <w:szCs w:val="18"/>
          <w:color w:val="auto"/>
        </w:rPr>
        <w:t>Deposits are the major source of funding for the Company. We offer a variety of deposit products including interest bearing demand, savings, money market and time accounts, all of which we actively market at competitive pricing. We generate deposits from our customers on a relationship basis and through the efforts of our commercial lending officers and our business banking officers. Our credit card customers are a significant source of noninterest bearing deposits and accounted for $241.7 million, or 29.2%, of our total noninterest bearing deposit balances as of June 30, 2021, an increase of $49.2 million from December 31, 2020. At June 30, 2021, noninterest bearing deposits amounted to $828.3 million, an increase of $219.7 million, or 36.1%, compared to the level at December 31, 2020 due in large part to an increase of $43.4 million in fiduciary accounts and the above noted increase in deposits generated by our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secured credit card program. If needed, we supplement our deposits with wholesale funding sources such as brokered deposits.</w:t>
      </w:r>
    </w:p>
    <w:p>
      <w:pPr>
        <w:spacing w:after="0" w:line="213"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Interest bearing deposits increased $45.5 million, or 4.4%, from December 31, 2020 to June 30, 2021 and included increases in interest bearing demand and money market accounts, offset by a reduction in certificates of deposits. The Company continues to execute on its strategic initiative to improve the deposit portfolio mix from wholesale deposits to core deposits including noninterest bearing deposits. During the period, certificates of deposit decreased $51.9 million, or 15.5%, with brokered deposits representing a majority of that decrease. Interest bearing demand and money market accounts increased $57.8 million, or 22.5%, and $37.5 million, or 8.4%, from December 31, 2020 to June 30, 2021, respectively.</w:t>
      </w:r>
    </w:p>
    <w:p>
      <w:pPr>
        <w:spacing w:after="0" w:line="211"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average rate paid on interest bearing deposits decreased 50 basis points from 1.18% for the year ended December 31, 2020 to 0.68% for the six months ended June 30, 2021. Rates paid on certificates of deposit decreased 40 basis points over the same period. The decrease in the average rates reflects decreases in market interest rates.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average balances and average rates paid on deposits for the periods indicated:</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COMPOSITION OF AVERAGE DEPOSITS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For the Six Months Ended June 30, 2021</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For the Year Ended December 31, 2020</w:t>
            </w:r>
          </w:p>
        </w:tc>
      </w:tr>
      <w:tr>
        <w:trPr>
          <w:trHeight w:val="139"/>
        </w:trPr>
        <w:tc>
          <w:tcPr>
            <w:tcW w:w="4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Pr>
          <w:p>
            <w:pPr>
              <w:jc w:val="right"/>
              <w:ind w:right="343"/>
              <w:spacing w:after="0" w:line="139" w:lineRule="exact"/>
              <w:rPr>
                <w:sz w:val="20"/>
                <w:szCs w:val="20"/>
                <w:color w:val="auto"/>
              </w:rPr>
            </w:pPr>
            <w:r>
              <w:rPr>
                <w:rFonts w:ascii="Arial" w:cs="Arial" w:eastAsia="Arial" w:hAnsi="Arial"/>
                <w:sz w:val="14"/>
                <w:szCs w:val="14"/>
                <w:b w:val="1"/>
                <w:bCs w:val="1"/>
                <w:color w:val="auto"/>
              </w:rPr>
              <w:t>Average</w:t>
            </w:r>
          </w:p>
        </w:tc>
        <w:tc>
          <w:tcPr>
            <w:tcW w:w="1580" w:type="dxa"/>
            <w:vAlign w:val="bottom"/>
          </w:tcPr>
          <w:p>
            <w:pPr>
              <w:jc w:val="center"/>
              <w:ind w:left="503"/>
              <w:spacing w:after="0" w:line="139"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jc w:val="right"/>
              <w:ind w:right="343"/>
              <w:spacing w:after="0" w:line="139" w:lineRule="exact"/>
              <w:rPr>
                <w:sz w:val="20"/>
                <w:szCs w:val="20"/>
                <w:color w:val="auto"/>
              </w:rPr>
            </w:pPr>
            <w:r>
              <w:rPr>
                <w:rFonts w:ascii="Arial" w:cs="Arial" w:eastAsia="Arial" w:hAnsi="Arial"/>
                <w:sz w:val="14"/>
                <w:szCs w:val="14"/>
                <w:color w:val="auto"/>
              </w:rPr>
              <w:t>Average</w:t>
            </w:r>
          </w:p>
        </w:tc>
        <w:tc>
          <w:tcPr>
            <w:tcW w:w="1540" w:type="dxa"/>
            <w:vAlign w:val="bottom"/>
          </w:tcPr>
          <w:p>
            <w:pPr>
              <w:jc w:val="center"/>
              <w:ind w:left="543"/>
              <w:spacing w:after="0" w:line="139" w:lineRule="exact"/>
              <w:rPr>
                <w:sz w:val="20"/>
                <w:szCs w:val="20"/>
                <w:color w:val="auto"/>
              </w:rPr>
            </w:pPr>
            <w:r>
              <w:rPr>
                <w:rFonts w:ascii="Arial" w:cs="Arial" w:eastAsia="Arial" w:hAnsi="Arial"/>
                <w:sz w:val="14"/>
                <w:szCs w:val="14"/>
                <w:color w:val="auto"/>
                <w:w w:val="99"/>
              </w:rPr>
              <w:t>Average</w:t>
            </w:r>
          </w:p>
        </w:tc>
      </w:tr>
      <w:tr>
        <w:trPr>
          <w:trHeight w:val="172"/>
        </w:trPr>
        <w:tc>
          <w:tcPr>
            <w:tcW w:w="4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Balance</w:t>
            </w:r>
          </w:p>
        </w:tc>
        <w:tc>
          <w:tcPr>
            <w:tcW w:w="158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Rate</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Balance</w:t>
            </w:r>
          </w:p>
        </w:tc>
        <w:tc>
          <w:tcPr>
            <w:tcW w:w="154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Rate</w:t>
            </w:r>
          </w:p>
        </w:tc>
      </w:tr>
      <w:tr>
        <w:trPr>
          <w:trHeight w:val="118"/>
        </w:trPr>
        <w:tc>
          <w:tcPr>
            <w:tcW w:w="428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4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21"/>
        </w:trPr>
        <w:tc>
          <w:tcPr>
            <w:tcW w:w="4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2"/>
        </w:trPr>
        <w:tc>
          <w:tcPr>
            <w:tcW w:w="4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bearing demand accounts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269,647</w:t>
            </w:r>
          </w:p>
        </w:tc>
        <w:tc>
          <w:tcPr>
            <w:tcW w:w="1580" w:type="dxa"/>
            <w:vAlign w:val="bottom"/>
            <w:shd w:val="clear" w:color="auto" w:fill="CCEEFF"/>
          </w:tcPr>
          <w:p>
            <w:pPr>
              <w:jc w:val="center"/>
              <w:ind w:left="523"/>
              <w:spacing w:after="0"/>
              <w:rPr>
                <w:sz w:val="20"/>
                <w:szCs w:val="20"/>
                <w:color w:val="auto"/>
              </w:rPr>
            </w:pPr>
            <w:r>
              <w:rPr>
                <w:rFonts w:ascii="Arial" w:cs="Arial" w:eastAsia="Arial" w:hAnsi="Arial"/>
                <w:sz w:val="16"/>
                <w:szCs w:val="16"/>
                <w:b w:val="1"/>
                <w:bCs w:val="1"/>
                <w:color w:val="auto"/>
                <w:w w:val="96"/>
              </w:rPr>
              <w:t>0.09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195,794</w:t>
            </w:r>
          </w:p>
        </w:tc>
        <w:tc>
          <w:tcPr>
            <w:tcW w:w="1540" w:type="dxa"/>
            <w:vAlign w:val="bottom"/>
            <w:shd w:val="clear" w:color="auto" w:fill="CCEEFF"/>
          </w:tcPr>
          <w:p>
            <w:pPr>
              <w:jc w:val="center"/>
              <w:ind w:left="543"/>
              <w:spacing w:after="0"/>
              <w:rPr>
                <w:sz w:val="20"/>
                <w:szCs w:val="20"/>
                <w:color w:val="auto"/>
              </w:rPr>
            </w:pPr>
            <w:r>
              <w:rPr>
                <w:rFonts w:ascii="Arial" w:cs="Arial" w:eastAsia="Arial" w:hAnsi="Arial"/>
                <w:sz w:val="16"/>
                <w:szCs w:val="16"/>
                <w:color w:val="auto"/>
              </w:rPr>
              <w:t>0.34</w:t>
            </w:r>
          </w:p>
        </w:tc>
      </w:tr>
      <w:tr>
        <w:trPr>
          <w:trHeight w:val="212"/>
        </w:trPr>
        <w:tc>
          <w:tcPr>
            <w:tcW w:w="4280" w:type="dxa"/>
            <w:vAlign w:val="bottom"/>
          </w:tcPr>
          <w:p>
            <w:pPr>
              <w:ind w:left="20"/>
              <w:spacing w:after="0"/>
              <w:rPr>
                <w:sz w:val="20"/>
                <w:szCs w:val="20"/>
                <w:color w:val="auto"/>
              </w:rPr>
            </w:pPr>
            <w:r>
              <w:rPr>
                <w:rFonts w:ascii="Arial" w:cs="Arial" w:eastAsia="Arial" w:hAnsi="Arial"/>
                <w:sz w:val="16"/>
                <w:szCs w:val="16"/>
                <w:color w:val="auto"/>
              </w:rPr>
              <w:t>Money market accounts</w:t>
            </w:r>
          </w:p>
        </w:tc>
        <w:tc>
          <w:tcPr>
            <w:tcW w:w="48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b w:val="1"/>
                <w:bCs w:val="1"/>
                <w:color w:val="auto"/>
              </w:rPr>
              <w:t>465,882</w:t>
            </w:r>
          </w:p>
        </w:tc>
        <w:tc>
          <w:tcPr>
            <w:tcW w:w="1580" w:type="dxa"/>
            <w:vAlign w:val="bottom"/>
          </w:tcPr>
          <w:p>
            <w:pPr>
              <w:jc w:val="center"/>
              <w:ind w:left="523"/>
              <w:spacing w:after="0"/>
              <w:rPr>
                <w:sz w:val="20"/>
                <w:szCs w:val="20"/>
                <w:color w:val="auto"/>
              </w:rPr>
            </w:pPr>
            <w:r>
              <w:rPr>
                <w:rFonts w:ascii="Arial" w:cs="Arial" w:eastAsia="Arial" w:hAnsi="Arial"/>
                <w:sz w:val="16"/>
                <w:szCs w:val="16"/>
                <w:b w:val="1"/>
                <w:bCs w:val="1"/>
                <w:color w:val="auto"/>
                <w:w w:val="96"/>
              </w:rPr>
              <w:t>0.38</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480,218</w:t>
            </w:r>
          </w:p>
        </w:tc>
        <w:tc>
          <w:tcPr>
            <w:tcW w:w="1540" w:type="dxa"/>
            <w:vAlign w:val="bottom"/>
          </w:tcPr>
          <w:p>
            <w:pPr>
              <w:jc w:val="center"/>
              <w:ind w:left="543"/>
              <w:spacing w:after="0"/>
              <w:rPr>
                <w:sz w:val="20"/>
                <w:szCs w:val="20"/>
                <w:color w:val="auto"/>
              </w:rPr>
            </w:pPr>
            <w:r>
              <w:rPr>
                <w:rFonts w:ascii="Arial" w:cs="Arial" w:eastAsia="Arial" w:hAnsi="Arial"/>
                <w:sz w:val="16"/>
                <w:szCs w:val="16"/>
                <w:color w:val="auto"/>
              </w:rPr>
              <w:t>1.00</w:t>
            </w:r>
          </w:p>
        </w:tc>
      </w:tr>
      <w:tr>
        <w:trPr>
          <w:trHeight w:val="212"/>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Savings accounts</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6,127</w:t>
            </w:r>
          </w:p>
        </w:tc>
        <w:tc>
          <w:tcPr>
            <w:tcW w:w="1580" w:type="dxa"/>
            <w:vAlign w:val="bottom"/>
            <w:shd w:val="clear" w:color="auto" w:fill="CCEEFF"/>
          </w:tcPr>
          <w:p>
            <w:pPr>
              <w:jc w:val="center"/>
              <w:ind w:left="523"/>
              <w:spacing w:after="0"/>
              <w:rPr>
                <w:sz w:val="20"/>
                <w:szCs w:val="20"/>
                <w:color w:val="auto"/>
              </w:rPr>
            </w:pPr>
            <w:r>
              <w:rPr>
                <w:rFonts w:ascii="Arial" w:cs="Arial" w:eastAsia="Arial" w:hAnsi="Arial"/>
                <w:sz w:val="16"/>
                <w:szCs w:val="16"/>
                <w:b w:val="1"/>
                <w:bCs w:val="1"/>
                <w:color w:val="auto"/>
                <w:w w:val="96"/>
              </w:rPr>
              <w:t>0.05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4,722</w:t>
            </w:r>
          </w:p>
        </w:tc>
        <w:tc>
          <w:tcPr>
            <w:tcW w:w="1540" w:type="dxa"/>
            <w:vAlign w:val="bottom"/>
            <w:shd w:val="clear" w:color="auto" w:fill="CCEEFF"/>
          </w:tcPr>
          <w:p>
            <w:pPr>
              <w:jc w:val="center"/>
              <w:ind w:left="543"/>
              <w:spacing w:after="0"/>
              <w:rPr>
                <w:sz w:val="20"/>
                <w:szCs w:val="20"/>
                <w:color w:val="auto"/>
              </w:rPr>
            </w:pPr>
            <w:r>
              <w:rPr>
                <w:rFonts w:ascii="Arial" w:cs="Arial" w:eastAsia="Arial" w:hAnsi="Arial"/>
                <w:sz w:val="16"/>
                <w:szCs w:val="16"/>
                <w:color w:val="auto"/>
              </w:rPr>
              <w:t>0.11</w:t>
            </w:r>
          </w:p>
        </w:tc>
      </w:tr>
      <w:tr>
        <w:trPr>
          <w:trHeight w:val="212"/>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Certificates of deposit</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318,512</w:t>
            </w:r>
          </w:p>
        </w:tc>
        <w:tc>
          <w:tcPr>
            <w:tcW w:w="1580" w:type="dxa"/>
            <w:vAlign w:val="bottom"/>
            <w:tcBorders>
              <w:bottom w:val="single" w:sz="8" w:color="CCEEFF"/>
            </w:tcBorders>
          </w:tcPr>
          <w:p>
            <w:pPr>
              <w:jc w:val="center"/>
              <w:ind w:left="523"/>
              <w:spacing w:after="0"/>
              <w:rPr>
                <w:sz w:val="20"/>
                <w:szCs w:val="20"/>
                <w:color w:val="auto"/>
              </w:rPr>
            </w:pPr>
            <w:r>
              <w:rPr>
                <w:rFonts w:ascii="Arial" w:cs="Arial" w:eastAsia="Arial" w:hAnsi="Arial"/>
                <w:sz w:val="16"/>
                <w:szCs w:val="16"/>
                <w:b w:val="1"/>
                <w:bCs w:val="1"/>
                <w:color w:val="auto"/>
                <w:w w:val="96"/>
              </w:rPr>
              <w:t>1.64</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98"/>
              </w:rPr>
              <w:t>%</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297,997</w:t>
            </w:r>
          </w:p>
        </w:tc>
        <w:tc>
          <w:tcPr>
            <w:tcW w:w="1540" w:type="dxa"/>
            <w:vAlign w:val="bottom"/>
            <w:tcBorders>
              <w:bottom w:val="single" w:sz="8" w:color="CCEEFF"/>
            </w:tcBorders>
          </w:tcPr>
          <w:p>
            <w:pPr>
              <w:jc w:val="center"/>
              <w:ind w:left="543"/>
              <w:spacing w:after="0"/>
              <w:rPr>
                <w:sz w:val="20"/>
                <w:szCs w:val="20"/>
                <w:color w:val="auto"/>
              </w:rPr>
            </w:pPr>
            <w:r>
              <w:rPr>
                <w:rFonts w:ascii="Arial" w:cs="Arial" w:eastAsia="Arial" w:hAnsi="Arial"/>
                <w:sz w:val="16"/>
                <w:szCs w:val="16"/>
                <w:color w:val="auto"/>
              </w:rPr>
              <w:t>2.04</w:t>
            </w:r>
          </w:p>
        </w:tc>
      </w:tr>
      <w:tr>
        <w:trPr>
          <w:trHeight w:val="205"/>
        </w:trPr>
        <w:tc>
          <w:tcPr>
            <w:tcW w:w="4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interest bearing deposits</w:t>
            </w:r>
          </w:p>
        </w:tc>
        <w:tc>
          <w:tcPr>
            <w:tcW w:w="4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1,060,168</w:t>
            </w:r>
          </w:p>
        </w:tc>
        <w:tc>
          <w:tcPr>
            <w:tcW w:w="1580" w:type="dxa"/>
            <w:vAlign w:val="bottom"/>
            <w:shd w:val="clear" w:color="auto" w:fill="CCEEFF"/>
          </w:tcPr>
          <w:p>
            <w:pPr>
              <w:jc w:val="center"/>
              <w:ind w:left="523"/>
              <w:spacing w:after="0"/>
              <w:rPr>
                <w:sz w:val="20"/>
                <w:szCs w:val="20"/>
                <w:color w:val="auto"/>
              </w:rPr>
            </w:pPr>
            <w:r>
              <w:rPr>
                <w:rFonts w:ascii="Arial" w:cs="Arial" w:eastAsia="Arial" w:hAnsi="Arial"/>
                <w:sz w:val="16"/>
                <w:szCs w:val="16"/>
                <w:b w:val="1"/>
                <w:bCs w:val="1"/>
                <w:color w:val="auto"/>
                <w:w w:val="96"/>
              </w:rPr>
              <w:t>0.68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978,731</w:t>
            </w:r>
          </w:p>
        </w:tc>
        <w:tc>
          <w:tcPr>
            <w:tcW w:w="1540" w:type="dxa"/>
            <w:vAlign w:val="bottom"/>
            <w:shd w:val="clear" w:color="auto" w:fill="CCEEFF"/>
          </w:tcPr>
          <w:p>
            <w:pPr>
              <w:jc w:val="center"/>
              <w:ind w:left="543"/>
              <w:spacing w:after="0"/>
              <w:rPr>
                <w:sz w:val="20"/>
                <w:szCs w:val="20"/>
                <w:color w:val="auto"/>
              </w:rPr>
            </w:pPr>
            <w:r>
              <w:rPr>
                <w:rFonts w:ascii="Arial" w:cs="Arial" w:eastAsia="Arial" w:hAnsi="Arial"/>
                <w:sz w:val="16"/>
                <w:szCs w:val="16"/>
                <w:color w:val="auto"/>
              </w:rPr>
              <w:t>1.18</w:t>
            </w:r>
          </w:p>
        </w:tc>
      </w:tr>
      <w:tr>
        <w:trPr>
          <w:trHeight w:val="205"/>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 bearing demand accounts</w:t>
            </w: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709,443</w:t>
            </w:r>
          </w:p>
        </w:tc>
        <w:tc>
          <w:tcPr>
            <w:tcW w:w="15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473,301</w:t>
            </w:r>
          </w:p>
        </w:tc>
        <w:tc>
          <w:tcPr>
            <w:tcW w:w="1540" w:type="dxa"/>
            <w:vAlign w:val="bottom"/>
            <w:tcBorders>
              <w:bottom w:val="single" w:sz="8" w:color="CCEEFF"/>
            </w:tcBorders>
          </w:tcPr>
          <w:p>
            <w:pPr>
              <w:spacing w:after="0"/>
              <w:rPr>
                <w:sz w:val="17"/>
                <w:szCs w:val="17"/>
                <w:color w:val="auto"/>
              </w:rPr>
            </w:pPr>
          </w:p>
        </w:tc>
      </w:tr>
      <w:tr>
        <w:trPr>
          <w:trHeight w:val="230"/>
        </w:trPr>
        <w:tc>
          <w:tcPr>
            <w:tcW w:w="4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deposits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1,769,611</w:t>
            </w:r>
          </w:p>
        </w:tc>
        <w:tc>
          <w:tcPr>
            <w:tcW w:w="1580" w:type="dxa"/>
            <w:vAlign w:val="bottom"/>
            <w:tcBorders>
              <w:bottom w:val="single" w:sz="8" w:color="CCEEFF"/>
            </w:tcBorders>
            <w:shd w:val="clear" w:color="auto" w:fill="CCEEFF"/>
          </w:tcPr>
          <w:p>
            <w:pPr>
              <w:jc w:val="center"/>
              <w:ind w:left="523"/>
              <w:spacing w:after="0"/>
              <w:rPr>
                <w:sz w:val="20"/>
                <w:szCs w:val="20"/>
                <w:color w:val="auto"/>
              </w:rPr>
            </w:pPr>
            <w:r>
              <w:rPr>
                <w:rFonts w:ascii="Arial" w:cs="Arial" w:eastAsia="Arial" w:hAnsi="Arial"/>
                <w:sz w:val="16"/>
                <w:szCs w:val="16"/>
                <w:b w:val="1"/>
                <w:bCs w:val="1"/>
                <w:color w:val="auto"/>
                <w:w w:val="96"/>
              </w:rPr>
              <w:t>0.41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1,452,032</w:t>
            </w:r>
          </w:p>
        </w:tc>
        <w:tc>
          <w:tcPr>
            <w:tcW w:w="1540" w:type="dxa"/>
            <w:vAlign w:val="bottom"/>
            <w:tcBorders>
              <w:bottom w:val="single" w:sz="8" w:color="CCEEFF"/>
            </w:tcBorders>
            <w:shd w:val="clear" w:color="auto" w:fill="CCEEFF"/>
          </w:tcPr>
          <w:p>
            <w:pPr>
              <w:jc w:val="center"/>
              <w:ind w:left="543"/>
              <w:spacing w:after="0"/>
              <w:rPr>
                <w:sz w:val="20"/>
                <w:szCs w:val="20"/>
                <w:color w:val="auto"/>
              </w:rPr>
            </w:pPr>
            <w:r>
              <w:rPr>
                <w:rFonts w:ascii="Arial" w:cs="Arial" w:eastAsia="Arial" w:hAnsi="Arial"/>
                <w:sz w:val="16"/>
                <w:szCs w:val="16"/>
                <w:color w:val="auto"/>
              </w:rPr>
              <w:t>0.79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maturities of our certificates of deposit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8" w:name="page59"/>
    <w:bookmarkEnd w:id="58"/>
    <w:p>
      <w:pPr>
        <w:spacing w:after="0" w:line="16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MATURITIES OF CERTIFICATES OF DEPOSIT</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Over</w:t>
            </w:r>
          </w:p>
        </w:tc>
        <w:tc>
          <w:tcPr>
            <w:tcW w:w="46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Over Six</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Three</w:t>
            </w:r>
          </w:p>
        </w:tc>
        <w:tc>
          <w:tcPr>
            <w:tcW w:w="460" w:type="dxa"/>
            <w:vAlign w:val="bottom"/>
          </w:tcPr>
          <w:p>
            <w:pPr>
              <w:spacing w:after="0"/>
              <w:rPr>
                <w:sz w:val="11"/>
                <w:szCs w:val="11"/>
                <w:color w:val="auto"/>
              </w:rPr>
            </w:pPr>
          </w:p>
        </w:tc>
        <w:tc>
          <w:tcPr>
            <w:tcW w:w="11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9"/>
              </w:rPr>
              <w:t>Three</w:t>
            </w:r>
          </w:p>
        </w:tc>
        <w:tc>
          <w:tcPr>
            <w:tcW w:w="4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Over</w:t>
            </w: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rPr>
              <w:t>Through</w:t>
            </w:r>
          </w:p>
        </w:tc>
        <w:tc>
          <w:tcPr>
            <w:tcW w:w="460" w:type="dxa"/>
            <w:vAlign w:val="bottom"/>
          </w:tcPr>
          <w:p>
            <w:pPr>
              <w:spacing w:after="0"/>
              <w:rPr>
                <w:sz w:val="11"/>
                <w:szCs w:val="11"/>
                <w:color w:val="auto"/>
              </w:rPr>
            </w:pPr>
          </w:p>
        </w:tc>
        <w:tc>
          <w:tcPr>
            <w:tcW w:w="11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rPr>
              <w:t>Through</w:t>
            </w:r>
          </w:p>
        </w:tc>
        <w:tc>
          <w:tcPr>
            <w:tcW w:w="4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640" w:type="dxa"/>
            <w:vAlign w:val="bottom"/>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rPr>
              <w:t>Months or</w:t>
            </w:r>
          </w:p>
        </w:tc>
        <w:tc>
          <w:tcPr>
            <w:tcW w:w="460" w:type="dxa"/>
            <w:vAlign w:val="bottom"/>
          </w:tcPr>
          <w:p>
            <w:pPr>
              <w:spacing w:after="0"/>
              <w:rPr>
                <w:sz w:val="11"/>
                <w:szCs w:val="11"/>
                <w:color w:val="auto"/>
              </w:rPr>
            </w:pPr>
          </w:p>
        </w:tc>
        <w:tc>
          <w:tcPr>
            <w:tcW w:w="11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rPr>
              <w:t>Six</w:t>
            </w:r>
          </w:p>
        </w:tc>
        <w:tc>
          <w:tcPr>
            <w:tcW w:w="460" w:type="dxa"/>
            <w:vAlign w:val="bottom"/>
          </w:tcPr>
          <w:p>
            <w:pPr>
              <w:spacing w:after="0"/>
              <w:rPr>
                <w:sz w:val="11"/>
                <w:szCs w:val="11"/>
                <w:color w:val="auto"/>
              </w:rPr>
            </w:pPr>
          </w:p>
        </w:tc>
        <w:tc>
          <w:tcPr>
            <w:tcW w:w="11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8"/>
              </w:rPr>
              <w:t>Twelve</w:t>
            </w:r>
          </w:p>
        </w:tc>
        <w:tc>
          <w:tcPr>
            <w:tcW w:w="4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Twelve</w:t>
            </w:r>
          </w:p>
        </w:tc>
        <w:tc>
          <w:tcPr>
            <w:tcW w:w="600" w:type="dxa"/>
            <w:vAlign w:val="bottom"/>
          </w:tcPr>
          <w:p>
            <w:pPr>
              <w:spacing w:after="0"/>
              <w:rPr>
                <w:sz w:val="11"/>
                <w:szCs w:val="11"/>
                <w:color w:val="auto"/>
              </w:rPr>
            </w:pPr>
          </w:p>
        </w:tc>
        <w:tc>
          <w:tcPr>
            <w:tcW w:w="80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0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rPr>
              <w:t>Less</w:t>
            </w: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Months</w:t>
            </w: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Months</w:t>
            </w: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Months</w:t>
            </w:r>
          </w:p>
        </w:tc>
        <w:tc>
          <w:tcPr>
            <w:tcW w:w="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04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$100,000 or more</w:t>
            </w:r>
          </w:p>
        </w:tc>
        <w:tc>
          <w:tcPr>
            <w:tcW w:w="5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65,323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48,163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91,861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243,35</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Less than $100,000</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10,050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10,307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5,383</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39,34</w:t>
            </w:r>
          </w:p>
        </w:tc>
        <w:tc>
          <w:tcPr>
            <w:tcW w:w="0" w:type="dxa"/>
            <w:vAlign w:val="bottom"/>
          </w:tcPr>
          <w:p>
            <w:pPr>
              <w:spacing w:after="0"/>
              <w:rPr>
                <w:sz w:val="1"/>
                <w:szCs w:val="1"/>
                <w:color w:val="auto"/>
              </w:rPr>
            </w:pPr>
          </w:p>
        </w:tc>
      </w:tr>
      <w:tr>
        <w:trPr>
          <w:trHeight w:val="233"/>
        </w:trPr>
        <w:tc>
          <w:tcPr>
            <w:tcW w:w="3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75,373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58,470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51,609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97,244</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282,69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35"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We primarily utilize short-term and long-term borrowings to supplement deposits to fund our lending and investment activities, each of which is discussed below.</w:t>
      </w:r>
    </w:p>
    <w:p>
      <w:pPr>
        <w:spacing w:after="0" w:line="185" w:lineRule="exact"/>
        <w:rPr>
          <w:sz w:val="20"/>
          <w:szCs w:val="20"/>
          <w:color w:val="auto"/>
        </w:rPr>
      </w:pPr>
    </w:p>
    <w:p>
      <w:pPr>
        <w:jc w:val="both"/>
        <w:ind w:right="100" w:firstLine="318"/>
        <w:spacing w:after="0" w:line="254" w:lineRule="auto"/>
        <w:rPr>
          <w:sz w:val="20"/>
          <w:szCs w:val="20"/>
          <w:color w:val="auto"/>
        </w:rPr>
      </w:pPr>
      <w:r>
        <w:rPr>
          <w:rFonts w:ascii="Arial" w:cs="Arial" w:eastAsia="Arial" w:hAnsi="Arial"/>
          <w:sz w:val="18"/>
          <w:szCs w:val="18"/>
          <w:i w:val="1"/>
          <w:iCs w:val="1"/>
          <w:color w:val="auto"/>
        </w:rPr>
        <w:t>FHLB Advances</w:t>
      </w:r>
      <w:r>
        <w:rPr>
          <w:rFonts w:ascii="Arial" w:cs="Arial" w:eastAsia="Arial" w:hAnsi="Arial"/>
          <w:sz w:val="18"/>
          <w:szCs w:val="18"/>
          <w:color w:val="auto"/>
        </w:rPr>
        <w:t>. The FHLB allows us to borrow up to 25% of our assets on a blanket floating lien status collateralized by certain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loans. As of June 30, 2021, approximately $192.9 million in real estate loans pledged as collateral to the FHLB support a $514.4 million line of credit. We utilize these borrowings to meet liquidity needs and to fund certain fixed rate loans in our portfolio. As of June 30, 2021, we had $22.0 million in outstanding advances and our available borrowing capacity at the FHLB was $170.9 million.</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certain information on our FHLB borrowings during the periods presented:</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FHLB ADVANCES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32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rPr>
              <w:t>For the Six Months Ended June 30, 2021</w:t>
            </w:r>
          </w:p>
        </w:tc>
        <w:tc>
          <w:tcPr>
            <w:tcW w:w="27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For the Year Ended December 31, 20</w:t>
            </w:r>
          </w:p>
        </w:tc>
      </w:tr>
      <w:tr>
        <w:trPr>
          <w:trHeight w:val="118"/>
        </w:trPr>
        <w:tc>
          <w:tcPr>
            <w:tcW w:w="498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12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21"/>
        </w:trPr>
        <w:tc>
          <w:tcPr>
            <w:tcW w:w="4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2"/>
        </w:trPr>
        <w:tc>
          <w:tcPr>
            <w:tcW w:w="4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Amount outstanding at period-end</w:t>
            </w:r>
          </w:p>
        </w:tc>
        <w:tc>
          <w:tcPr>
            <w:tcW w:w="1260" w:type="dxa"/>
            <w:vAlign w:val="bottom"/>
            <w:shd w:val="clear" w:color="auto" w:fill="CCEEFF"/>
          </w:tcPr>
          <w:p>
            <w:pPr>
              <w:jc w:val="right"/>
              <w:ind w:right="743"/>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22,000</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22,000</w:t>
            </w:r>
          </w:p>
        </w:tc>
      </w:tr>
      <w:tr>
        <w:trPr>
          <w:trHeight w:val="212"/>
        </w:trPr>
        <w:tc>
          <w:tcPr>
            <w:tcW w:w="4980" w:type="dxa"/>
            <w:vAlign w:val="bottom"/>
          </w:tcPr>
          <w:p>
            <w:pPr>
              <w:ind w:left="340"/>
              <w:spacing w:after="0"/>
              <w:rPr>
                <w:sz w:val="20"/>
                <w:szCs w:val="20"/>
                <w:color w:val="auto"/>
              </w:rPr>
            </w:pPr>
            <w:r>
              <w:rPr>
                <w:rFonts w:ascii="Arial" w:cs="Arial" w:eastAsia="Arial" w:hAnsi="Arial"/>
                <w:sz w:val="16"/>
                <w:szCs w:val="16"/>
                <w:color w:val="auto"/>
              </w:rPr>
              <w:t>Weighted average interest rate at period-end</w:t>
            </w:r>
          </w:p>
        </w:tc>
        <w:tc>
          <w:tcPr>
            <w:tcW w:w="1260" w:type="dxa"/>
            <w:vAlign w:val="bottom"/>
          </w:tcPr>
          <w:p>
            <w:pPr>
              <w:spacing w:after="0"/>
              <w:rPr>
                <w:sz w:val="18"/>
                <w:szCs w:val="18"/>
                <w:color w:val="auto"/>
              </w:rPr>
            </w:pPr>
          </w:p>
        </w:tc>
        <w:tc>
          <w:tcPr>
            <w:tcW w:w="1500" w:type="dxa"/>
            <w:vAlign w:val="bottom"/>
          </w:tcPr>
          <w:p>
            <w:pPr>
              <w:jc w:val="right"/>
              <w:ind w:right="101"/>
              <w:spacing w:after="0"/>
              <w:rPr>
                <w:sz w:val="20"/>
                <w:szCs w:val="20"/>
                <w:color w:val="auto"/>
              </w:rPr>
            </w:pPr>
            <w:r>
              <w:rPr>
                <w:rFonts w:ascii="Arial" w:cs="Arial" w:eastAsia="Arial" w:hAnsi="Arial"/>
                <w:sz w:val="16"/>
                <w:szCs w:val="16"/>
                <w:b w:val="1"/>
                <w:bCs w:val="1"/>
                <w:color w:val="auto"/>
              </w:rPr>
              <w:t>0.93</w:t>
            </w:r>
          </w:p>
        </w:tc>
        <w:tc>
          <w:tcPr>
            <w:tcW w:w="560" w:type="dxa"/>
            <w:vAlign w:val="bottom"/>
          </w:tcPr>
          <w:p>
            <w:pPr>
              <w:jc w:val="right"/>
              <w:ind w:right="161"/>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spacing w:after="0"/>
              <w:rPr>
                <w:sz w:val="18"/>
                <w:szCs w:val="18"/>
                <w:color w:val="auto"/>
              </w:rPr>
            </w:pPr>
          </w:p>
        </w:tc>
        <w:tc>
          <w:tcPr>
            <w:tcW w:w="1600" w:type="dxa"/>
            <w:vAlign w:val="bottom"/>
          </w:tcPr>
          <w:p>
            <w:pPr>
              <w:jc w:val="right"/>
              <w:ind w:right="261"/>
              <w:spacing w:after="0"/>
              <w:rPr>
                <w:sz w:val="20"/>
                <w:szCs w:val="20"/>
                <w:color w:val="auto"/>
              </w:rPr>
            </w:pPr>
            <w:r>
              <w:rPr>
                <w:rFonts w:ascii="Arial" w:cs="Arial" w:eastAsia="Arial" w:hAnsi="Arial"/>
                <w:sz w:val="16"/>
                <w:szCs w:val="16"/>
                <w:color w:val="auto"/>
              </w:rPr>
              <w:t>0.93</w:t>
            </w:r>
          </w:p>
        </w:tc>
      </w:tr>
      <w:tr>
        <w:trPr>
          <w:trHeight w:val="212"/>
        </w:trPr>
        <w:tc>
          <w:tcPr>
            <w:tcW w:w="4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Maximum month-end balance during the period</w:t>
            </w:r>
          </w:p>
        </w:tc>
        <w:tc>
          <w:tcPr>
            <w:tcW w:w="1260" w:type="dxa"/>
            <w:vAlign w:val="bottom"/>
            <w:shd w:val="clear" w:color="auto" w:fill="CCEEFF"/>
          </w:tcPr>
          <w:p>
            <w:pPr>
              <w:jc w:val="right"/>
              <w:ind w:right="743"/>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22,000</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31,111</w:t>
            </w:r>
          </w:p>
        </w:tc>
      </w:tr>
      <w:tr>
        <w:trPr>
          <w:trHeight w:val="212"/>
        </w:trPr>
        <w:tc>
          <w:tcPr>
            <w:tcW w:w="4980" w:type="dxa"/>
            <w:vAlign w:val="bottom"/>
          </w:tcPr>
          <w:p>
            <w:pPr>
              <w:ind w:left="340"/>
              <w:spacing w:after="0"/>
              <w:rPr>
                <w:sz w:val="20"/>
                <w:szCs w:val="20"/>
                <w:color w:val="auto"/>
              </w:rPr>
            </w:pPr>
            <w:r>
              <w:rPr>
                <w:rFonts w:ascii="Arial" w:cs="Arial" w:eastAsia="Arial" w:hAnsi="Arial"/>
                <w:sz w:val="16"/>
                <w:szCs w:val="16"/>
                <w:color w:val="auto"/>
              </w:rPr>
              <w:t>Average balance outstanding during the period</w:t>
            </w:r>
          </w:p>
        </w:tc>
        <w:tc>
          <w:tcPr>
            <w:tcW w:w="1260" w:type="dxa"/>
            <w:vAlign w:val="bottom"/>
          </w:tcPr>
          <w:p>
            <w:pPr>
              <w:jc w:val="right"/>
              <w:ind w:right="743"/>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101"/>
              <w:spacing w:after="0"/>
              <w:rPr>
                <w:sz w:val="20"/>
                <w:szCs w:val="20"/>
                <w:color w:val="auto"/>
              </w:rPr>
            </w:pPr>
            <w:r>
              <w:rPr>
                <w:rFonts w:ascii="Arial" w:cs="Arial" w:eastAsia="Arial" w:hAnsi="Arial"/>
                <w:sz w:val="16"/>
                <w:szCs w:val="16"/>
                <w:b w:val="1"/>
                <w:bCs w:val="1"/>
                <w:color w:val="auto"/>
              </w:rPr>
              <w:t>22,000</w:t>
            </w:r>
          </w:p>
        </w:tc>
        <w:tc>
          <w:tcPr>
            <w:tcW w:w="56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61"/>
              <w:spacing w:after="0"/>
              <w:rPr>
                <w:sz w:val="20"/>
                <w:szCs w:val="20"/>
                <w:color w:val="auto"/>
              </w:rPr>
            </w:pPr>
            <w:r>
              <w:rPr>
                <w:rFonts w:ascii="Arial" w:cs="Arial" w:eastAsia="Arial" w:hAnsi="Arial"/>
                <w:sz w:val="16"/>
                <w:szCs w:val="16"/>
                <w:color w:val="auto"/>
              </w:rPr>
              <w:t>25,917</w:t>
            </w:r>
          </w:p>
        </w:tc>
      </w:tr>
      <w:tr>
        <w:trPr>
          <w:trHeight w:val="212"/>
        </w:trPr>
        <w:tc>
          <w:tcPr>
            <w:tcW w:w="4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interest rate during the period</w:t>
            </w:r>
          </w:p>
        </w:tc>
        <w:tc>
          <w:tcPr>
            <w:tcW w:w="1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0.94</w:t>
            </w:r>
          </w:p>
        </w:tc>
        <w:tc>
          <w:tcPr>
            <w:tcW w:w="56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2.15</w:t>
            </w:r>
          </w:p>
        </w:tc>
      </w:tr>
    </w:tbl>
    <w:p>
      <w:pPr>
        <w:spacing w:after="0" w:line="291" w:lineRule="exact"/>
        <w:rPr>
          <w:sz w:val="20"/>
          <w:szCs w:val="20"/>
          <w:color w:val="auto"/>
        </w:rPr>
      </w:pPr>
    </w:p>
    <w:p>
      <w:pPr>
        <w:jc w:val="both"/>
        <w:ind w:right="120" w:firstLine="318"/>
        <w:spacing w:after="0" w:line="251" w:lineRule="auto"/>
        <w:rPr>
          <w:sz w:val="20"/>
          <w:szCs w:val="20"/>
          <w:color w:val="auto"/>
        </w:rPr>
      </w:pPr>
      <w:r>
        <w:rPr>
          <w:rFonts w:ascii="Arial" w:cs="Arial" w:eastAsia="Arial" w:hAnsi="Arial"/>
          <w:sz w:val="18"/>
          <w:szCs w:val="18"/>
          <w:color w:val="auto"/>
        </w:rPr>
        <w:t>The Company has also issued junior subordinated debentures and other subordinated notes. At June 30, 2021, these other borrowings amounted to $12.1 million.</w:t>
      </w:r>
    </w:p>
    <w:p>
      <w:pPr>
        <w:spacing w:after="0" w:line="203"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At June 30, 2021, our junior subordinated debentures amounted to $2.1 million. The junior subordinated debentures were issued in June of 2006, mature on June 15, 2036, and may be redeemed prior to that date under certain circumstances. The principal amount of the debentures has not changed since issuance, and they accrue interest at a floating rate equal to the three-month LIBOR plus 1.87%.</w:t>
      </w:r>
    </w:p>
    <w:p>
      <w:pPr>
        <w:spacing w:after="0" w:line="206"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On November 30, 2020, the Company issued $10.0 million in subordinated notes due in 2030 to repay the higher yielding subordinated noted amounting to $13.5 million, reducing interest expense. The notes have a ten year term and have a fixed rate of 5.00% for the first five years; thereafter, the rate resets quarterly to a benchmark rate plus 490 basis points. The notes may be redeemed in part or in whole, upon the occurrence of certain events.</w:t>
      </w:r>
    </w:p>
    <w:p>
      <w:pPr>
        <w:spacing w:after="0" w:line="208"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Federal Reserve Bank of Richmond has an available borrower in custody arrangement which allows us to borrow on a collateralized basis. The Company’s borrowing capacity under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9" w:name="page60"/>
    <w:bookmarkEnd w:id="59"/>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Reserve’s discount window program was $15.6 million as of June 30, 2021. Certain commercial loans are pledged under this arrangement. We maintain this borrowing arrangement to meet liquidity needs pursuant to our contingency funding plan. No advances were outstanding under this facility as of June 30, 2021.</w:t>
      </w:r>
    </w:p>
    <w:p>
      <w:pPr>
        <w:spacing w:after="0" w:line="20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also has available lines of credit of $76.0 million with other correspondent banks at June 30, 2021, as well as access to certificate of deposit funding through a financial network and wholesale brokers. Our funding policy limits use of this funding source to 30% of the Bank’s deposits. These lines were not utilized at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3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confronts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operational, legal and reputational risks also could affect the Bank’s liquidity risk profile and are considered in the assessment of liquidity and asset/liability management.</w:t>
      </w:r>
    </w:p>
    <w:p>
      <w:pPr>
        <w:spacing w:after="0" w:line="21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Management has established a management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holding liquid marketable securities, free of legal, regulatory or operational impediments, that can be used to meet liquidity needs in stressful situations; contingency funding plans that address potential adverse liquidity events and emergency cash flow requirements; and internal controls and internal audit processes believed to be sufficient to determine the adequacy of the institution’s liquidity risk management process.</w:t>
      </w:r>
    </w:p>
    <w:p>
      <w:pPr>
        <w:spacing w:after="0" w:line="21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spacing w:after="0" w:line="20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of June 30, 2021, we had $170.9 million of available borrowing capacity from the FHLB, $15.6 million of available borrowing capacity from the Federal Reserve Bank of Richmond and available lines of credit of $76.0 million with other correspondent banks. In addition, as a participant in the PPPLF, the Bank has funding available at the Federal Reserve Bank of Richmond upon the pledging of the SBA-PPP loans. SBA-PPP loans available for pledging amounted to $202.8 million at June 30, 2021. The funding facility is available to be drawn upon through July 30, 2021 at a rate of 0.35% for the corresponding term of the underlying SBA-PPP loan collateral. Cash and cash equivalents were $308.7 million at June 30, 2021 and $146.9 million at December 31, 2020. We believe our liquidity resources are at sufficient levels to fund loans and meet other cash needs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3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Stockholders’ equity increased $17.9 million at June 30, 2021 compared to December 31, 2020. Net income for the six months ended June 30, 2021 increased retained earnings by $18.6 million. Stock options exercised and stock-based compensation increased common stock and additional paid-in capital in the aggregate by $885 thousand. These increases were partially offset by the change in net unrealized gains on available for sale securities of $1.6 million.</w:t>
      </w:r>
    </w:p>
    <w:p>
      <w:pPr>
        <w:spacing w:after="0" w:line="20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 uses several indicators of capital strength. The most commonly used measure is the Common Equity Tier 1 (“CET1”) capital ratio (common equity tier 1 capital divided by risk weighted assets), which was 13.94% at June 30, 2021 and 12.94% at December 31, 2020. The Company has above-average levels of capital and has taken steps to navigate COVID-19 related disruptions, including taking higher levels than normal of loan loss provisions and maintaining higher than normal levels of liquidity on the balance sheet.</w:t>
      </w:r>
    </w:p>
    <w:p>
      <w:pPr>
        <w:spacing w:after="0" w:line="2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table shows the return on average assets (computed as net income divided by average total assets), return on average equity (computed as net income divided by average equity) and common equity tier 1 capital ratios for the six months ended June 30, 2021 and for the year ended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For the Three Months</w:t>
            </w: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For the Six Months</w:t>
            </w:r>
          </w:p>
        </w:tc>
        <w:tc>
          <w:tcPr>
            <w:tcW w:w="194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2"/>
        </w:trPr>
        <w:tc>
          <w:tcPr>
            <w:tcW w:w="5320" w:type="dxa"/>
            <w:vAlign w:val="bottom"/>
          </w:tcPr>
          <w:p>
            <w:pPr>
              <w:spacing w:after="0"/>
              <w:rPr>
                <w:sz w:val="14"/>
                <w:szCs w:val="14"/>
                <w:color w:val="auto"/>
              </w:rPr>
            </w:pPr>
          </w:p>
        </w:tc>
        <w:tc>
          <w:tcPr>
            <w:tcW w:w="2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Ended</w:t>
            </w: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Ended</w:t>
            </w: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2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June 30, 2021</w:t>
            </w:r>
          </w:p>
        </w:tc>
        <w:tc>
          <w:tcPr>
            <w:tcW w:w="1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 2021</w:t>
            </w:r>
          </w:p>
        </w:tc>
        <w:tc>
          <w:tcPr>
            <w:tcW w:w="194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9"/>
        </w:trPr>
        <w:tc>
          <w:tcPr>
            <w:tcW w:w="5320" w:type="dxa"/>
            <w:vAlign w:val="bottom"/>
            <w:tcBorders>
              <w:top w:val="single" w:sz="8" w:color="CCEEFF"/>
            </w:tcBorders>
            <w:shd w:val="clear" w:color="auto" w:fill="CCEEFF"/>
          </w:tcPr>
          <w:p>
            <w:pPr>
              <w:ind w:left="20"/>
              <w:spacing w:after="0" w:line="179" w:lineRule="exact"/>
              <w:rPr>
                <w:sz w:val="20"/>
                <w:szCs w:val="20"/>
                <w:color w:val="auto"/>
              </w:rPr>
            </w:pPr>
            <w:r>
              <w:rPr>
                <w:rFonts w:ascii="Arial" w:cs="Arial" w:eastAsia="Arial" w:hAnsi="Arial"/>
                <w:sz w:val="14"/>
                <w:szCs w:val="14"/>
                <w:color w:val="auto"/>
              </w:rPr>
              <w:t>Return on Average Assets</w:t>
            </w:r>
            <w:r>
              <w:rPr>
                <w:rFonts w:ascii="Arial" w:cs="Arial" w:eastAsia="Arial" w:hAnsi="Arial"/>
                <w:sz w:val="18"/>
                <w:szCs w:val="18"/>
                <w:color w:val="auto"/>
                <w:vertAlign w:val="superscript"/>
              </w:rPr>
              <w:t>(1)</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1.90 %</w:t>
            </w:r>
          </w:p>
        </w:tc>
        <w:tc>
          <w:tcPr>
            <w:tcW w:w="18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1.88 %</w:t>
            </w:r>
          </w:p>
        </w:tc>
        <w:tc>
          <w:tcPr>
            <w:tcW w:w="20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1.38 %</w:t>
            </w:r>
          </w:p>
        </w:tc>
        <w:tc>
          <w:tcPr>
            <w:tcW w:w="0" w:type="dxa"/>
            <w:vAlign w:val="bottom"/>
          </w:tcPr>
          <w:p>
            <w:pPr>
              <w:spacing w:after="0"/>
              <w:rPr>
                <w:sz w:val="1"/>
                <w:szCs w:val="1"/>
                <w:color w:val="auto"/>
              </w:rPr>
            </w:pPr>
          </w:p>
        </w:tc>
      </w:tr>
      <w:tr>
        <w:trPr>
          <w:trHeight w:val="185"/>
        </w:trPr>
        <w:tc>
          <w:tcPr>
            <w:tcW w:w="5320" w:type="dxa"/>
            <w:vAlign w:val="bottom"/>
          </w:tcPr>
          <w:p>
            <w:pPr>
              <w:ind w:left="20"/>
              <w:spacing w:after="0" w:line="186" w:lineRule="exact"/>
              <w:rPr>
                <w:sz w:val="20"/>
                <w:szCs w:val="20"/>
                <w:color w:val="auto"/>
              </w:rPr>
            </w:pPr>
            <w:r>
              <w:rPr>
                <w:rFonts w:ascii="Arial" w:cs="Arial" w:eastAsia="Arial" w:hAnsi="Arial"/>
                <w:sz w:val="14"/>
                <w:szCs w:val="14"/>
                <w:color w:val="auto"/>
              </w:rPr>
              <w:t>Return on Average Equity</w:t>
            </w:r>
            <w:r>
              <w:rPr>
                <w:rFonts w:ascii="Arial" w:cs="Arial" w:eastAsia="Arial" w:hAnsi="Arial"/>
                <w:sz w:val="18"/>
                <w:szCs w:val="18"/>
                <w:color w:val="auto"/>
                <w:vertAlign w:val="superscript"/>
              </w:rPr>
              <w:t>(1)</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22.36 %</w:t>
            </w:r>
          </w:p>
        </w:tc>
        <w:tc>
          <w:tcPr>
            <w:tcW w:w="1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22.33 %</w:t>
            </w:r>
          </w:p>
        </w:tc>
        <w:tc>
          <w:tcPr>
            <w:tcW w:w="2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13.66 %</w:t>
            </w:r>
          </w:p>
        </w:tc>
        <w:tc>
          <w:tcPr>
            <w:tcW w:w="0" w:type="dxa"/>
            <w:vAlign w:val="bottom"/>
          </w:tcPr>
          <w:p>
            <w:pPr>
              <w:spacing w:after="0"/>
              <w:rPr>
                <w:sz w:val="1"/>
                <w:szCs w:val="1"/>
                <w:color w:val="auto"/>
              </w:rPr>
            </w:pPr>
          </w:p>
        </w:tc>
      </w:tr>
      <w:tr>
        <w:trPr>
          <w:trHeight w:val="186"/>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Equity Tier 1 Capital</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13.94 %</w:t>
            </w: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12.25 %</w:t>
            </w:r>
          </w:p>
        </w:tc>
        <w:tc>
          <w:tcPr>
            <w:tcW w:w="20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12.94 %</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620" w:hanging="296"/>
        <w:spacing w:after="0" w:line="209" w:lineRule="auto"/>
        <w:tabs>
          <w:tab w:leader="none" w:pos="6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These ratios are annualized for the six months ended June 30, 2021.</w:t>
      </w: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precipitate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21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of June 30, 2021, the Bank was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in order to remain in compliance with all regulatory capital standards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83"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following table presents the regulatory capital ratios for the Company (as if applicable to the Company) and the Bank as of the dates indicated.</w:t>
      </w: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vMerge w:val="restart"/>
          </w:tcPr>
          <w:p>
            <w:pPr>
              <w:jc w:val="right"/>
              <w:ind w:right="674"/>
              <w:spacing w:after="0"/>
              <w:rPr>
                <w:sz w:val="20"/>
                <w:szCs w:val="20"/>
                <w:color w:val="auto"/>
              </w:rPr>
            </w:pPr>
            <w:r>
              <w:rPr>
                <w:rFonts w:ascii="Arial" w:cs="Arial" w:eastAsia="Arial" w:hAnsi="Arial"/>
                <w:sz w:val="13"/>
                <w:szCs w:val="13"/>
                <w:b w:val="1"/>
                <w:bCs w:val="1"/>
                <w:color w:val="auto"/>
              </w:rPr>
              <w:t>Actual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80" w:type="dxa"/>
            <w:vAlign w:val="bottom"/>
            <w:gridSpan w:val="2"/>
          </w:tcPr>
          <w:p>
            <w:pPr>
              <w:jc w:val="right"/>
              <w:ind w:right="313"/>
              <w:spacing w:after="0"/>
              <w:rPr>
                <w:sz w:val="20"/>
                <w:szCs w:val="20"/>
                <w:color w:val="auto"/>
              </w:rPr>
            </w:pPr>
            <w:r>
              <w:rPr>
                <w:rFonts w:ascii="Arial" w:cs="Arial" w:eastAsia="Arial" w:hAnsi="Arial"/>
                <w:sz w:val="13"/>
                <w:szCs w:val="13"/>
                <w:b w:val="1"/>
                <w:bCs w:val="1"/>
                <w:color w:val="auto"/>
              </w:rPr>
              <w:t>Minimum Capital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gridSpan w:val="2"/>
          </w:tcPr>
          <w:p>
            <w:pPr>
              <w:jc w:val="right"/>
              <w:ind w:right="593"/>
              <w:spacing w:after="0"/>
              <w:rPr>
                <w:sz w:val="20"/>
                <w:szCs w:val="20"/>
                <w:color w:val="auto"/>
              </w:rPr>
            </w:pPr>
            <w:r>
              <w:rPr>
                <w:rFonts w:ascii="Arial" w:cs="Arial" w:eastAsia="Arial" w:hAnsi="Arial"/>
                <w:sz w:val="13"/>
                <w:szCs w:val="13"/>
                <w:b w:val="1"/>
                <w:bCs w:val="1"/>
                <w:color w:val="auto"/>
              </w:rPr>
              <w:t>To Be Well</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880" w:type="dxa"/>
            <w:vAlign w:val="bottom"/>
            <w:gridSpan w:val="3"/>
          </w:tcPr>
          <w:p>
            <w:pPr>
              <w:spacing w:after="0"/>
              <w:rPr>
                <w:sz w:val="20"/>
                <w:szCs w:val="20"/>
                <w:color w:val="auto"/>
              </w:rPr>
            </w:pPr>
            <w:r>
              <w:rPr>
                <w:rFonts w:ascii="Arial" w:cs="Arial" w:eastAsia="Arial" w:hAnsi="Arial"/>
                <w:sz w:val="11"/>
                <w:szCs w:val="11"/>
                <w:i w:val="1"/>
                <w:iCs w:val="1"/>
                <w:color w:val="auto"/>
              </w:rPr>
              <w:t>(in thousands)</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Adequacy</w:t>
            </w: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Capitalized</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288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June 30, 2021</w:t>
            </w:r>
          </w:p>
        </w:tc>
        <w:tc>
          <w:tcPr>
            <w:tcW w:w="480" w:type="dxa"/>
            <w:vAlign w:val="bottom"/>
          </w:tcPr>
          <w:p>
            <w:pPr>
              <w:spacing w:after="0"/>
              <w:rPr>
                <w:sz w:val="13"/>
                <w:szCs w:val="13"/>
                <w:color w:val="auto"/>
              </w:rPr>
            </w:pPr>
          </w:p>
        </w:tc>
        <w:tc>
          <w:tcPr>
            <w:tcW w:w="760" w:type="dxa"/>
            <w:vAlign w:val="bottom"/>
          </w:tcPr>
          <w:p>
            <w:pPr>
              <w:jc w:val="right"/>
              <w:ind w:right="113"/>
              <w:spacing w:after="0" w:line="159" w:lineRule="exact"/>
              <w:rPr>
                <w:sz w:val="20"/>
                <w:szCs w:val="20"/>
                <w:color w:val="auto"/>
              </w:rPr>
            </w:pPr>
            <w:r>
              <w:rPr>
                <w:rFonts w:ascii="Arial" w:cs="Arial" w:eastAsia="Arial" w:hAnsi="Arial"/>
                <w:sz w:val="14"/>
                <w:szCs w:val="14"/>
                <w:b w:val="1"/>
                <w:bCs w:val="1"/>
                <w:color w:val="auto"/>
              </w:rPr>
              <w:t>Amount</w:t>
            </w:r>
          </w:p>
        </w:tc>
        <w:tc>
          <w:tcPr>
            <w:tcW w:w="1160" w:type="dxa"/>
            <w:vAlign w:val="bottom"/>
          </w:tcPr>
          <w:p>
            <w:pPr>
              <w:jc w:val="right"/>
              <w:ind w:right="14"/>
              <w:spacing w:after="0" w:line="159" w:lineRule="exact"/>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jc w:val="right"/>
              <w:ind w:right="534"/>
              <w:spacing w:after="0" w:line="159" w:lineRule="exact"/>
              <w:rPr>
                <w:sz w:val="20"/>
                <w:szCs w:val="20"/>
                <w:color w:val="auto"/>
              </w:rPr>
            </w:pPr>
            <w:r>
              <w:rPr>
                <w:rFonts w:ascii="Arial" w:cs="Arial" w:eastAsia="Arial" w:hAnsi="Arial"/>
                <w:sz w:val="14"/>
                <w:szCs w:val="14"/>
                <w:b w:val="1"/>
                <w:bCs w:val="1"/>
                <w:color w:val="auto"/>
              </w:rPr>
              <w:t>Amount</w:t>
            </w:r>
          </w:p>
        </w:tc>
        <w:tc>
          <w:tcPr>
            <w:tcW w:w="700" w:type="dxa"/>
            <w:vAlign w:val="bottom"/>
          </w:tcPr>
          <w:p>
            <w:pPr>
              <w:jc w:val="right"/>
              <w:ind w:right="13"/>
              <w:spacing w:after="0" w:line="159" w:lineRule="exact"/>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tcPr>
          <w:p>
            <w:pPr>
              <w:jc w:val="right"/>
              <w:ind w:right="594"/>
              <w:spacing w:after="0" w:line="159" w:lineRule="exact"/>
              <w:rPr>
                <w:sz w:val="20"/>
                <w:szCs w:val="20"/>
                <w:color w:val="auto"/>
              </w:rPr>
            </w:pPr>
            <w:r>
              <w:rPr>
                <w:rFonts w:ascii="Arial" w:cs="Arial" w:eastAsia="Arial" w:hAnsi="Arial"/>
                <w:sz w:val="14"/>
                <w:szCs w:val="14"/>
                <w:b w:val="1"/>
                <w:bCs w:val="1"/>
                <w:color w:val="auto"/>
              </w:rPr>
              <w:t>Amount</w:t>
            </w:r>
          </w:p>
        </w:tc>
        <w:tc>
          <w:tcPr>
            <w:tcW w:w="740" w:type="dxa"/>
            <w:vAlign w:val="bottom"/>
          </w:tcPr>
          <w:p>
            <w:pPr>
              <w:jc w:val="right"/>
              <w:ind w:right="73"/>
              <w:spacing w:after="0" w:line="159"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shd w:val="clear" w:color="auto" w:fill="CCEEFF"/>
          </w:tcPr>
          <w:p>
            <w:pPr>
              <w:spacing w:after="0"/>
              <w:rPr>
                <w:sz w:val="13"/>
                <w:szCs w:val="13"/>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Company</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2880" w:type="dxa"/>
            <w:vAlign w:val="bottom"/>
            <w:gridSpan w:val="3"/>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179,117</w:t>
            </w:r>
          </w:p>
        </w:tc>
        <w:tc>
          <w:tcPr>
            <w:tcW w:w="1160" w:type="dxa"/>
            <w:vAlign w:val="bottom"/>
          </w:tcPr>
          <w:p>
            <w:pPr>
              <w:jc w:val="right"/>
              <w:ind w:right="234"/>
              <w:spacing w:after="0"/>
              <w:rPr>
                <w:sz w:val="20"/>
                <w:szCs w:val="20"/>
                <w:color w:val="auto"/>
              </w:rPr>
            </w:pPr>
            <w:r>
              <w:rPr>
                <w:rFonts w:ascii="Arial" w:cs="Arial" w:eastAsia="Arial" w:hAnsi="Arial"/>
                <w:sz w:val="13"/>
                <w:szCs w:val="13"/>
                <w:b w:val="1"/>
                <w:bCs w:val="1"/>
                <w:color w:val="auto"/>
              </w:rPr>
              <w:t>8.78</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434"/>
              <w:spacing w:after="0"/>
              <w:rPr>
                <w:sz w:val="20"/>
                <w:szCs w:val="20"/>
                <w:color w:val="auto"/>
              </w:rPr>
            </w:pPr>
            <w:r>
              <w:rPr>
                <w:rFonts w:ascii="Arial" w:cs="Arial" w:eastAsia="Arial" w:hAnsi="Arial"/>
                <w:sz w:val="13"/>
                <w:szCs w:val="13"/>
                <w:b w:val="1"/>
                <w:bCs w:val="1"/>
                <w:color w:val="auto"/>
              </w:rPr>
              <w:t>81,632</w:t>
            </w:r>
          </w:p>
        </w:tc>
        <w:tc>
          <w:tcPr>
            <w:tcW w:w="700" w:type="dxa"/>
            <w:vAlign w:val="bottom"/>
          </w:tcPr>
          <w:p>
            <w:pPr>
              <w:jc w:val="right"/>
              <w:ind w:right="233"/>
              <w:spacing w:after="0"/>
              <w:rPr>
                <w:sz w:val="20"/>
                <w:szCs w:val="20"/>
                <w:color w:val="auto"/>
              </w:rPr>
            </w:pPr>
            <w:r>
              <w:rPr>
                <w:rFonts w:ascii="Arial" w:cs="Arial" w:eastAsia="Arial" w:hAnsi="Arial"/>
                <w:sz w:val="13"/>
                <w:szCs w:val="13"/>
                <w:b w:val="1"/>
                <w:bCs w:val="1"/>
                <w:color w:val="auto"/>
              </w:rPr>
              <w:t>4.00</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jc w:val="right"/>
              <w:ind w:right="394"/>
              <w:spacing w:after="0"/>
              <w:rPr>
                <w:sz w:val="20"/>
                <w:szCs w:val="20"/>
                <w:color w:val="auto"/>
              </w:rPr>
            </w:pPr>
            <w:r>
              <w:rPr>
                <w:rFonts w:ascii="Arial" w:cs="Arial" w:eastAsia="Arial" w:hAnsi="Arial"/>
                <w:sz w:val="13"/>
                <w:szCs w:val="13"/>
                <w:b w:val="1"/>
                <w:bCs w:val="1"/>
                <w:color w:val="auto"/>
              </w:rPr>
              <w:t>N/A</w:t>
            </w:r>
          </w:p>
        </w:tc>
        <w:tc>
          <w:tcPr>
            <w:tcW w:w="740" w:type="dxa"/>
            <w:vAlign w:val="bottom"/>
          </w:tcPr>
          <w:p>
            <w:pPr>
              <w:ind w:left="640"/>
              <w:spacing w:after="0"/>
              <w:rPr>
                <w:sz w:val="20"/>
                <w:szCs w:val="20"/>
                <w:color w:val="auto"/>
              </w:rPr>
            </w:pPr>
            <w:r>
              <w:rPr>
                <w:rFonts w:ascii="Arial" w:cs="Arial" w:eastAsia="Arial" w:hAnsi="Arial"/>
                <w:sz w:val="13"/>
                <w:szCs w:val="13"/>
                <w:b w:val="1"/>
                <w:bCs w:val="1"/>
                <w:color w:val="auto"/>
                <w:w w:val="84"/>
              </w:rPr>
              <w:t>N</w:t>
            </w: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288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capital (to risk-weighted assets)</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179,117</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b w:val="1"/>
                <w:bCs w:val="1"/>
                <w:color w:val="auto"/>
              </w:rPr>
              <w:t>14.10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107,997</w:t>
            </w:r>
          </w:p>
        </w:tc>
        <w:tc>
          <w:tcPr>
            <w:tcW w:w="700" w:type="dxa"/>
            <w:vAlign w:val="bottom"/>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8.50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4"/>
              <w:spacing w:after="0"/>
              <w:rPr>
                <w:sz w:val="20"/>
                <w:szCs w:val="20"/>
                <w:color w:val="auto"/>
              </w:rPr>
            </w:pPr>
            <w:r>
              <w:rPr>
                <w:rFonts w:ascii="Arial" w:cs="Arial" w:eastAsia="Arial" w:hAnsi="Arial"/>
                <w:sz w:val="13"/>
                <w:szCs w:val="13"/>
                <w:b w:val="1"/>
                <w:bCs w:val="1"/>
                <w:color w:val="auto"/>
              </w:rPr>
              <w:t>N/A</w:t>
            </w:r>
          </w:p>
        </w:tc>
        <w:tc>
          <w:tcPr>
            <w:tcW w:w="740" w:type="dxa"/>
            <w:vAlign w:val="bottom"/>
            <w:shd w:val="clear" w:color="auto" w:fill="CCEEFF"/>
          </w:tcPr>
          <w:p>
            <w:pPr>
              <w:ind w:left="640"/>
              <w:spacing w:after="0"/>
              <w:rPr>
                <w:sz w:val="20"/>
                <w:szCs w:val="20"/>
                <w:color w:val="auto"/>
              </w:rPr>
            </w:pPr>
            <w:r>
              <w:rPr>
                <w:rFonts w:ascii="Arial" w:cs="Arial" w:eastAsia="Arial" w:hAnsi="Arial"/>
                <w:sz w:val="13"/>
                <w:szCs w:val="13"/>
                <w:b w:val="1"/>
                <w:bCs w:val="1"/>
                <w:color w:val="auto"/>
                <w:w w:val="84"/>
              </w:rPr>
              <w:t>N</w:t>
            </w:r>
          </w:p>
        </w:tc>
        <w:tc>
          <w:tcPr>
            <w:tcW w:w="0" w:type="dxa"/>
            <w:vAlign w:val="bottom"/>
          </w:tcPr>
          <w:p>
            <w:pPr>
              <w:spacing w:after="0"/>
              <w:rPr>
                <w:sz w:val="1"/>
                <w:szCs w:val="1"/>
                <w:color w:val="auto"/>
              </w:rPr>
            </w:pPr>
          </w:p>
        </w:tc>
      </w:tr>
      <w:tr>
        <w:trPr>
          <w:trHeight w:val="145"/>
        </w:trPr>
        <w:tc>
          <w:tcPr>
            <w:tcW w:w="3220" w:type="dxa"/>
            <w:vAlign w:val="bottom"/>
            <w:gridSpan w:val="4"/>
          </w:tcPr>
          <w:p>
            <w:pPr>
              <w:ind w:left="140"/>
              <w:spacing w:after="0" w:line="145" w:lineRule="exact"/>
              <w:rPr>
                <w:sz w:val="20"/>
                <w:szCs w:val="20"/>
                <w:color w:val="auto"/>
              </w:rPr>
            </w:pPr>
            <w:r>
              <w:rPr>
                <w:rFonts w:ascii="Arial" w:cs="Arial" w:eastAsia="Arial" w:hAnsi="Arial"/>
                <w:sz w:val="13"/>
                <w:szCs w:val="13"/>
                <w:color w:val="auto"/>
              </w:rPr>
              <w:t>Common equity tier 1 capital ratio (to risk-</w:t>
            </w:r>
          </w:p>
        </w:tc>
        <w:tc>
          <w:tcPr>
            <w:tcW w:w="4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177,055</w:t>
            </w:r>
          </w:p>
        </w:tc>
        <w:tc>
          <w:tcPr>
            <w:tcW w:w="1160" w:type="dxa"/>
            <w:vAlign w:val="bottom"/>
            <w:vMerge w:val="restart"/>
          </w:tcPr>
          <w:p>
            <w:pPr>
              <w:jc w:val="right"/>
              <w:ind w:right="234"/>
              <w:spacing w:after="0"/>
              <w:rPr>
                <w:sz w:val="20"/>
                <w:szCs w:val="20"/>
                <w:color w:val="auto"/>
              </w:rPr>
            </w:pPr>
            <w:r>
              <w:rPr>
                <w:rFonts w:ascii="Arial" w:cs="Arial" w:eastAsia="Arial" w:hAnsi="Arial"/>
                <w:sz w:val="13"/>
                <w:szCs w:val="13"/>
                <w:b w:val="1"/>
                <w:bCs w:val="1"/>
                <w:color w:val="auto"/>
              </w:rPr>
              <w:t>13.94</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vMerge w:val="restart"/>
          </w:tcPr>
          <w:p>
            <w:pPr>
              <w:jc w:val="right"/>
              <w:ind w:right="434"/>
              <w:spacing w:after="0"/>
              <w:rPr>
                <w:sz w:val="20"/>
                <w:szCs w:val="20"/>
                <w:color w:val="auto"/>
              </w:rPr>
            </w:pPr>
            <w:r>
              <w:rPr>
                <w:rFonts w:ascii="Arial" w:cs="Arial" w:eastAsia="Arial" w:hAnsi="Arial"/>
                <w:sz w:val="13"/>
                <w:szCs w:val="13"/>
                <w:b w:val="1"/>
                <w:bCs w:val="1"/>
                <w:color w:val="auto"/>
              </w:rPr>
              <w:t>88,939</w:t>
            </w:r>
          </w:p>
        </w:tc>
        <w:tc>
          <w:tcPr>
            <w:tcW w:w="70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7.00</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vMerge w:val="restart"/>
          </w:tcPr>
          <w:p>
            <w:pPr>
              <w:jc w:val="right"/>
              <w:ind w:right="394"/>
              <w:spacing w:after="0"/>
              <w:rPr>
                <w:sz w:val="20"/>
                <w:szCs w:val="20"/>
                <w:color w:val="auto"/>
              </w:rPr>
            </w:pPr>
            <w:r>
              <w:rPr>
                <w:rFonts w:ascii="Arial" w:cs="Arial" w:eastAsia="Arial" w:hAnsi="Arial"/>
                <w:sz w:val="13"/>
                <w:szCs w:val="13"/>
                <w:b w:val="1"/>
                <w:bCs w:val="1"/>
                <w:color w:val="auto"/>
              </w:rPr>
              <w:t>N/A</w:t>
            </w:r>
          </w:p>
        </w:tc>
        <w:tc>
          <w:tcPr>
            <w:tcW w:w="740" w:type="dxa"/>
            <w:vAlign w:val="bottom"/>
            <w:vMerge w:val="restart"/>
          </w:tcPr>
          <w:p>
            <w:pPr>
              <w:ind w:left="640"/>
              <w:spacing w:after="0"/>
              <w:rPr>
                <w:sz w:val="20"/>
                <w:szCs w:val="20"/>
                <w:color w:val="auto"/>
              </w:rPr>
            </w:pPr>
            <w:r>
              <w:rPr>
                <w:rFonts w:ascii="Arial" w:cs="Arial" w:eastAsia="Arial" w:hAnsi="Arial"/>
                <w:sz w:val="13"/>
                <w:szCs w:val="13"/>
                <w:b w:val="1"/>
                <w:bCs w:val="1"/>
                <w:color w:val="auto"/>
                <w:w w:val="84"/>
              </w:rPr>
              <w:t>N</w:t>
            </w:r>
          </w:p>
        </w:tc>
        <w:tc>
          <w:tcPr>
            <w:tcW w:w="0" w:type="dxa"/>
            <w:vAlign w:val="bottom"/>
          </w:tcPr>
          <w:p>
            <w:pPr>
              <w:spacing w:after="0"/>
              <w:rPr>
                <w:sz w:val="1"/>
                <w:szCs w:val="1"/>
                <w:color w:val="auto"/>
              </w:rPr>
            </w:pPr>
          </w:p>
        </w:tc>
      </w:tr>
      <w:tr>
        <w:trPr>
          <w:trHeight w:val="166"/>
        </w:trPr>
        <w:tc>
          <w:tcPr>
            <w:tcW w:w="3220" w:type="dxa"/>
            <w:vAlign w:val="bottom"/>
            <w:gridSpan w:val="4"/>
          </w:tcPr>
          <w:p>
            <w:pPr>
              <w:ind w:left="300"/>
              <w:spacing w:after="0"/>
              <w:rPr>
                <w:sz w:val="20"/>
                <w:szCs w:val="20"/>
                <w:color w:val="auto"/>
              </w:rPr>
            </w:pPr>
            <w:r>
              <w:rPr>
                <w:rFonts w:ascii="Arial" w:cs="Arial" w:eastAsia="Arial" w:hAnsi="Arial"/>
                <w:sz w:val="13"/>
                <w:szCs w:val="13"/>
                <w:color w:val="auto"/>
              </w:rPr>
              <w:t>weighted assets)</w:t>
            </w:r>
          </w:p>
        </w:tc>
        <w:tc>
          <w:tcPr>
            <w:tcW w:w="4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0" w:type="dxa"/>
            <w:vAlign w:val="bottom"/>
            <w:shd w:val="clear" w:color="auto" w:fill="CCEEFF"/>
          </w:tcPr>
          <w:p>
            <w:pPr>
              <w:spacing w:after="0"/>
              <w:rPr>
                <w:sz w:val="16"/>
                <w:szCs w:val="16"/>
                <w:color w:val="auto"/>
              </w:rPr>
            </w:pPr>
          </w:p>
        </w:tc>
        <w:tc>
          <w:tcPr>
            <w:tcW w:w="288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205,122</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b w:val="1"/>
                <w:bCs w:val="1"/>
                <w:color w:val="auto"/>
              </w:rPr>
              <w:t>16.14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133,408</w:t>
            </w:r>
          </w:p>
        </w:tc>
        <w:tc>
          <w:tcPr>
            <w:tcW w:w="700" w:type="dxa"/>
            <w:vAlign w:val="bottom"/>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10.50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4"/>
              <w:spacing w:after="0"/>
              <w:rPr>
                <w:sz w:val="20"/>
                <w:szCs w:val="20"/>
                <w:color w:val="auto"/>
              </w:rPr>
            </w:pPr>
            <w:r>
              <w:rPr>
                <w:rFonts w:ascii="Arial" w:cs="Arial" w:eastAsia="Arial" w:hAnsi="Arial"/>
                <w:sz w:val="13"/>
                <w:szCs w:val="13"/>
                <w:b w:val="1"/>
                <w:bCs w:val="1"/>
                <w:color w:val="auto"/>
              </w:rPr>
              <w:t>N/A</w:t>
            </w:r>
          </w:p>
        </w:tc>
        <w:tc>
          <w:tcPr>
            <w:tcW w:w="740" w:type="dxa"/>
            <w:vAlign w:val="bottom"/>
            <w:shd w:val="clear" w:color="auto" w:fill="CCEEFF"/>
          </w:tcPr>
          <w:p>
            <w:pPr>
              <w:ind w:left="640"/>
              <w:spacing w:after="0"/>
              <w:rPr>
                <w:sz w:val="20"/>
                <w:szCs w:val="20"/>
                <w:color w:val="auto"/>
              </w:rPr>
            </w:pPr>
            <w:r>
              <w:rPr>
                <w:rFonts w:ascii="Arial" w:cs="Arial" w:eastAsia="Arial" w:hAnsi="Arial"/>
                <w:sz w:val="13"/>
                <w:szCs w:val="13"/>
                <w:b w:val="1"/>
                <w:bCs w:val="1"/>
                <w:color w:val="auto"/>
                <w:w w:val="84"/>
              </w:rPr>
              <w:t>N</w:t>
            </w: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Bank</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2880" w:type="dxa"/>
            <w:vAlign w:val="bottom"/>
            <w:gridSpan w:val="3"/>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151,947</w:t>
            </w:r>
          </w:p>
        </w:tc>
        <w:tc>
          <w:tcPr>
            <w:tcW w:w="1160" w:type="dxa"/>
            <w:vAlign w:val="bottom"/>
          </w:tcPr>
          <w:p>
            <w:pPr>
              <w:jc w:val="right"/>
              <w:ind w:right="234"/>
              <w:spacing w:after="0"/>
              <w:rPr>
                <w:sz w:val="20"/>
                <w:szCs w:val="20"/>
                <w:color w:val="auto"/>
              </w:rPr>
            </w:pPr>
            <w:r>
              <w:rPr>
                <w:rFonts w:ascii="Arial" w:cs="Arial" w:eastAsia="Arial" w:hAnsi="Arial"/>
                <w:sz w:val="13"/>
                <w:szCs w:val="13"/>
                <w:b w:val="1"/>
                <w:bCs w:val="1"/>
                <w:color w:val="auto"/>
              </w:rPr>
              <w:t>7.58</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434"/>
              <w:spacing w:after="0"/>
              <w:rPr>
                <w:sz w:val="20"/>
                <w:szCs w:val="20"/>
                <w:color w:val="auto"/>
              </w:rPr>
            </w:pPr>
            <w:r>
              <w:rPr>
                <w:rFonts w:ascii="Arial" w:cs="Arial" w:eastAsia="Arial" w:hAnsi="Arial"/>
                <w:sz w:val="13"/>
                <w:szCs w:val="13"/>
                <w:b w:val="1"/>
                <w:bCs w:val="1"/>
                <w:color w:val="auto"/>
              </w:rPr>
              <w:t>80,188</w:t>
            </w:r>
          </w:p>
        </w:tc>
        <w:tc>
          <w:tcPr>
            <w:tcW w:w="700" w:type="dxa"/>
            <w:vAlign w:val="bottom"/>
          </w:tcPr>
          <w:p>
            <w:pPr>
              <w:jc w:val="right"/>
              <w:ind w:right="233"/>
              <w:spacing w:after="0"/>
              <w:rPr>
                <w:sz w:val="20"/>
                <w:szCs w:val="20"/>
                <w:color w:val="auto"/>
              </w:rPr>
            </w:pPr>
            <w:r>
              <w:rPr>
                <w:rFonts w:ascii="Arial" w:cs="Arial" w:eastAsia="Arial" w:hAnsi="Arial"/>
                <w:sz w:val="13"/>
                <w:szCs w:val="13"/>
                <w:b w:val="1"/>
                <w:bCs w:val="1"/>
                <w:color w:val="auto"/>
              </w:rPr>
              <w:t>4.00</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40" w:type="dxa"/>
            <w:vAlign w:val="bottom"/>
          </w:tcPr>
          <w:p>
            <w:pPr>
              <w:jc w:val="right"/>
              <w:ind w:right="434"/>
              <w:spacing w:after="0"/>
              <w:rPr>
                <w:sz w:val="20"/>
                <w:szCs w:val="20"/>
                <w:color w:val="auto"/>
              </w:rPr>
            </w:pPr>
            <w:r>
              <w:rPr>
                <w:rFonts w:ascii="Arial" w:cs="Arial" w:eastAsia="Arial" w:hAnsi="Arial"/>
                <w:sz w:val="13"/>
                <w:szCs w:val="13"/>
                <w:b w:val="1"/>
                <w:bCs w:val="1"/>
                <w:color w:val="auto"/>
              </w:rPr>
              <w:t>100,235</w:t>
            </w:r>
          </w:p>
        </w:tc>
        <w:tc>
          <w:tcPr>
            <w:tcW w:w="740" w:type="dxa"/>
            <w:vAlign w:val="bottom"/>
          </w:tcPr>
          <w:p>
            <w:pPr>
              <w:jc w:val="right"/>
              <w:ind w:right="293"/>
              <w:spacing w:after="0"/>
              <w:rPr>
                <w:sz w:val="20"/>
                <w:szCs w:val="20"/>
                <w:color w:val="auto"/>
              </w:rPr>
            </w:pPr>
            <w:r>
              <w:rPr>
                <w:rFonts w:ascii="Arial" w:cs="Arial" w:eastAsia="Arial" w:hAnsi="Arial"/>
                <w:sz w:val="13"/>
                <w:szCs w:val="13"/>
                <w:b w:val="1"/>
                <w:bCs w:val="1"/>
                <w:color w:val="auto"/>
              </w:rPr>
              <w:t>5.00</w:t>
            </w: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288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capital (to risk-weighted assets)</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151,947</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b w:val="1"/>
                <w:bCs w:val="1"/>
                <w:color w:val="auto"/>
              </w:rPr>
              <w:t>12.25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105,433</w:t>
            </w:r>
          </w:p>
        </w:tc>
        <w:tc>
          <w:tcPr>
            <w:tcW w:w="700" w:type="dxa"/>
            <w:vAlign w:val="bottom"/>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8.50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99,231</w:t>
            </w:r>
          </w:p>
        </w:tc>
        <w:tc>
          <w:tcPr>
            <w:tcW w:w="740" w:type="dxa"/>
            <w:vAlign w:val="bottom"/>
            <w:shd w:val="clear" w:color="auto" w:fill="CCEEFF"/>
          </w:tcPr>
          <w:p>
            <w:pPr>
              <w:jc w:val="right"/>
              <w:ind w:right="293"/>
              <w:spacing w:after="0"/>
              <w:rPr>
                <w:sz w:val="20"/>
                <w:szCs w:val="20"/>
                <w:color w:val="auto"/>
              </w:rPr>
            </w:pPr>
            <w:r>
              <w:rPr>
                <w:rFonts w:ascii="Arial" w:cs="Arial" w:eastAsia="Arial" w:hAnsi="Arial"/>
                <w:sz w:val="13"/>
                <w:szCs w:val="13"/>
                <w:b w:val="1"/>
                <w:bCs w:val="1"/>
                <w:color w:val="auto"/>
              </w:rPr>
              <w:t>8.00</w:t>
            </w:r>
          </w:p>
        </w:tc>
        <w:tc>
          <w:tcPr>
            <w:tcW w:w="0" w:type="dxa"/>
            <w:vAlign w:val="bottom"/>
          </w:tcPr>
          <w:p>
            <w:pPr>
              <w:spacing w:after="0"/>
              <w:rPr>
                <w:sz w:val="1"/>
                <w:szCs w:val="1"/>
                <w:color w:val="auto"/>
              </w:rPr>
            </w:pPr>
          </w:p>
        </w:tc>
      </w:tr>
      <w:tr>
        <w:trPr>
          <w:trHeight w:val="145"/>
        </w:trPr>
        <w:tc>
          <w:tcPr>
            <w:tcW w:w="3220" w:type="dxa"/>
            <w:vAlign w:val="bottom"/>
            <w:gridSpan w:val="4"/>
          </w:tcPr>
          <w:p>
            <w:pPr>
              <w:ind w:left="140"/>
              <w:spacing w:after="0" w:line="145" w:lineRule="exact"/>
              <w:rPr>
                <w:sz w:val="20"/>
                <w:szCs w:val="20"/>
                <w:color w:val="auto"/>
              </w:rPr>
            </w:pPr>
            <w:r>
              <w:rPr>
                <w:rFonts w:ascii="Arial" w:cs="Arial" w:eastAsia="Arial" w:hAnsi="Arial"/>
                <w:sz w:val="13"/>
                <w:szCs w:val="13"/>
                <w:color w:val="auto"/>
              </w:rPr>
              <w:t>Common equity tier 1 capital ratio (to risk-</w:t>
            </w:r>
          </w:p>
        </w:tc>
        <w:tc>
          <w:tcPr>
            <w:tcW w:w="4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151,947</w:t>
            </w:r>
          </w:p>
        </w:tc>
        <w:tc>
          <w:tcPr>
            <w:tcW w:w="1160" w:type="dxa"/>
            <w:vAlign w:val="bottom"/>
            <w:vMerge w:val="restart"/>
          </w:tcPr>
          <w:p>
            <w:pPr>
              <w:jc w:val="right"/>
              <w:ind w:right="234"/>
              <w:spacing w:after="0"/>
              <w:rPr>
                <w:sz w:val="20"/>
                <w:szCs w:val="20"/>
                <w:color w:val="auto"/>
              </w:rPr>
            </w:pPr>
            <w:r>
              <w:rPr>
                <w:rFonts w:ascii="Arial" w:cs="Arial" w:eastAsia="Arial" w:hAnsi="Arial"/>
                <w:sz w:val="13"/>
                <w:szCs w:val="13"/>
                <w:b w:val="1"/>
                <w:bCs w:val="1"/>
                <w:color w:val="auto"/>
              </w:rPr>
              <w:t>12.25</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vMerge w:val="restart"/>
          </w:tcPr>
          <w:p>
            <w:pPr>
              <w:jc w:val="right"/>
              <w:ind w:right="434"/>
              <w:spacing w:after="0"/>
              <w:rPr>
                <w:sz w:val="20"/>
                <w:szCs w:val="20"/>
                <w:color w:val="auto"/>
              </w:rPr>
            </w:pPr>
            <w:r>
              <w:rPr>
                <w:rFonts w:ascii="Arial" w:cs="Arial" w:eastAsia="Arial" w:hAnsi="Arial"/>
                <w:sz w:val="13"/>
                <w:szCs w:val="13"/>
                <w:b w:val="1"/>
                <w:bCs w:val="1"/>
                <w:color w:val="auto"/>
              </w:rPr>
              <w:t>86,827</w:t>
            </w:r>
          </w:p>
        </w:tc>
        <w:tc>
          <w:tcPr>
            <w:tcW w:w="70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7.00</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vMerge w:val="restart"/>
          </w:tcPr>
          <w:p>
            <w:pPr>
              <w:jc w:val="right"/>
              <w:ind w:right="434"/>
              <w:spacing w:after="0"/>
              <w:rPr>
                <w:sz w:val="20"/>
                <w:szCs w:val="20"/>
                <w:color w:val="auto"/>
              </w:rPr>
            </w:pPr>
            <w:r>
              <w:rPr>
                <w:rFonts w:ascii="Arial" w:cs="Arial" w:eastAsia="Arial" w:hAnsi="Arial"/>
                <w:sz w:val="13"/>
                <w:szCs w:val="13"/>
                <w:b w:val="1"/>
                <w:bCs w:val="1"/>
                <w:color w:val="auto"/>
              </w:rPr>
              <w:t>80,625</w:t>
            </w:r>
          </w:p>
        </w:tc>
        <w:tc>
          <w:tcPr>
            <w:tcW w:w="740" w:type="dxa"/>
            <w:vAlign w:val="bottom"/>
            <w:vMerge w:val="restart"/>
          </w:tcPr>
          <w:p>
            <w:pPr>
              <w:jc w:val="right"/>
              <w:ind w:right="293"/>
              <w:spacing w:after="0"/>
              <w:rPr>
                <w:sz w:val="20"/>
                <w:szCs w:val="20"/>
                <w:color w:val="auto"/>
              </w:rPr>
            </w:pPr>
            <w:r>
              <w:rPr>
                <w:rFonts w:ascii="Arial" w:cs="Arial" w:eastAsia="Arial" w:hAnsi="Arial"/>
                <w:sz w:val="13"/>
                <w:szCs w:val="13"/>
                <w:b w:val="1"/>
                <w:bCs w:val="1"/>
                <w:color w:val="auto"/>
              </w:rPr>
              <w:t>6.50</w:t>
            </w:r>
          </w:p>
        </w:tc>
        <w:tc>
          <w:tcPr>
            <w:tcW w:w="0" w:type="dxa"/>
            <w:vAlign w:val="bottom"/>
          </w:tcPr>
          <w:p>
            <w:pPr>
              <w:spacing w:after="0"/>
              <w:rPr>
                <w:sz w:val="1"/>
                <w:szCs w:val="1"/>
                <w:color w:val="auto"/>
              </w:rPr>
            </w:pPr>
          </w:p>
        </w:tc>
      </w:tr>
      <w:tr>
        <w:trPr>
          <w:trHeight w:val="166"/>
        </w:trPr>
        <w:tc>
          <w:tcPr>
            <w:tcW w:w="3220" w:type="dxa"/>
            <w:vAlign w:val="bottom"/>
            <w:gridSpan w:val="4"/>
          </w:tcPr>
          <w:p>
            <w:pPr>
              <w:ind w:left="300"/>
              <w:spacing w:after="0"/>
              <w:rPr>
                <w:sz w:val="20"/>
                <w:szCs w:val="20"/>
                <w:color w:val="auto"/>
              </w:rPr>
            </w:pPr>
            <w:r>
              <w:rPr>
                <w:rFonts w:ascii="Arial" w:cs="Arial" w:eastAsia="Arial" w:hAnsi="Arial"/>
                <w:sz w:val="13"/>
                <w:szCs w:val="13"/>
                <w:color w:val="auto"/>
              </w:rPr>
              <w:t>weighted assets)</w:t>
            </w:r>
          </w:p>
        </w:tc>
        <w:tc>
          <w:tcPr>
            <w:tcW w:w="4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0" w:type="dxa"/>
            <w:vAlign w:val="bottom"/>
            <w:shd w:val="clear" w:color="auto" w:fill="CCEEFF"/>
          </w:tcPr>
          <w:p>
            <w:pPr>
              <w:spacing w:after="0"/>
              <w:rPr>
                <w:sz w:val="16"/>
                <w:szCs w:val="16"/>
                <w:color w:val="auto"/>
              </w:rPr>
            </w:pPr>
          </w:p>
        </w:tc>
        <w:tc>
          <w:tcPr>
            <w:tcW w:w="288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167,573</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b w:val="1"/>
                <w:bCs w:val="1"/>
                <w:color w:val="auto"/>
              </w:rPr>
              <w:t>13.51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130,241</w:t>
            </w:r>
          </w:p>
        </w:tc>
        <w:tc>
          <w:tcPr>
            <w:tcW w:w="700" w:type="dxa"/>
            <w:vAlign w:val="bottom"/>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10.50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124,039</w:t>
            </w:r>
          </w:p>
        </w:tc>
        <w:tc>
          <w:tcPr>
            <w:tcW w:w="740" w:type="dxa"/>
            <w:vAlign w:val="bottom"/>
            <w:shd w:val="clear" w:color="auto" w:fill="CCEEFF"/>
          </w:tcPr>
          <w:p>
            <w:pPr>
              <w:jc w:val="right"/>
              <w:ind w:right="293"/>
              <w:spacing w:after="0"/>
              <w:rPr>
                <w:sz w:val="20"/>
                <w:szCs w:val="20"/>
                <w:color w:val="auto"/>
              </w:rPr>
            </w:pPr>
            <w:r>
              <w:rPr>
                <w:rFonts w:ascii="Arial" w:cs="Arial" w:eastAsia="Arial" w:hAnsi="Arial"/>
                <w:sz w:val="13"/>
                <w:szCs w:val="13"/>
                <w:b w:val="1"/>
                <w:bCs w:val="1"/>
                <w:color w:val="auto"/>
              </w:rPr>
              <w:t>10.00</w:t>
            </w: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auto"/>
            </w:tcBorders>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December 31, 2020</w:t>
            </w:r>
          </w:p>
        </w:tc>
        <w:tc>
          <w:tcPr>
            <w:tcW w:w="16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2880" w:type="dxa"/>
            <w:vAlign w:val="bottom"/>
            <w:gridSpan w:val="3"/>
          </w:tcPr>
          <w:p>
            <w:pPr>
              <w:spacing w:after="0"/>
              <w:rPr>
                <w:sz w:val="20"/>
                <w:szCs w:val="20"/>
                <w:color w:val="auto"/>
              </w:rPr>
            </w:pPr>
            <w:r>
              <w:rPr>
                <w:rFonts w:ascii="Arial" w:cs="Arial" w:eastAsia="Arial" w:hAnsi="Arial"/>
                <w:sz w:val="13"/>
                <w:szCs w:val="13"/>
                <w:b w:val="1"/>
                <w:bCs w:val="1"/>
                <w:color w:val="auto"/>
              </w:rPr>
              <w:t>The Company</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288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159,656</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8.78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72,770</w:t>
            </w:r>
          </w:p>
        </w:tc>
        <w:tc>
          <w:tcPr>
            <w:tcW w:w="70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4.00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N/A</w:t>
            </w:r>
          </w:p>
        </w:tc>
        <w:tc>
          <w:tcPr>
            <w:tcW w:w="740" w:type="dxa"/>
            <w:vAlign w:val="bottom"/>
            <w:shd w:val="clear" w:color="auto" w:fill="CCEEFF"/>
          </w:tcPr>
          <w:p>
            <w:pPr>
              <w:ind w:left="640"/>
              <w:spacing w:after="0"/>
              <w:rPr>
                <w:sz w:val="20"/>
                <w:szCs w:val="20"/>
                <w:color w:val="auto"/>
              </w:rPr>
            </w:pPr>
            <w:r>
              <w:rPr>
                <w:rFonts w:ascii="Arial" w:cs="Arial" w:eastAsia="Arial" w:hAnsi="Arial"/>
                <w:sz w:val="13"/>
                <w:szCs w:val="13"/>
                <w:color w:val="auto"/>
                <w:w w:val="84"/>
              </w:rPr>
              <w:t>N</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880" w:type="dxa"/>
            <w:vAlign w:val="bottom"/>
            <w:gridSpan w:val="3"/>
          </w:tcPr>
          <w:p>
            <w:pPr>
              <w:ind w:left="120"/>
              <w:spacing w:after="0"/>
              <w:rPr>
                <w:sz w:val="20"/>
                <w:szCs w:val="20"/>
                <w:color w:val="auto"/>
              </w:rPr>
            </w:pPr>
            <w:r>
              <w:rPr>
                <w:rFonts w:ascii="Arial" w:cs="Arial" w:eastAsia="Arial" w:hAnsi="Arial"/>
                <w:sz w:val="13"/>
                <w:szCs w:val="13"/>
                <w:color w:val="auto"/>
              </w:rPr>
              <w:t>Tier 1 capital (to risk-weighted assets)</w:t>
            </w: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159,656</w:t>
            </w:r>
          </w:p>
        </w:tc>
        <w:tc>
          <w:tcPr>
            <w:tcW w:w="1160" w:type="dxa"/>
            <w:vAlign w:val="bottom"/>
          </w:tcPr>
          <w:p>
            <w:pPr>
              <w:jc w:val="right"/>
              <w:ind w:right="234"/>
              <w:spacing w:after="0"/>
              <w:rPr>
                <w:sz w:val="20"/>
                <w:szCs w:val="20"/>
                <w:color w:val="auto"/>
              </w:rPr>
            </w:pPr>
            <w:r>
              <w:rPr>
                <w:rFonts w:ascii="Arial" w:cs="Arial" w:eastAsia="Arial" w:hAnsi="Arial"/>
                <w:sz w:val="13"/>
                <w:szCs w:val="13"/>
                <w:color w:val="auto"/>
              </w:rPr>
              <w:t>13.10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ind w:right="434"/>
              <w:spacing w:after="0"/>
              <w:rPr>
                <w:sz w:val="20"/>
                <w:szCs w:val="20"/>
                <w:color w:val="auto"/>
              </w:rPr>
            </w:pPr>
            <w:r>
              <w:rPr>
                <w:rFonts w:ascii="Arial" w:cs="Arial" w:eastAsia="Arial" w:hAnsi="Arial"/>
                <w:sz w:val="13"/>
                <w:szCs w:val="13"/>
                <w:color w:val="auto"/>
              </w:rPr>
              <w:t>103,559</w:t>
            </w:r>
          </w:p>
        </w:tc>
        <w:tc>
          <w:tcPr>
            <w:tcW w:w="700" w:type="dxa"/>
            <w:vAlign w:val="bottom"/>
          </w:tcPr>
          <w:p>
            <w:pPr>
              <w:jc w:val="right"/>
              <w:ind w:right="233"/>
              <w:spacing w:after="0"/>
              <w:rPr>
                <w:sz w:val="20"/>
                <w:szCs w:val="20"/>
                <w:color w:val="auto"/>
              </w:rPr>
            </w:pPr>
            <w:r>
              <w:rPr>
                <w:rFonts w:ascii="Arial" w:cs="Arial" w:eastAsia="Arial" w:hAnsi="Arial"/>
                <w:sz w:val="13"/>
                <w:szCs w:val="13"/>
                <w:color w:val="auto"/>
              </w:rPr>
              <w:t>8.50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jc w:val="right"/>
              <w:ind w:right="394"/>
              <w:spacing w:after="0"/>
              <w:rPr>
                <w:sz w:val="20"/>
                <w:szCs w:val="20"/>
                <w:color w:val="auto"/>
              </w:rPr>
            </w:pPr>
            <w:r>
              <w:rPr>
                <w:rFonts w:ascii="Arial" w:cs="Arial" w:eastAsia="Arial" w:hAnsi="Arial"/>
                <w:sz w:val="13"/>
                <w:szCs w:val="13"/>
                <w:color w:val="auto"/>
              </w:rPr>
              <w:t>N/A</w:t>
            </w:r>
          </w:p>
        </w:tc>
        <w:tc>
          <w:tcPr>
            <w:tcW w:w="740" w:type="dxa"/>
            <w:vAlign w:val="bottom"/>
          </w:tcPr>
          <w:p>
            <w:pPr>
              <w:ind w:left="640"/>
              <w:spacing w:after="0"/>
              <w:rPr>
                <w:sz w:val="20"/>
                <w:szCs w:val="20"/>
                <w:color w:val="auto"/>
              </w:rPr>
            </w:pPr>
            <w:r>
              <w:rPr>
                <w:rFonts w:ascii="Arial" w:cs="Arial" w:eastAsia="Arial" w:hAnsi="Arial"/>
                <w:sz w:val="13"/>
                <w:szCs w:val="13"/>
                <w:color w:val="auto"/>
                <w:w w:val="84"/>
              </w:rPr>
              <w:t>N</w:t>
            </w:r>
          </w:p>
        </w:tc>
        <w:tc>
          <w:tcPr>
            <w:tcW w:w="0" w:type="dxa"/>
            <w:vAlign w:val="bottom"/>
          </w:tcPr>
          <w:p>
            <w:pPr>
              <w:spacing w:after="0"/>
              <w:rPr>
                <w:sz w:val="1"/>
                <w:szCs w:val="1"/>
                <w:color w:val="auto"/>
              </w:rPr>
            </w:pPr>
          </w:p>
        </w:tc>
      </w:tr>
      <w:tr>
        <w:trPr>
          <w:trHeight w:val="152"/>
        </w:trPr>
        <w:tc>
          <w:tcPr>
            <w:tcW w:w="322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Common equity tier 1 capital ratio (to risk-</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20" w:type="dxa"/>
            <w:vAlign w:val="bottom"/>
            <w:gridSpan w:val="4"/>
            <w:shd w:val="clear" w:color="auto" w:fill="CCEEFF"/>
          </w:tcPr>
          <w:p>
            <w:pPr>
              <w:ind w:left="300"/>
              <w:spacing w:after="0"/>
              <w:rPr>
                <w:sz w:val="20"/>
                <w:szCs w:val="20"/>
                <w:color w:val="auto"/>
              </w:rPr>
            </w:pPr>
            <w:r>
              <w:rPr>
                <w:rFonts w:ascii="Arial" w:cs="Arial" w:eastAsia="Arial" w:hAnsi="Arial"/>
                <w:sz w:val="13"/>
                <w:szCs w:val="13"/>
                <w:color w:val="auto"/>
              </w:rPr>
              <w:t>weighted assets)</w:t>
            </w: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157,594</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12.94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85,284</w:t>
            </w:r>
          </w:p>
        </w:tc>
        <w:tc>
          <w:tcPr>
            <w:tcW w:w="70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7.00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N/A</w:t>
            </w:r>
          </w:p>
        </w:tc>
        <w:tc>
          <w:tcPr>
            <w:tcW w:w="740" w:type="dxa"/>
            <w:vAlign w:val="bottom"/>
            <w:shd w:val="clear" w:color="auto" w:fill="CCEEFF"/>
          </w:tcPr>
          <w:p>
            <w:pPr>
              <w:ind w:left="640"/>
              <w:spacing w:after="0"/>
              <w:rPr>
                <w:sz w:val="20"/>
                <w:szCs w:val="20"/>
                <w:color w:val="auto"/>
              </w:rPr>
            </w:pPr>
            <w:r>
              <w:rPr>
                <w:rFonts w:ascii="Arial" w:cs="Arial" w:eastAsia="Arial" w:hAnsi="Arial"/>
                <w:sz w:val="13"/>
                <w:szCs w:val="13"/>
                <w:color w:val="auto"/>
                <w:w w:val="84"/>
              </w:rPr>
              <w:t>N</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880" w:type="dxa"/>
            <w:vAlign w:val="bottom"/>
            <w:gridSpan w:val="3"/>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185,008</w:t>
            </w:r>
          </w:p>
        </w:tc>
        <w:tc>
          <w:tcPr>
            <w:tcW w:w="1160" w:type="dxa"/>
            <w:vAlign w:val="bottom"/>
          </w:tcPr>
          <w:p>
            <w:pPr>
              <w:jc w:val="right"/>
              <w:ind w:right="234"/>
              <w:spacing w:after="0"/>
              <w:rPr>
                <w:sz w:val="20"/>
                <w:szCs w:val="20"/>
                <w:color w:val="auto"/>
              </w:rPr>
            </w:pPr>
            <w:r>
              <w:rPr>
                <w:rFonts w:ascii="Arial" w:cs="Arial" w:eastAsia="Arial" w:hAnsi="Arial"/>
                <w:sz w:val="13"/>
                <w:szCs w:val="13"/>
                <w:color w:val="auto"/>
              </w:rPr>
              <w:t>15.19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ind w:right="434"/>
              <w:spacing w:after="0"/>
              <w:rPr>
                <w:sz w:val="20"/>
                <w:szCs w:val="20"/>
                <w:color w:val="auto"/>
              </w:rPr>
            </w:pPr>
            <w:r>
              <w:rPr>
                <w:rFonts w:ascii="Arial" w:cs="Arial" w:eastAsia="Arial" w:hAnsi="Arial"/>
                <w:sz w:val="13"/>
                <w:szCs w:val="13"/>
                <w:color w:val="auto"/>
              </w:rPr>
              <w:t>127,926</w:t>
            </w:r>
          </w:p>
        </w:tc>
        <w:tc>
          <w:tcPr>
            <w:tcW w:w="700" w:type="dxa"/>
            <w:vAlign w:val="bottom"/>
          </w:tcPr>
          <w:p>
            <w:pPr>
              <w:jc w:val="right"/>
              <w:ind w:right="233"/>
              <w:spacing w:after="0"/>
              <w:rPr>
                <w:sz w:val="20"/>
                <w:szCs w:val="20"/>
                <w:color w:val="auto"/>
              </w:rPr>
            </w:pPr>
            <w:r>
              <w:rPr>
                <w:rFonts w:ascii="Arial" w:cs="Arial" w:eastAsia="Arial" w:hAnsi="Arial"/>
                <w:sz w:val="13"/>
                <w:szCs w:val="13"/>
                <w:color w:val="auto"/>
              </w:rPr>
              <w:t>10.50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jc w:val="right"/>
              <w:ind w:right="394"/>
              <w:spacing w:after="0"/>
              <w:rPr>
                <w:sz w:val="20"/>
                <w:szCs w:val="20"/>
                <w:color w:val="auto"/>
              </w:rPr>
            </w:pPr>
            <w:r>
              <w:rPr>
                <w:rFonts w:ascii="Arial" w:cs="Arial" w:eastAsia="Arial" w:hAnsi="Arial"/>
                <w:sz w:val="13"/>
                <w:szCs w:val="13"/>
                <w:color w:val="auto"/>
              </w:rPr>
              <w:t>N/A</w:t>
            </w:r>
          </w:p>
        </w:tc>
        <w:tc>
          <w:tcPr>
            <w:tcW w:w="740" w:type="dxa"/>
            <w:vAlign w:val="bottom"/>
          </w:tcPr>
          <w:p>
            <w:pPr>
              <w:ind w:left="640"/>
              <w:spacing w:after="0"/>
              <w:rPr>
                <w:sz w:val="20"/>
                <w:szCs w:val="20"/>
                <w:color w:val="auto"/>
              </w:rPr>
            </w:pPr>
            <w:r>
              <w:rPr>
                <w:rFonts w:ascii="Arial" w:cs="Arial" w:eastAsia="Arial" w:hAnsi="Arial"/>
                <w:sz w:val="13"/>
                <w:szCs w:val="13"/>
                <w:color w:val="auto"/>
                <w:w w:val="84"/>
              </w:rPr>
              <w:t>N</w:t>
            </w:r>
          </w:p>
        </w:tc>
        <w:tc>
          <w:tcPr>
            <w:tcW w:w="0" w:type="dxa"/>
            <w:vAlign w:val="bottom"/>
          </w:tcPr>
          <w:p>
            <w:pPr>
              <w:spacing w:after="0"/>
              <w:rPr>
                <w:sz w:val="1"/>
                <w:szCs w:val="1"/>
                <w:color w:val="auto"/>
              </w:rPr>
            </w:pPr>
          </w:p>
        </w:tc>
      </w:tr>
      <w:tr>
        <w:trPr>
          <w:trHeight w:val="218"/>
        </w:trPr>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2880" w:type="dxa"/>
            <w:vAlign w:val="bottom"/>
            <w:gridSpan w:val="3"/>
          </w:tcPr>
          <w:p>
            <w:pPr>
              <w:spacing w:after="0"/>
              <w:rPr>
                <w:sz w:val="20"/>
                <w:szCs w:val="20"/>
                <w:color w:val="auto"/>
              </w:rPr>
            </w:pPr>
            <w:r>
              <w:rPr>
                <w:rFonts w:ascii="Arial" w:cs="Arial" w:eastAsia="Arial" w:hAnsi="Arial"/>
                <w:sz w:val="13"/>
                <w:szCs w:val="13"/>
                <w:b w:val="1"/>
                <w:bCs w:val="1"/>
                <w:color w:val="auto"/>
              </w:rPr>
              <w:t>The Bank</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288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135,527</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7.45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72,770</w:t>
            </w:r>
          </w:p>
        </w:tc>
        <w:tc>
          <w:tcPr>
            <w:tcW w:w="70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4.00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90,962</w:t>
            </w:r>
          </w:p>
        </w:tc>
        <w:tc>
          <w:tcPr>
            <w:tcW w:w="74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880" w:type="dxa"/>
            <w:vAlign w:val="bottom"/>
            <w:gridSpan w:val="3"/>
          </w:tcPr>
          <w:p>
            <w:pPr>
              <w:ind w:left="120"/>
              <w:spacing w:after="0"/>
              <w:rPr>
                <w:sz w:val="20"/>
                <w:szCs w:val="20"/>
                <w:color w:val="auto"/>
              </w:rPr>
            </w:pPr>
            <w:r>
              <w:rPr>
                <w:rFonts w:ascii="Arial" w:cs="Arial" w:eastAsia="Arial" w:hAnsi="Arial"/>
                <w:sz w:val="13"/>
                <w:szCs w:val="13"/>
                <w:color w:val="auto"/>
              </w:rPr>
              <w:t>Tier 1 capital (to risk-weighted assets)</w:t>
            </w: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135,527</w:t>
            </w:r>
          </w:p>
        </w:tc>
        <w:tc>
          <w:tcPr>
            <w:tcW w:w="1160" w:type="dxa"/>
            <w:vAlign w:val="bottom"/>
          </w:tcPr>
          <w:p>
            <w:pPr>
              <w:jc w:val="right"/>
              <w:ind w:right="234"/>
              <w:spacing w:after="0"/>
              <w:rPr>
                <w:sz w:val="20"/>
                <w:szCs w:val="20"/>
                <w:color w:val="auto"/>
              </w:rPr>
            </w:pPr>
            <w:r>
              <w:rPr>
                <w:rFonts w:ascii="Arial" w:cs="Arial" w:eastAsia="Arial" w:hAnsi="Arial"/>
                <w:sz w:val="13"/>
                <w:szCs w:val="13"/>
                <w:color w:val="auto"/>
              </w:rPr>
              <w:t>11.34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ind w:right="434"/>
              <w:spacing w:after="0"/>
              <w:rPr>
                <w:sz w:val="20"/>
                <w:szCs w:val="20"/>
                <w:color w:val="auto"/>
              </w:rPr>
            </w:pPr>
            <w:r>
              <w:rPr>
                <w:rFonts w:ascii="Arial" w:cs="Arial" w:eastAsia="Arial" w:hAnsi="Arial"/>
                <w:sz w:val="13"/>
                <w:szCs w:val="13"/>
                <w:color w:val="auto"/>
              </w:rPr>
              <w:t>101,619</w:t>
            </w:r>
          </w:p>
        </w:tc>
        <w:tc>
          <w:tcPr>
            <w:tcW w:w="700" w:type="dxa"/>
            <w:vAlign w:val="bottom"/>
          </w:tcPr>
          <w:p>
            <w:pPr>
              <w:jc w:val="right"/>
              <w:ind w:right="233"/>
              <w:spacing w:after="0"/>
              <w:rPr>
                <w:sz w:val="20"/>
                <w:szCs w:val="20"/>
                <w:color w:val="auto"/>
              </w:rPr>
            </w:pPr>
            <w:r>
              <w:rPr>
                <w:rFonts w:ascii="Arial" w:cs="Arial" w:eastAsia="Arial" w:hAnsi="Arial"/>
                <w:sz w:val="13"/>
                <w:szCs w:val="13"/>
                <w:color w:val="auto"/>
              </w:rPr>
              <w:t>8.50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jc w:val="right"/>
              <w:ind w:right="434"/>
              <w:spacing w:after="0"/>
              <w:rPr>
                <w:sz w:val="20"/>
                <w:szCs w:val="20"/>
                <w:color w:val="auto"/>
              </w:rPr>
            </w:pPr>
            <w:r>
              <w:rPr>
                <w:rFonts w:ascii="Arial" w:cs="Arial" w:eastAsia="Arial" w:hAnsi="Arial"/>
                <w:sz w:val="13"/>
                <w:szCs w:val="13"/>
                <w:color w:val="auto"/>
              </w:rPr>
              <w:t>95,642</w:t>
            </w:r>
          </w:p>
        </w:tc>
        <w:tc>
          <w:tcPr>
            <w:tcW w:w="740" w:type="dxa"/>
            <w:vAlign w:val="bottom"/>
          </w:tcPr>
          <w:p>
            <w:pPr>
              <w:jc w:val="right"/>
              <w:ind w:right="293"/>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52"/>
        </w:trPr>
        <w:tc>
          <w:tcPr>
            <w:tcW w:w="322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Common equity tier 1 capital ratio (to risk-</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20" w:type="dxa"/>
            <w:vAlign w:val="bottom"/>
            <w:gridSpan w:val="4"/>
            <w:shd w:val="clear" w:color="auto" w:fill="CCEEFF"/>
          </w:tcPr>
          <w:p>
            <w:pPr>
              <w:ind w:left="300"/>
              <w:spacing w:after="0"/>
              <w:rPr>
                <w:sz w:val="20"/>
                <w:szCs w:val="20"/>
                <w:color w:val="auto"/>
              </w:rPr>
            </w:pPr>
            <w:r>
              <w:rPr>
                <w:rFonts w:ascii="Arial" w:cs="Arial" w:eastAsia="Arial" w:hAnsi="Arial"/>
                <w:sz w:val="13"/>
                <w:szCs w:val="13"/>
                <w:color w:val="auto"/>
              </w:rPr>
              <w:t>weighted assets)</w:t>
            </w: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135,527</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11.34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83,686</w:t>
            </w:r>
          </w:p>
        </w:tc>
        <w:tc>
          <w:tcPr>
            <w:tcW w:w="70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7.00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77,709</w:t>
            </w:r>
          </w:p>
        </w:tc>
        <w:tc>
          <w:tcPr>
            <w:tcW w:w="74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6.50</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2880" w:type="dxa"/>
            <w:vAlign w:val="bottom"/>
            <w:gridSpan w:val="3"/>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150,593</w:t>
            </w:r>
          </w:p>
        </w:tc>
        <w:tc>
          <w:tcPr>
            <w:tcW w:w="1160" w:type="dxa"/>
            <w:vAlign w:val="bottom"/>
          </w:tcPr>
          <w:p>
            <w:pPr>
              <w:jc w:val="right"/>
              <w:ind w:right="234"/>
              <w:spacing w:after="0"/>
              <w:rPr>
                <w:sz w:val="20"/>
                <w:szCs w:val="20"/>
                <w:color w:val="auto"/>
              </w:rPr>
            </w:pPr>
            <w:r>
              <w:rPr>
                <w:rFonts w:ascii="Arial" w:cs="Arial" w:eastAsia="Arial" w:hAnsi="Arial"/>
                <w:sz w:val="13"/>
                <w:szCs w:val="13"/>
                <w:color w:val="auto"/>
              </w:rPr>
              <w:t>12.60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ind w:right="434"/>
              <w:spacing w:after="0"/>
              <w:rPr>
                <w:sz w:val="20"/>
                <w:szCs w:val="20"/>
                <w:color w:val="auto"/>
              </w:rPr>
            </w:pPr>
            <w:r>
              <w:rPr>
                <w:rFonts w:ascii="Arial" w:cs="Arial" w:eastAsia="Arial" w:hAnsi="Arial"/>
                <w:sz w:val="13"/>
                <w:szCs w:val="13"/>
                <w:color w:val="auto"/>
              </w:rPr>
              <w:t>125,530</w:t>
            </w:r>
          </w:p>
        </w:tc>
        <w:tc>
          <w:tcPr>
            <w:tcW w:w="700" w:type="dxa"/>
            <w:vAlign w:val="bottom"/>
          </w:tcPr>
          <w:p>
            <w:pPr>
              <w:jc w:val="right"/>
              <w:ind w:right="233"/>
              <w:spacing w:after="0"/>
              <w:rPr>
                <w:sz w:val="20"/>
                <w:szCs w:val="20"/>
                <w:color w:val="auto"/>
              </w:rPr>
            </w:pPr>
            <w:r>
              <w:rPr>
                <w:rFonts w:ascii="Arial" w:cs="Arial" w:eastAsia="Arial" w:hAnsi="Arial"/>
                <w:sz w:val="13"/>
                <w:szCs w:val="13"/>
                <w:color w:val="auto"/>
              </w:rPr>
              <w:t>10.50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jc w:val="right"/>
              <w:ind w:right="434"/>
              <w:spacing w:after="0"/>
              <w:rPr>
                <w:sz w:val="20"/>
                <w:szCs w:val="20"/>
                <w:color w:val="auto"/>
              </w:rPr>
            </w:pPr>
            <w:r>
              <w:rPr>
                <w:rFonts w:ascii="Arial" w:cs="Arial" w:eastAsia="Arial" w:hAnsi="Arial"/>
                <w:sz w:val="13"/>
                <w:szCs w:val="13"/>
                <w:color w:val="auto"/>
              </w:rPr>
              <w:t>119,552</w:t>
            </w:r>
          </w:p>
        </w:tc>
        <w:tc>
          <w:tcPr>
            <w:tcW w:w="740" w:type="dxa"/>
            <w:vAlign w:val="bottom"/>
          </w:tcPr>
          <w:p>
            <w:pPr>
              <w:jc w:val="right"/>
              <w:ind w:right="293"/>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We have contractual obligations to make future payments on debt agreements. While our liquidity monitoring and management consider both present and future demands for and sources of liquidity, the following table of contractual commitments focuses only on future obligations and summarizes our contractual obligations as of June 30, 2021.</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CONTRACTUAL OBLIGATIONS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As of June 30, 2021</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40" w:type="dxa"/>
            <w:vAlign w:val="bottom"/>
          </w:tcPr>
          <w:p>
            <w:pPr>
              <w:spacing w:after="0"/>
              <w:rPr>
                <w:sz w:val="12"/>
                <w:szCs w:val="12"/>
                <w:color w:val="auto"/>
              </w:rPr>
            </w:pP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Due in One Year or</w:t>
            </w:r>
          </w:p>
        </w:tc>
        <w:tc>
          <w:tcPr>
            <w:tcW w:w="160" w:type="dxa"/>
            <w:vAlign w:val="bottom"/>
          </w:tcPr>
          <w:p>
            <w:pPr>
              <w:spacing w:after="0"/>
              <w:rPr>
                <w:sz w:val="12"/>
                <w:szCs w:val="12"/>
                <w:color w:val="auto"/>
              </w:rPr>
            </w:pPr>
          </w:p>
        </w:tc>
        <w:tc>
          <w:tcPr>
            <w:tcW w:w="1280" w:type="dxa"/>
            <w:vAlign w:val="bottom"/>
          </w:tcPr>
          <w:p>
            <w:pPr>
              <w:jc w:val="center"/>
              <w:ind w:right="109"/>
              <w:spacing w:after="0" w:line="139" w:lineRule="exact"/>
              <w:rPr>
                <w:sz w:val="20"/>
                <w:szCs w:val="20"/>
                <w:color w:val="auto"/>
              </w:rPr>
            </w:pPr>
            <w:r>
              <w:rPr>
                <w:rFonts w:ascii="Arial" w:cs="Arial" w:eastAsia="Arial" w:hAnsi="Arial"/>
                <w:sz w:val="14"/>
                <w:szCs w:val="14"/>
                <w:b w:val="1"/>
                <w:bCs w:val="1"/>
                <w:color w:val="auto"/>
                <w:w w:val="99"/>
              </w:rPr>
              <w:t>Due After One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Due After Three</w:t>
            </w:r>
          </w:p>
        </w:tc>
        <w:tc>
          <w:tcPr>
            <w:tcW w:w="14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Due After 5</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0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9"/>
              <w:spacing w:after="0" w:line="133" w:lineRule="exact"/>
              <w:rPr>
                <w:sz w:val="20"/>
                <w:szCs w:val="20"/>
                <w:color w:val="auto"/>
              </w:rPr>
            </w:pPr>
            <w:r>
              <w:rPr>
                <w:rFonts w:ascii="Arial" w:cs="Arial" w:eastAsia="Arial" w:hAnsi="Arial"/>
                <w:sz w:val="14"/>
                <w:szCs w:val="14"/>
                <w:b w:val="1"/>
                <w:bCs w:val="1"/>
                <w:color w:val="auto"/>
              </w:rPr>
              <w:t>Through Three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404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Less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9"/>
              </w:rPr>
              <w:t>Years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9"/>
              </w:rPr>
              <w:t>Through Five Years</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FHLB advances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185"/>
        </w:trPr>
        <w:tc>
          <w:tcPr>
            <w:tcW w:w="4040" w:type="dxa"/>
            <w:vAlign w:val="bottom"/>
          </w:tcPr>
          <w:p>
            <w:pPr>
              <w:ind w:left="20"/>
              <w:spacing w:after="0"/>
              <w:rPr>
                <w:sz w:val="20"/>
                <w:szCs w:val="20"/>
                <w:color w:val="auto"/>
              </w:rPr>
            </w:pPr>
            <w:r>
              <w:rPr>
                <w:rFonts w:ascii="Arial" w:cs="Arial" w:eastAsia="Arial" w:hAnsi="Arial"/>
                <w:sz w:val="14"/>
                <w:szCs w:val="14"/>
                <w:color w:val="auto"/>
              </w:rPr>
              <w:t>Certificates of deposit $100,000 or more</w:t>
            </w:r>
          </w:p>
        </w:tc>
        <w:tc>
          <w:tcPr>
            <w:tcW w:w="30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179,354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91,519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272,002</w:t>
            </w:r>
          </w:p>
        </w:tc>
        <w:tc>
          <w:tcPr>
            <w:tcW w:w="0" w:type="dxa"/>
            <w:vAlign w:val="bottom"/>
          </w:tcPr>
          <w:p>
            <w:pPr>
              <w:spacing w:after="0"/>
              <w:rPr>
                <w:sz w:val="1"/>
                <w:szCs w:val="1"/>
                <w:color w:val="auto"/>
              </w:rPr>
            </w:pPr>
          </w:p>
        </w:tc>
      </w:tr>
      <w:tr>
        <w:trPr>
          <w:trHeight w:val="185"/>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Certificates of deposit less than $100,000</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35,165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5,125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40,836</w:t>
            </w:r>
          </w:p>
        </w:tc>
        <w:tc>
          <w:tcPr>
            <w:tcW w:w="0" w:type="dxa"/>
            <w:vAlign w:val="bottom"/>
          </w:tcPr>
          <w:p>
            <w:pPr>
              <w:spacing w:after="0"/>
              <w:rPr>
                <w:sz w:val="1"/>
                <w:szCs w:val="1"/>
                <w:color w:val="auto"/>
              </w:rPr>
            </w:pPr>
          </w:p>
        </w:tc>
      </w:tr>
      <w:tr>
        <w:trPr>
          <w:trHeight w:val="185"/>
        </w:trPr>
        <w:tc>
          <w:tcPr>
            <w:tcW w:w="4040" w:type="dxa"/>
            <w:vAlign w:val="bottom"/>
          </w:tcPr>
          <w:p>
            <w:pPr>
              <w:ind w:left="20"/>
              <w:spacing w:after="0"/>
              <w:rPr>
                <w:sz w:val="20"/>
                <w:szCs w:val="20"/>
                <w:color w:val="auto"/>
              </w:rPr>
            </w:pPr>
            <w:r>
              <w:rPr>
                <w:rFonts w:ascii="Arial" w:cs="Arial" w:eastAsia="Arial" w:hAnsi="Arial"/>
                <w:sz w:val="14"/>
                <w:szCs w:val="14"/>
                <w:color w:val="auto"/>
              </w:rPr>
              <w:t>Lease payments</w:t>
            </w:r>
          </w:p>
        </w:tc>
        <w:tc>
          <w:tcPr>
            <w:tcW w:w="30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3,486</w:t>
            </w:r>
          </w:p>
        </w:tc>
        <w:tc>
          <w:tcPr>
            <w:tcW w:w="0" w:type="dxa"/>
            <w:vAlign w:val="bottom"/>
          </w:tcPr>
          <w:p>
            <w:pPr>
              <w:spacing w:after="0"/>
              <w:rPr>
                <w:sz w:val="1"/>
                <w:szCs w:val="1"/>
                <w:color w:val="auto"/>
              </w:rPr>
            </w:pPr>
          </w:p>
        </w:tc>
      </w:tr>
      <w:tr>
        <w:trPr>
          <w:trHeight w:val="18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Subordinated debt</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12,062</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12,062</w:t>
            </w:r>
          </w:p>
        </w:tc>
        <w:tc>
          <w:tcPr>
            <w:tcW w:w="0" w:type="dxa"/>
            <w:vAlign w:val="bottom"/>
          </w:tcPr>
          <w:p>
            <w:pPr>
              <w:spacing w:after="0"/>
              <w:rPr>
                <w:sz w:val="1"/>
                <w:szCs w:val="1"/>
                <w:color w:val="auto"/>
              </w:rPr>
            </w:pPr>
          </w:p>
        </w:tc>
      </w:tr>
      <w:tr>
        <w:trPr>
          <w:trHeight w:val="179"/>
        </w:trPr>
        <w:tc>
          <w:tcPr>
            <w:tcW w:w="4040" w:type="dxa"/>
            <w:vAlign w:val="bottom"/>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215,185</w:t>
            </w:r>
          </w:p>
        </w:tc>
        <w:tc>
          <w:tcPr>
            <w:tcW w:w="12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98,662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24,457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12,082</w:t>
            </w:r>
          </w:p>
        </w:tc>
        <w:tc>
          <w:tcPr>
            <w:tcW w:w="12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350,386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3" w:name="page64"/>
    <w:bookmarkEnd w:id="63"/>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Items</w:t>
      </w:r>
    </w:p>
    <w:p>
      <w:pPr>
        <w:spacing w:after="0" w:line="235"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generally used in making these commitments as for on-balance sheet instruments. We are not aware of any accounting loss to be incurred by funding these commitments; however, we maintain an allowance for off-balance sheet credit risk which is recorded in other liabilities on the consolidated balance sheet.</w:t>
      </w:r>
    </w:p>
    <w:p>
      <w:pPr>
        <w:spacing w:after="0" w:line="211"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the actual future cash funding requirements.</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CREDIT EXTENSION COMMITMENTS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As of June 30, 2021</w:t>
            </w:r>
          </w:p>
        </w:tc>
        <w:tc>
          <w:tcPr>
            <w:tcW w:w="5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18"/>
        </w:trPr>
        <w:tc>
          <w:tcPr>
            <w:tcW w:w="544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66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w:t>
            </w:r>
          </w:p>
        </w:tc>
        <w:tc>
          <w:tcPr>
            <w:tcW w:w="21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363,334</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5440" w:type="dxa"/>
            <w:vAlign w:val="bottom"/>
          </w:tcPr>
          <w:p>
            <w:pPr>
              <w:ind w:left="340"/>
              <w:spacing w:after="0"/>
              <w:rPr>
                <w:sz w:val="20"/>
                <w:szCs w:val="20"/>
                <w:color w:val="auto"/>
              </w:rPr>
            </w:pPr>
            <w:r>
              <w:rPr>
                <w:rFonts w:ascii="Arial" w:cs="Arial" w:eastAsia="Arial" w:hAnsi="Arial"/>
                <w:sz w:val="16"/>
                <w:szCs w:val="16"/>
                <w:color w:val="auto"/>
              </w:rPr>
              <w:t>Unfunded lines of credit</w:t>
            </w:r>
          </w:p>
        </w:tc>
        <w:tc>
          <w:tcPr>
            <w:tcW w:w="660" w:type="dxa"/>
            <w:vAlign w:val="bottom"/>
            <w:vMerge w:val="continue"/>
          </w:tcPr>
          <w:p>
            <w:pPr>
              <w:spacing w:after="0"/>
              <w:rPr>
                <w:sz w:val="20"/>
                <w:szCs w:val="20"/>
                <w:color w:val="auto"/>
              </w:rPr>
            </w:pPr>
          </w:p>
        </w:tc>
        <w:tc>
          <w:tcPr>
            <w:tcW w:w="2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331,5</w:t>
            </w:r>
          </w:p>
        </w:tc>
        <w:tc>
          <w:tcPr>
            <w:tcW w:w="0" w:type="dxa"/>
            <w:vAlign w:val="bottom"/>
          </w:tcPr>
          <w:p>
            <w:pPr>
              <w:spacing w:after="0"/>
              <w:rPr>
                <w:sz w:val="1"/>
                <w:szCs w:val="1"/>
                <w:color w:val="auto"/>
              </w:rPr>
            </w:pPr>
          </w:p>
        </w:tc>
      </w:tr>
      <w:tr>
        <w:trPr>
          <w:trHeight w:val="214"/>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to originate residential loans held for sale</w:t>
            </w:r>
          </w:p>
        </w:tc>
        <w:tc>
          <w:tcPr>
            <w:tcW w:w="66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3,949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2"/>
        </w:trPr>
        <w:tc>
          <w:tcPr>
            <w:tcW w:w="5440" w:type="dxa"/>
            <w:vAlign w:val="bottom"/>
          </w:tcPr>
          <w:p>
            <w:pPr>
              <w:ind w:left="340"/>
              <w:spacing w:after="0"/>
              <w:rPr>
                <w:sz w:val="20"/>
                <w:szCs w:val="20"/>
                <w:color w:val="auto"/>
              </w:rPr>
            </w:pPr>
            <w:r>
              <w:rPr>
                <w:rFonts w:ascii="Arial" w:cs="Arial" w:eastAsia="Arial" w:hAnsi="Arial"/>
                <w:sz w:val="16"/>
                <w:szCs w:val="16"/>
                <w:color w:val="auto"/>
              </w:rPr>
              <w:t>Letters of credit</w:t>
            </w:r>
          </w:p>
        </w:tc>
        <w:tc>
          <w:tcPr>
            <w:tcW w:w="660" w:type="dxa"/>
            <w:vAlign w:val="bottom"/>
          </w:tcPr>
          <w:p>
            <w:pPr>
              <w:spacing w:after="0"/>
              <w:rPr>
                <w:sz w:val="18"/>
                <w:szCs w:val="18"/>
                <w:color w:val="auto"/>
              </w:rPr>
            </w:pPr>
          </w:p>
        </w:tc>
        <w:tc>
          <w:tcPr>
            <w:tcW w:w="2180" w:type="dxa"/>
            <w:vAlign w:val="bottom"/>
          </w:tcPr>
          <w:p>
            <w:pPr>
              <w:jc w:val="right"/>
              <w:ind w:right="2"/>
              <w:spacing w:after="0"/>
              <w:rPr>
                <w:sz w:val="20"/>
                <w:szCs w:val="20"/>
                <w:color w:val="auto"/>
              </w:rPr>
            </w:pPr>
            <w:r>
              <w:rPr>
                <w:rFonts w:ascii="Arial" w:cs="Arial" w:eastAsia="Arial" w:hAnsi="Arial"/>
                <w:sz w:val="16"/>
                <w:szCs w:val="16"/>
                <w:b w:val="1"/>
                <w:bCs w:val="1"/>
                <w:color w:val="auto"/>
              </w:rPr>
              <w:t>5,132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Commitment to fund other investments</w:t>
            </w:r>
          </w:p>
        </w:tc>
        <w:tc>
          <w:tcPr>
            <w:tcW w:w="66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8,000</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40" w:type="dxa"/>
            <w:vAlign w:val="bottom"/>
          </w:tcPr>
          <w:p>
            <w:pPr>
              <w:ind w:left="460"/>
              <w:spacing w:after="0"/>
              <w:rPr>
                <w:sz w:val="20"/>
                <w:szCs w:val="20"/>
                <w:color w:val="auto"/>
              </w:rPr>
            </w:pPr>
            <w:r>
              <w:rPr>
                <w:rFonts w:ascii="Arial" w:cs="Arial" w:eastAsia="Arial" w:hAnsi="Arial"/>
                <w:sz w:val="16"/>
                <w:szCs w:val="16"/>
                <w:color w:val="auto"/>
              </w:rPr>
              <w:t>Total credit extension commitments</w:t>
            </w:r>
          </w:p>
        </w:tc>
        <w:tc>
          <w:tcPr>
            <w:tcW w:w="6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w:t>
            </w:r>
          </w:p>
        </w:tc>
        <w:tc>
          <w:tcPr>
            <w:tcW w:w="2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380,415</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Unfunded lines of credit represent unused credit facilities to our current borrowers. Lines of credit generally have variable interest rates. Letters of credit are conditional commitments issued by us to guarantee the performance of a customer to a third party.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client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w:t>
      </w:r>
    </w:p>
    <w:p>
      <w:pPr>
        <w:spacing w:after="0" w:line="211"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We seek to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we do not control the extent to which the lines of credit may be used.</w:t>
      </w:r>
    </w:p>
    <w:p>
      <w:pPr>
        <w:spacing w:after="0" w:line="208"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7"/>
          <w:szCs w:val="17"/>
          <w:color w:val="auto"/>
        </w:rPr>
        <w:t>Commitments to extend credit are agreements to lend funds to a customer, as long as there is no violation of any condition established in the contract.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4" w:name="page65"/>
    <w:bookmarkEnd w:id="64"/>
    <w:p>
      <w:pPr>
        <w:spacing w:after="0" w:line="18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along with the interest rate lock commitments and forward commitments for the future delivery of mortgage loans to third party investors, are considered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 w:cs="Arial" w:eastAsia="Arial" w:hAnsi="Arial"/>
          <w:sz w:val="18"/>
          <w:szCs w:val="18"/>
          <w:b w:val="1"/>
          <w:bCs w:val="1"/>
          <w:color w:val="auto"/>
        </w:rPr>
        <w:t>.</w:t>
      </w:r>
      <w:r>
        <w:rPr>
          <w:rFonts w:ascii="Arial" w:cs="Arial" w:eastAsia="Arial" w:hAnsi="Arial"/>
          <w:sz w:val="18"/>
          <w:szCs w:val="18"/>
          <w:color w:val="auto"/>
        </w:rPr>
        <w:t xml:space="preserve"> We endeavor to manage our sensitivity position within our established guidelines.</w:t>
      </w:r>
    </w:p>
    <w:p>
      <w:pPr>
        <w:spacing w:after="0" w:line="20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 earning assets and interest 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20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We hedge the interest rate risks of our available for sale mortgage pipeline by using mortgage-backed securities, and short positions. Based on the nature of our operations, we are not subject to foreign exchange or commodity price risk. We do not own any trading assets.</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exposure to interest rate risk is managed by the Bank’s Asset/Liability Management Committee (“ALCO”) in accordance with policies approved by our board of directors. The committee formulates strategies based on perceived levels of interest rate risk. In determining the appropriate level of interest rate risk, the committee considers the impact on earnings and capital of the current outlook on interest rates, potential changes in interest rates, regional economies, liquidity, business strategies and other factors. 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Management employs methodologies to manage interest rate risk, which include an analysis of relationships between interest earning assets and interest bearing liabilities and an interest rate shock simulation model.</w:t>
      </w:r>
    </w:p>
    <w:p>
      <w:pPr>
        <w:spacing w:after="0" w:line="2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SENSITIVITY GAP</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After One Month</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After Three</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Greater Than One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Within One Month</w:t>
            </w:r>
          </w:p>
        </w:tc>
        <w:tc>
          <w:tcPr>
            <w:tcW w:w="140" w:type="dxa"/>
            <w:vAlign w:val="bottom"/>
          </w:tcPr>
          <w:p>
            <w:pPr>
              <w:spacing w:after="0"/>
              <w:rPr>
                <w:sz w:val="11"/>
                <w:szCs w:val="11"/>
                <w:color w:val="auto"/>
              </w:rPr>
            </w:pPr>
          </w:p>
        </w:tc>
        <w:tc>
          <w:tcPr>
            <w:tcW w:w="14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9"/>
              </w:rPr>
              <w:t>Through Three</w:t>
            </w: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8"/>
              </w:rPr>
              <w:t>Through Twelve</w:t>
            </w:r>
          </w:p>
        </w:tc>
        <w:tc>
          <w:tcPr>
            <w:tcW w:w="120" w:type="dxa"/>
            <w:vAlign w:val="bottom"/>
          </w:tcPr>
          <w:p>
            <w:pPr>
              <w:spacing w:after="0"/>
              <w:rPr>
                <w:sz w:val="11"/>
                <w:szCs w:val="11"/>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Within One Year</w:t>
            </w: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9"/>
              </w:rPr>
              <w:t>Year or Non-</w:t>
            </w:r>
          </w:p>
        </w:tc>
        <w:tc>
          <w:tcPr>
            <w:tcW w:w="280" w:type="dxa"/>
            <w:vAlign w:val="bottom"/>
          </w:tcPr>
          <w:p>
            <w:pPr>
              <w:spacing w:after="0"/>
              <w:rPr>
                <w:sz w:val="11"/>
                <w:szCs w:val="11"/>
                <w:color w:val="auto"/>
              </w:rPr>
            </w:pPr>
          </w:p>
        </w:tc>
        <w:tc>
          <w:tcPr>
            <w:tcW w:w="96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2580" w:type="dxa"/>
            <w:vAlign w:val="bottom"/>
            <w:vMerge w:val="continue"/>
          </w:tcPr>
          <w:p>
            <w:pPr>
              <w:spacing w:after="0"/>
              <w:rPr>
                <w:sz w:val="14"/>
                <w:szCs w:val="14"/>
                <w:color w:val="auto"/>
              </w:rPr>
            </w:pPr>
          </w:p>
        </w:tc>
        <w:tc>
          <w:tcPr>
            <w:tcW w:w="144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Sensitive</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580" w:type="dxa"/>
            <w:vAlign w:val="bottom"/>
          </w:tcPr>
          <w:p>
            <w:pPr>
              <w:ind w:left="20"/>
              <w:spacing w:after="0" w:line="118" w:lineRule="exact"/>
              <w:rPr>
                <w:sz w:val="20"/>
                <w:szCs w:val="20"/>
                <w:color w:val="auto"/>
              </w:rPr>
            </w:pPr>
            <w:r>
              <w:rPr>
                <w:rFonts w:ascii="Arial" w:cs="Arial" w:eastAsia="Arial" w:hAnsi="Arial"/>
                <w:sz w:val="11"/>
                <w:szCs w:val="11"/>
                <w:color w:val="auto"/>
              </w:rPr>
              <w:t>(in thousands)</w:t>
            </w: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Interest earning assets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140"/>
              <w:spacing w:after="0" w:line="186" w:lineRule="exact"/>
              <w:rPr>
                <w:sz w:val="20"/>
                <w:szCs w:val="20"/>
                <w:color w:val="auto"/>
              </w:rPr>
            </w:pPr>
            <w:r>
              <w:rPr>
                <w:rFonts w:ascii="Arial" w:cs="Arial" w:eastAsia="Arial" w:hAnsi="Arial"/>
                <w:sz w:val="14"/>
                <w:szCs w:val="14"/>
                <w:color w:val="auto"/>
              </w:rPr>
              <w:t xml:space="preserve">Loans </w:t>
            </w:r>
            <w:r>
              <w:rPr>
                <w:rFonts w:ascii="Arial" w:cs="Arial" w:eastAsia="Arial" w:hAnsi="Arial"/>
                <w:sz w:val="18"/>
                <w:szCs w:val="18"/>
                <w:color w:val="auto"/>
                <w:vertAlign w:val="superscript"/>
              </w:rPr>
              <w:t>(1)</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708,140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58,170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214,281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980,591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662,577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1,643,168</w:t>
            </w:r>
          </w:p>
        </w:tc>
        <w:tc>
          <w:tcPr>
            <w:tcW w:w="0" w:type="dxa"/>
            <w:vAlign w:val="bottom"/>
          </w:tcPr>
          <w:p>
            <w:pPr>
              <w:spacing w:after="0"/>
              <w:rPr>
                <w:sz w:val="1"/>
                <w:szCs w:val="1"/>
                <w:color w:val="auto"/>
              </w:rPr>
            </w:pPr>
          </w:p>
        </w:tc>
      </w:tr>
      <w:tr>
        <w:trPr>
          <w:trHeight w:val="185"/>
        </w:trPr>
        <w:tc>
          <w:tcPr>
            <w:tcW w:w="2580" w:type="dxa"/>
            <w:vAlign w:val="bottom"/>
          </w:tcPr>
          <w:p>
            <w:pPr>
              <w:ind w:left="140"/>
              <w:spacing w:after="0"/>
              <w:rPr>
                <w:sz w:val="20"/>
                <w:szCs w:val="20"/>
                <w:color w:val="auto"/>
              </w:rPr>
            </w:pPr>
            <w:r>
              <w:rPr>
                <w:rFonts w:ascii="Arial" w:cs="Arial" w:eastAsia="Arial" w:hAnsi="Arial"/>
                <w:sz w:val="14"/>
                <w:szCs w:val="14"/>
                <w:color w:val="auto"/>
              </w:rPr>
              <w:t>Securities</w:t>
            </w:r>
          </w:p>
        </w:tc>
        <w:tc>
          <w:tcPr>
            <w:tcW w:w="3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17,516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17,516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142,999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160,515</w:t>
            </w:r>
          </w:p>
        </w:tc>
        <w:tc>
          <w:tcPr>
            <w:tcW w:w="0" w:type="dxa"/>
            <w:vAlign w:val="bottom"/>
          </w:tcPr>
          <w:p>
            <w:pPr>
              <w:spacing w:after="0"/>
              <w:rPr>
                <w:sz w:val="1"/>
                <w:szCs w:val="1"/>
                <w:color w:val="auto"/>
              </w:rPr>
            </w:pPr>
          </w:p>
        </w:tc>
      </w:tr>
      <w:tr>
        <w:trPr>
          <w:trHeight w:val="150"/>
        </w:trPr>
        <w:tc>
          <w:tcPr>
            <w:tcW w:w="258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rPr>
              <w:t>Interest bearing deposits at other</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286,738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286,738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286,738</w:t>
            </w:r>
          </w:p>
        </w:tc>
        <w:tc>
          <w:tcPr>
            <w:tcW w:w="0" w:type="dxa"/>
            <w:vAlign w:val="bottom"/>
          </w:tcPr>
          <w:p>
            <w:pPr>
              <w:spacing w:after="0"/>
              <w:rPr>
                <w:sz w:val="1"/>
                <w:szCs w:val="1"/>
                <w:color w:val="auto"/>
              </w:rPr>
            </w:pPr>
          </w:p>
        </w:tc>
      </w:tr>
      <w:tr>
        <w:trPr>
          <w:trHeight w:val="168"/>
        </w:trPr>
        <w:tc>
          <w:tcPr>
            <w:tcW w:w="2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financial institutions</w:t>
            </w: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580" w:type="dxa"/>
            <w:vAlign w:val="bottom"/>
          </w:tcPr>
          <w:p>
            <w:pPr>
              <w:ind w:left="140"/>
              <w:spacing w:after="0"/>
              <w:rPr>
                <w:sz w:val="20"/>
                <w:szCs w:val="20"/>
                <w:color w:val="auto"/>
              </w:rPr>
            </w:pPr>
            <w:r>
              <w:rPr>
                <w:rFonts w:ascii="Arial" w:cs="Arial" w:eastAsia="Arial" w:hAnsi="Arial"/>
                <w:sz w:val="14"/>
                <w:szCs w:val="14"/>
                <w:color w:val="auto"/>
              </w:rPr>
              <w:t>Federal funds sold</w:t>
            </w:r>
          </w:p>
        </w:tc>
        <w:tc>
          <w:tcPr>
            <w:tcW w:w="3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2,237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2,237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2,237</w:t>
            </w:r>
          </w:p>
        </w:tc>
        <w:tc>
          <w:tcPr>
            <w:tcW w:w="0" w:type="dxa"/>
            <w:vAlign w:val="bottom"/>
          </w:tcPr>
          <w:p>
            <w:pPr>
              <w:spacing w:after="0"/>
              <w:rPr>
                <w:sz w:val="1"/>
                <w:szCs w:val="1"/>
                <w:color w:val="auto"/>
              </w:rPr>
            </w:pPr>
          </w:p>
        </w:tc>
      </w:tr>
      <w:tr>
        <w:trPr>
          <w:trHeight w:val="204"/>
        </w:trPr>
        <w:tc>
          <w:tcPr>
            <w:tcW w:w="25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earning assets</w:t>
            </w: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1,014,631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58,170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214,281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1,287,082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805,576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2,092,658</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Interest bearing liabilities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bearing deposits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806,415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806,415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806,415</w:t>
            </w:r>
          </w:p>
        </w:tc>
        <w:tc>
          <w:tcPr>
            <w:tcW w:w="0" w:type="dxa"/>
            <w:vAlign w:val="bottom"/>
          </w:tcPr>
          <w:p>
            <w:pPr>
              <w:spacing w:after="0"/>
              <w:rPr>
                <w:sz w:val="1"/>
                <w:szCs w:val="1"/>
                <w:color w:val="auto"/>
              </w:rPr>
            </w:pPr>
          </w:p>
        </w:tc>
      </w:tr>
      <w:tr>
        <w:trPr>
          <w:trHeight w:val="186"/>
        </w:trPr>
        <w:tc>
          <w:tcPr>
            <w:tcW w:w="25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Time deposits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22,311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53,063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110,079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185,453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97,243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282,696</w:t>
            </w:r>
          </w:p>
        </w:tc>
        <w:tc>
          <w:tcPr>
            <w:tcW w:w="0" w:type="dxa"/>
            <w:vAlign w:val="bottom"/>
          </w:tcPr>
          <w:p>
            <w:pPr>
              <w:spacing w:after="0"/>
              <w:rPr>
                <w:sz w:val="1"/>
                <w:szCs w:val="1"/>
                <w:color w:val="auto"/>
              </w:rPr>
            </w:pPr>
          </w:p>
        </w:tc>
      </w:tr>
      <w:tr>
        <w:trPr>
          <w:trHeight w:val="179"/>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interest bearing deposits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828,726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53,063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110,079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991,868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97,243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1,089,111</w:t>
            </w:r>
          </w:p>
        </w:tc>
        <w:tc>
          <w:tcPr>
            <w:tcW w:w="0" w:type="dxa"/>
            <w:vAlign w:val="bottom"/>
          </w:tcPr>
          <w:p>
            <w:pPr>
              <w:spacing w:after="0"/>
              <w:rPr>
                <w:sz w:val="1"/>
                <w:szCs w:val="1"/>
                <w:color w:val="auto"/>
              </w:rPr>
            </w:pPr>
          </w:p>
        </w:tc>
      </w:tr>
      <w:tr>
        <w:trPr>
          <w:trHeight w:val="185"/>
        </w:trPr>
        <w:tc>
          <w:tcPr>
            <w:tcW w:w="2580" w:type="dxa"/>
            <w:vAlign w:val="bottom"/>
          </w:tcPr>
          <w:p>
            <w:pPr>
              <w:ind w:left="140"/>
              <w:spacing w:after="0"/>
              <w:rPr>
                <w:sz w:val="20"/>
                <w:szCs w:val="20"/>
                <w:color w:val="auto"/>
              </w:rPr>
            </w:pPr>
            <w:r>
              <w:rPr>
                <w:rFonts w:ascii="Arial" w:cs="Arial" w:eastAsia="Arial" w:hAnsi="Arial"/>
                <w:sz w:val="14"/>
                <w:szCs w:val="14"/>
                <w:color w:val="auto"/>
              </w:rPr>
              <w:t>FHLB Advances</w:t>
            </w:r>
          </w:p>
        </w:tc>
        <w:tc>
          <w:tcPr>
            <w:tcW w:w="30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22,000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borrowed funds</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12,062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12,062</w:t>
            </w:r>
          </w:p>
        </w:tc>
        <w:tc>
          <w:tcPr>
            <w:tcW w:w="0" w:type="dxa"/>
            <w:vAlign w:val="bottom"/>
          </w:tcPr>
          <w:p>
            <w:pPr>
              <w:spacing w:after="0"/>
              <w:rPr>
                <w:sz w:val="1"/>
                <w:szCs w:val="1"/>
                <w:color w:val="auto"/>
              </w:rPr>
            </w:pPr>
          </w:p>
        </w:tc>
      </w:tr>
      <w:tr>
        <w:trPr>
          <w:trHeight w:val="179"/>
        </w:trPr>
        <w:tc>
          <w:tcPr>
            <w:tcW w:w="2580" w:type="dxa"/>
            <w:vAlign w:val="bottom"/>
          </w:tcPr>
          <w:p>
            <w:pPr>
              <w:ind w:left="340"/>
              <w:spacing w:after="0"/>
              <w:rPr>
                <w:sz w:val="20"/>
                <w:szCs w:val="20"/>
                <w:color w:val="auto"/>
              </w:rPr>
            </w:pPr>
            <w:r>
              <w:rPr>
                <w:rFonts w:ascii="Arial" w:cs="Arial" w:eastAsia="Arial" w:hAnsi="Arial"/>
                <w:sz w:val="14"/>
                <w:szCs w:val="14"/>
                <w:color w:val="auto"/>
              </w:rPr>
              <w:t>Total interest bearing liabilities</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828,726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53,063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110,079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991,868</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131,305</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1,123,173</w:t>
            </w: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Period gap</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185,905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5,107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104,202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295,214</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674,271</w:t>
            </w:r>
          </w:p>
        </w:tc>
        <w:tc>
          <w:tcPr>
            <w:tcW w:w="12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969,485</w:t>
            </w:r>
          </w:p>
        </w:tc>
        <w:tc>
          <w:tcPr>
            <w:tcW w:w="0" w:type="dxa"/>
            <w:vAlign w:val="bottom"/>
          </w:tcPr>
          <w:p>
            <w:pPr>
              <w:spacing w:after="0"/>
              <w:rPr>
                <w:sz w:val="1"/>
                <w:szCs w:val="1"/>
                <w:color w:val="auto"/>
              </w:rPr>
            </w:pPr>
          </w:p>
        </w:tc>
      </w:tr>
      <w:tr>
        <w:trPr>
          <w:trHeight w:val="185"/>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gap</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185,905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191,012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295,214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295,214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969,485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580" w:type="dxa"/>
            <w:vAlign w:val="bottom"/>
          </w:tcPr>
          <w:p>
            <w:pPr>
              <w:ind w:left="20"/>
              <w:spacing w:after="0" w:line="151" w:lineRule="exact"/>
              <w:rPr>
                <w:sz w:val="20"/>
                <w:szCs w:val="20"/>
                <w:color w:val="auto"/>
              </w:rPr>
            </w:pPr>
            <w:r>
              <w:rPr>
                <w:rFonts w:ascii="Arial" w:cs="Arial" w:eastAsia="Arial" w:hAnsi="Arial"/>
                <w:sz w:val="14"/>
                <w:szCs w:val="14"/>
                <w:color w:val="auto"/>
              </w:rPr>
              <w:t>Ratio of cumulative gap to total earning</w:t>
            </w: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8.88 %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9.13 %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14.11 %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14.11 %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46.33 %</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80" w:type="dxa"/>
            <w:vAlign w:val="bottom"/>
          </w:tcPr>
          <w:p>
            <w:pPr>
              <w:ind w:left="180"/>
              <w:spacing w:after="0"/>
              <w:rPr>
                <w:sz w:val="20"/>
                <w:szCs w:val="20"/>
                <w:color w:val="auto"/>
              </w:rPr>
            </w:pPr>
            <w:r>
              <w:rPr>
                <w:rFonts w:ascii="Arial" w:cs="Arial" w:eastAsia="Arial" w:hAnsi="Arial"/>
                <w:sz w:val="14"/>
                <w:szCs w:val="14"/>
                <w:color w:val="auto"/>
              </w:rPr>
              <w:t>assets</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198" w:lineRule="auto"/>
        <w:tabs>
          <w:tab w:leader="none" w:pos="320" w:val="left"/>
        </w:tabs>
        <w:numPr>
          <w:ilvl w:val="0"/>
          <w:numId w:val="16"/>
        </w:numPr>
        <w:rPr>
          <w:rFonts w:ascii="Arial" w:cs="Arial" w:eastAsia="Arial" w:hAnsi="Arial"/>
          <w:sz w:val="14"/>
          <w:szCs w:val="14"/>
          <w:color w:val="auto"/>
          <w:vertAlign w:val="superscript"/>
        </w:rPr>
      </w:pPr>
      <w:r>
        <w:rPr>
          <w:rFonts w:ascii="Arial" w:cs="Arial" w:eastAsia="Arial" w:hAnsi="Arial"/>
          <w:sz w:val="11"/>
          <w:szCs w:val="11"/>
          <w:color w:val="auto"/>
        </w:rPr>
        <w:t>Includes loans held for sale and loans made under the SBA-PPP loan program.</w:t>
      </w:r>
    </w:p>
    <w:p>
      <w:pPr>
        <w:spacing w:after="0" w:line="200" w:lineRule="exact"/>
        <w:rPr>
          <w:sz w:val="20"/>
          <w:szCs w:val="20"/>
          <w:color w:val="auto"/>
        </w:rPr>
      </w:pPr>
    </w:p>
    <w:p>
      <w:pPr>
        <w:spacing w:after="0" w:line="24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use quarterly Earnings at Risk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spacing w:after="0" w:line="20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also use economic value-based methodologies to measure the degree to which the economic values of the Bank’s positions change under different interest rate scenarios. The economic-value approach focuses on a longer-term time horizon and endeavors to capture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8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summarizes the results of our EAR analysis in simulating the change in net interest income and fair value of equity over a 12-month horizon as of June 30, 2021: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ON NET INTEREST INCOME UNDER A STATIC BALANCE SHEET, PARALLEL INTEREST RATE SHOCK</w:t>
      </w:r>
    </w:p>
    <w:p>
      <w:pPr>
        <w:spacing w:after="0" w:line="264"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Risk</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Earnings at</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 bps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Flat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 bps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 bps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+300 bps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20" w:type="dxa"/>
            <w:vAlign w:val="bottom"/>
            <w:gridSpan w:val="2"/>
            <w:vMerge w:val="continue"/>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June 30, 2021</w:t>
            </w:r>
          </w:p>
        </w:tc>
        <w:tc>
          <w:tcPr>
            <w:tcW w:w="1200" w:type="dxa"/>
            <w:vAlign w:val="bottom"/>
          </w:tcPr>
          <w:p>
            <w:pPr>
              <w:jc w:val="right"/>
              <w:ind w:right="269"/>
              <w:spacing w:after="0"/>
              <w:rPr>
                <w:sz w:val="20"/>
                <w:szCs w:val="20"/>
                <w:color w:val="auto"/>
              </w:rPr>
            </w:pPr>
            <w:r>
              <w:rPr>
                <w:rFonts w:ascii="Arial" w:cs="Arial" w:eastAsia="Arial" w:hAnsi="Arial"/>
                <w:sz w:val="14"/>
                <w:szCs w:val="14"/>
                <w:color w:val="auto"/>
              </w:rPr>
              <w:t>1.4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Arial" w:cs="Arial" w:eastAsia="Arial" w:hAnsi="Arial"/>
                <w:sz w:val="14"/>
                <w:szCs w:val="14"/>
                <w:color w:val="auto"/>
              </w:rPr>
              <w:t>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tcPr>
          <w:p>
            <w:pPr>
              <w:jc w:val="right"/>
              <w:ind w:right="249"/>
              <w:spacing w:after="0"/>
              <w:rPr>
                <w:sz w:val="20"/>
                <w:szCs w:val="20"/>
                <w:color w:val="auto"/>
              </w:rPr>
            </w:pPr>
            <w:r>
              <w:rPr>
                <w:rFonts w:ascii="Arial" w:cs="Arial" w:eastAsia="Arial" w:hAnsi="Arial"/>
                <w:sz w:val="14"/>
                <w:szCs w:val="14"/>
                <w:color w:val="auto"/>
              </w:rPr>
              <w:t>281.0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tcPr>
          <w:p>
            <w:pPr>
              <w:jc w:val="right"/>
              <w:ind w:right="249"/>
              <w:spacing w:after="0"/>
              <w:rPr>
                <w:sz w:val="20"/>
                <w:szCs w:val="20"/>
                <w:color w:val="auto"/>
              </w:rPr>
            </w:pPr>
            <w:r>
              <w:rPr>
                <w:rFonts w:ascii="Arial" w:cs="Arial" w:eastAsia="Arial" w:hAnsi="Arial"/>
                <w:sz w:val="14"/>
                <w:szCs w:val="14"/>
                <w:color w:val="auto"/>
              </w:rPr>
              <w:t>817.0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tcPr>
          <w:p>
            <w:pPr>
              <w:jc w:val="right"/>
              <w:ind w:right="249"/>
              <w:spacing w:after="0"/>
              <w:rPr>
                <w:sz w:val="20"/>
                <w:szCs w:val="20"/>
                <w:color w:val="auto"/>
              </w:rPr>
            </w:pPr>
            <w:r>
              <w:rPr>
                <w:rFonts w:ascii="Arial" w:cs="Arial" w:eastAsia="Arial" w:hAnsi="Arial"/>
                <w:sz w:val="14"/>
                <w:szCs w:val="14"/>
                <w:color w:val="auto"/>
              </w:rPr>
              <w:t>1392.0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illustrates the results of our EVE analysis as of June 30, 2021.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ECONOMIC VALUE OF EQUITY ANALYSIS UNDER A STATIC BALANCE SHEET, PARALLEL INTEREST RATE SHOCK</w:t>
      </w:r>
    </w:p>
    <w:p>
      <w:pPr>
        <w:spacing w:after="0" w:line="251"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1620" w:type="dxa"/>
            <w:vAlign w:val="bottom"/>
            <w:gridSpan w:val="2"/>
          </w:tcPr>
          <w:p>
            <w:pPr>
              <w:ind w:left="340"/>
              <w:spacing w:after="0"/>
              <w:rPr>
                <w:sz w:val="20"/>
                <w:szCs w:val="20"/>
                <w:color w:val="auto"/>
              </w:rPr>
            </w:pPr>
            <w:r>
              <w:rPr>
                <w:rFonts w:ascii="Arial" w:cs="Arial" w:eastAsia="Arial" w:hAnsi="Arial"/>
                <w:sz w:val="14"/>
                <w:szCs w:val="14"/>
                <w:b w:val="1"/>
                <w:bCs w:val="1"/>
                <w:color w:val="auto"/>
              </w:rPr>
              <w:t>Economic</w:t>
            </w:r>
          </w:p>
        </w:tc>
        <w:tc>
          <w:tcPr>
            <w:tcW w:w="106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8"/>
              </w:rPr>
              <w:t>-100 bps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Flat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right"/>
              <w:ind w:right="49"/>
              <w:spacing w:after="0"/>
              <w:rPr>
                <w:sz w:val="20"/>
                <w:szCs w:val="20"/>
                <w:color w:val="auto"/>
              </w:rPr>
            </w:pPr>
            <w:r>
              <w:rPr>
                <w:rFonts w:ascii="Arial" w:cs="Arial" w:eastAsia="Arial" w:hAnsi="Arial"/>
                <w:sz w:val="14"/>
                <w:szCs w:val="14"/>
                <w:b w:val="1"/>
                <w:bCs w:val="1"/>
                <w:color w:val="auto"/>
              </w:rPr>
              <w:t>+100 bps</w:t>
            </w:r>
          </w:p>
        </w:tc>
        <w:tc>
          <w:tcPr>
            <w:tcW w:w="100" w:type="dxa"/>
            <w:vAlign w:val="bottom"/>
            <w:vMerge w:val="restart"/>
          </w:tcPr>
          <w:p>
            <w:pPr>
              <w:spacing w:after="0"/>
              <w:rPr>
                <w:sz w:val="14"/>
                <w:szCs w:val="14"/>
                <w:color w:val="auto"/>
              </w:rPr>
            </w:pPr>
          </w:p>
        </w:tc>
        <w:tc>
          <w:tcPr>
            <w:tcW w:w="10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6"/>
              </w:rPr>
              <w:t>+200 bps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9"/>
              </w:rPr>
              <w:t>+300 bps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Value of Equity</w:t>
            </w:r>
          </w:p>
        </w:tc>
        <w:tc>
          <w:tcPr>
            <w:tcW w:w="20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20" w:type="dxa"/>
            <w:vAlign w:val="bottom"/>
            <w:gridSpan w:val="2"/>
          </w:tcPr>
          <w:p>
            <w:pPr>
              <w:ind w:left="340"/>
              <w:spacing w:after="0"/>
              <w:rPr>
                <w:sz w:val="20"/>
                <w:szCs w:val="20"/>
                <w:color w:val="auto"/>
              </w:rPr>
            </w:pPr>
            <w:r>
              <w:rPr>
                <w:rFonts w:ascii="Arial" w:cs="Arial" w:eastAsia="Arial" w:hAnsi="Arial"/>
                <w:sz w:val="14"/>
                <w:szCs w:val="14"/>
                <w:color w:val="auto"/>
              </w:rPr>
              <w:t>June 30, 2021</w:t>
            </w:r>
          </w:p>
        </w:tc>
        <w:tc>
          <w:tcPr>
            <w:tcW w:w="1060" w:type="dxa"/>
            <w:vAlign w:val="bottom"/>
          </w:tcPr>
          <w:p>
            <w:pPr>
              <w:ind w:left="460"/>
              <w:spacing w:after="0"/>
              <w:rPr>
                <w:sz w:val="20"/>
                <w:szCs w:val="20"/>
                <w:color w:val="auto"/>
              </w:rPr>
            </w:pPr>
            <w:r>
              <w:rPr>
                <w:rFonts w:ascii="Arial" w:cs="Arial" w:eastAsia="Arial" w:hAnsi="Arial"/>
                <w:sz w:val="14"/>
                <w:szCs w:val="14"/>
                <w:color w:val="auto"/>
              </w:rPr>
              <w:t>(5.6)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5"/>
                <w:szCs w:val="15"/>
                <w:color w:val="auto"/>
              </w:rPr>
            </w:pPr>
          </w:p>
        </w:tc>
        <w:tc>
          <w:tcPr>
            <w:tcW w:w="960" w:type="dxa"/>
            <w:vAlign w:val="bottom"/>
          </w:tcPr>
          <w:p>
            <w:pPr>
              <w:jc w:val="right"/>
              <w:ind w:right="209"/>
              <w:spacing w:after="0"/>
              <w:rPr>
                <w:sz w:val="20"/>
                <w:szCs w:val="20"/>
                <w:color w:val="auto"/>
              </w:rPr>
            </w:pPr>
            <w:r>
              <w:rPr>
                <w:rFonts w:ascii="Arial" w:cs="Arial" w:eastAsia="Arial" w:hAnsi="Arial"/>
                <w:sz w:val="14"/>
                <w:szCs w:val="14"/>
                <w:color w:val="auto"/>
              </w:rPr>
              <w:t>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8.5</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tcPr>
          <w:p>
            <w:pPr>
              <w:ind w:left="460"/>
              <w:spacing w:after="0"/>
              <w:rPr>
                <w:sz w:val="20"/>
                <w:szCs w:val="20"/>
                <w:color w:val="auto"/>
              </w:rPr>
            </w:pPr>
            <w:r>
              <w:rPr>
                <w:rFonts w:ascii="Arial" w:cs="Arial" w:eastAsia="Arial" w:hAnsi="Arial"/>
                <w:sz w:val="14"/>
                <w:szCs w:val="14"/>
                <w:color w:val="auto"/>
              </w:rPr>
              <w:t>15.3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5"/>
                <w:szCs w:val="15"/>
                <w:color w:val="auto"/>
              </w:rPr>
            </w:pPr>
          </w:p>
        </w:tc>
        <w:tc>
          <w:tcPr>
            <w:tcW w:w="1100" w:type="dxa"/>
            <w:vAlign w:val="bottom"/>
          </w:tcPr>
          <w:p>
            <w:pPr>
              <w:ind w:left="480"/>
              <w:spacing w:after="0"/>
              <w:rPr>
                <w:sz w:val="20"/>
                <w:szCs w:val="20"/>
                <w:color w:val="auto"/>
              </w:rPr>
            </w:pPr>
            <w:r>
              <w:rPr>
                <w:rFonts w:ascii="Arial" w:cs="Arial" w:eastAsia="Arial" w:hAnsi="Arial"/>
                <w:sz w:val="14"/>
                <w:szCs w:val="14"/>
                <w:color w:val="auto"/>
              </w:rPr>
              <w:t>21.8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Company’s management, including our Chief Executive Officer and Chief Financial Officer, have evaluated the effectiveness of our disclosure controls and procedures (as defined in Rule 13a-15(e) under the Securities Exchange Act of 1934, as amended (the “Exchange Act”) as of the end of the period covered by this report. Based upon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There has been no change in the Company’s internal control over financial reporting (as such term is defined in Rule 13a-15(f) under the Exchange Act) during the fiscal quarter to which this report relates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6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From time to time, we are a party to various litigation matters incidental to the ordinary conduct of our business. We are not presently a party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00" w:lineRule="exact"/>
        <w:rPr>
          <w:sz w:val="20"/>
          <w:szCs w:val="20"/>
          <w:color w:val="auto"/>
        </w:rPr>
      </w:pPr>
    </w:p>
    <w:p>
      <w:pPr>
        <w:spacing w:after="0" w:line="27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There are no material changes to the risk factors as previously disclosed under Item 1A in our Annual Report for the year ended December 31, 2020 in addition to and other reports as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6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February 2, 2021 the Company announced a new stock repurchase program. Under the new program, the Company is authorized to repurchase up to $7.5 million of its outstanding common stock. During the six months ended June 30, 2021, the Company did not repurchase any shares under the stock repurchase program.</w:t>
      </w:r>
    </w:p>
    <w:p>
      <w:pPr>
        <w:spacing w:after="0" w:line="206"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The new program replaces the previous $5.0 million stock repurchase program approved by the Board in April 2019, which concluded in the fourth quarter of 2020. In connection with the prior repurchase program, the Company purchased an aggregate of 304,114 shares of its common stock at an average price of $10.81 per share during the twelve months ended December 31, 2020, as reflected in the following table.</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3"/>
                <w:szCs w:val="13"/>
                <w:color w:val="auto"/>
              </w:rPr>
            </w:pPr>
          </w:p>
        </w:tc>
        <w:tc>
          <w:tcPr>
            <w:tcW w:w="1820" w:type="dxa"/>
            <w:vAlign w:val="bottom"/>
          </w:tcPr>
          <w:p>
            <w:pPr>
              <w:jc w:val="center"/>
              <w:ind w:right="49"/>
              <w:spacing w:after="0"/>
              <w:rPr>
                <w:sz w:val="20"/>
                <w:szCs w:val="20"/>
                <w:color w:val="auto"/>
              </w:rPr>
            </w:pPr>
            <w:r>
              <w:rPr>
                <w:rFonts w:ascii="Arial" w:cs="Arial" w:eastAsia="Arial" w:hAnsi="Arial"/>
                <w:sz w:val="14"/>
                <w:szCs w:val="14"/>
                <w:b w:val="1"/>
                <w:bCs w:val="1"/>
                <w:color w:val="auto"/>
                <w:w w:val="99"/>
              </w:rPr>
              <w:t>Maximum Dollar Value of</w:t>
            </w: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price</w:t>
            </w:r>
          </w:p>
        </w:tc>
        <w:tc>
          <w:tcPr>
            <w:tcW w:w="20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rPr>
              <w:t>Purchased as Part of</w:t>
            </w:r>
          </w:p>
        </w:tc>
        <w:tc>
          <w:tcPr>
            <w:tcW w:w="120" w:type="dxa"/>
            <w:vAlign w:val="bottom"/>
          </w:tcPr>
          <w:p>
            <w:pPr>
              <w:spacing w:after="0"/>
              <w:rPr>
                <w:sz w:val="11"/>
                <w:szCs w:val="11"/>
                <w:color w:val="auto"/>
              </w:rPr>
            </w:pPr>
          </w:p>
        </w:tc>
        <w:tc>
          <w:tcPr>
            <w:tcW w:w="1820" w:type="dxa"/>
            <w:vAlign w:val="bottom"/>
          </w:tcPr>
          <w:p>
            <w:pPr>
              <w:jc w:val="center"/>
              <w:ind w:right="49"/>
              <w:spacing w:after="0" w:line="133" w:lineRule="exact"/>
              <w:rPr>
                <w:sz w:val="20"/>
                <w:szCs w:val="20"/>
                <w:color w:val="auto"/>
              </w:rPr>
            </w:pPr>
            <w:r>
              <w:rPr>
                <w:rFonts w:ascii="Arial" w:cs="Arial" w:eastAsia="Arial" w:hAnsi="Arial"/>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33"/>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Periods</w:t>
            </w:r>
          </w:p>
        </w:tc>
        <w:tc>
          <w:tcPr>
            <w:tcW w:w="1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rPr>
              <w:t>Publicly Announced Plans</w:t>
            </w:r>
          </w:p>
        </w:tc>
        <w:tc>
          <w:tcPr>
            <w:tcW w:w="19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9"/>
              </w:rPr>
              <w:t>Purchased Under the Plans</w:t>
            </w:r>
          </w:p>
        </w:tc>
        <w:tc>
          <w:tcPr>
            <w:tcW w:w="0" w:type="dxa"/>
            <w:vAlign w:val="bottom"/>
          </w:tcPr>
          <w:p>
            <w:pPr>
              <w:spacing w:after="0"/>
              <w:rPr>
                <w:sz w:val="1"/>
                <w:szCs w:val="1"/>
                <w:color w:val="auto"/>
              </w:rPr>
            </w:pPr>
          </w:p>
        </w:tc>
      </w:tr>
      <w:tr>
        <w:trPr>
          <w:trHeight w:val="172"/>
        </w:trPr>
        <w:tc>
          <w:tcPr>
            <w:tcW w:w="4400" w:type="dxa"/>
            <w:vAlign w:val="bottom"/>
            <w:vMerge w:val="continue"/>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 Purchased</w:t>
            </w: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paid per share</w:t>
            </w: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or Programs</w:t>
            </w:r>
          </w:p>
        </w:tc>
        <w:tc>
          <w:tcPr>
            <w:tcW w:w="120" w:type="dxa"/>
            <w:vAlign w:val="bottom"/>
          </w:tcPr>
          <w:p>
            <w:pPr>
              <w:spacing w:after="0"/>
              <w:rPr>
                <w:sz w:val="14"/>
                <w:szCs w:val="14"/>
                <w:color w:val="auto"/>
              </w:rPr>
            </w:pPr>
          </w:p>
        </w:tc>
        <w:tc>
          <w:tcPr>
            <w:tcW w:w="1820" w:type="dxa"/>
            <w:vAlign w:val="bottom"/>
          </w:tcPr>
          <w:p>
            <w:pPr>
              <w:jc w:val="center"/>
              <w:ind w:right="69"/>
              <w:spacing w:after="0"/>
              <w:rPr>
                <w:sz w:val="20"/>
                <w:szCs w:val="20"/>
                <w:color w:val="auto"/>
              </w:rPr>
            </w:pPr>
            <w:r>
              <w:rPr>
                <w:rFonts w:ascii="Arial" w:cs="Arial" w:eastAsia="Arial" w:hAnsi="Arial"/>
                <w:sz w:val="14"/>
                <w:szCs w:val="14"/>
                <w:b w:val="1"/>
                <w:bCs w:val="1"/>
                <w:color w:val="auto"/>
              </w:rPr>
              <w:t>or Programs</w:t>
            </w:r>
          </w:p>
        </w:tc>
        <w:tc>
          <w:tcPr>
            <w:tcW w:w="0" w:type="dxa"/>
            <w:vAlign w:val="bottom"/>
          </w:tcPr>
          <w:p>
            <w:pPr>
              <w:spacing w:after="0"/>
              <w:rPr>
                <w:sz w:val="1"/>
                <w:szCs w:val="1"/>
                <w:color w:val="auto"/>
              </w:rPr>
            </w:pPr>
          </w:p>
        </w:tc>
      </w:tr>
      <w:tr>
        <w:trPr>
          <w:trHeight w:val="17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For the year ended December 31, 2020</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304,114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10.81</w:t>
            </w:r>
          </w:p>
        </w:tc>
        <w:tc>
          <w:tcPr>
            <w:tcW w:w="12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304,114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1,340,875</w:t>
            </w:r>
          </w:p>
        </w:tc>
        <w:tc>
          <w:tcPr>
            <w:tcW w:w="0" w:type="dxa"/>
            <w:vAlign w:val="bottom"/>
          </w:tcPr>
          <w:p>
            <w:pPr>
              <w:spacing w:after="0"/>
              <w:rPr>
                <w:sz w:val="1"/>
                <w:szCs w:val="1"/>
                <w:color w:val="auto"/>
              </w:rPr>
            </w:pPr>
          </w:p>
        </w:tc>
      </w:tr>
      <w:tr>
        <w:trPr>
          <w:trHeight w:val="186"/>
        </w:trPr>
        <w:tc>
          <w:tcPr>
            <w:tcW w:w="4400" w:type="dxa"/>
            <w:vAlign w:val="bottom"/>
          </w:tcPr>
          <w:p>
            <w:pPr>
              <w:spacing w:after="0"/>
              <w:rPr>
                <w:sz w:val="20"/>
                <w:szCs w:val="20"/>
                <w:color w:val="auto"/>
              </w:rPr>
            </w:pPr>
            <w:r>
              <w:rPr>
                <w:rFonts w:ascii="Arial" w:cs="Arial" w:eastAsia="Arial" w:hAnsi="Arial"/>
                <w:sz w:val="14"/>
                <w:szCs w:val="14"/>
                <w:color w:val="auto"/>
              </w:rPr>
              <w:t>For the three months ended March 31, 2021</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5,000,000</w:t>
            </w:r>
          </w:p>
        </w:tc>
        <w:tc>
          <w:tcPr>
            <w:tcW w:w="0" w:type="dxa"/>
            <w:vAlign w:val="bottom"/>
          </w:tcPr>
          <w:p>
            <w:pPr>
              <w:spacing w:after="0"/>
              <w:rPr>
                <w:sz w:val="1"/>
                <w:szCs w:val="1"/>
                <w:color w:val="auto"/>
              </w:rPr>
            </w:pPr>
          </w:p>
        </w:tc>
      </w:tr>
      <w:tr>
        <w:trPr>
          <w:trHeight w:val="185"/>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For the three months ended June 30, 2021</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0" w:lineRule="exact"/>
        <w:rPr>
          <w:sz w:val="20"/>
          <w:szCs w:val="20"/>
          <w:color w:val="auto"/>
        </w:rPr>
      </w:pPr>
    </w:p>
    <w:p>
      <w:pPr>
        <w:spacing w:after="0" w:line="316"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080" w:type="dxa"/>
            <w:vAlign w:val="bottom"/>
          </w:tcPr>
          <w:p>
            <w:pPr>
              <w:jc w:val="right"/>
              <w:ind w:right="349"/>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5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1080" w:type="dxa"/>
            <w:vAlign w:val="bottom"/>
          </w:tcPr>
          <w:p>
            <w:pPr>
              <w:jc w:val="right"/>
              <w:ind w:right="469"/>
              <w:spacing w:after="0"/>
              <w:rPr>
                <w:sz w:val="20"/>
                <w:szCs w:val="20"/>
                <w:color w:val="auto"/>
              </w:rPr>
            </w:pPr>
            <w:r>
              <w:rPr>
                <w:rFonts w:ascii="Arial" w:cs="Arial" w:eastAsia="Arial" w:hAnsi="Arial"/>
                <w:sz w:val="14"/>
                <w:szCs w:val="14"/>
                <w:b w:val="1"/>
                <w:bCs w:val="1"/>
                <w:color w:val="auto"/>
                <w:w w:val="98"/>
              </w:rPr>
              <w:t>Number</w:t>
            </w:r>
          </w:p>
        </w:tc>
        <w:tc>
          <w:tcPr>
            <w:tcW w:w="34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3.1</w:t>
            </w:r>
          </w:p>
        </w:tc>
        <w:tc>
          <w:tcPr>
            <w:tcW w:w="340" w:type="dxa"/>
            <w:vAlign w:val="bottom"/>
          </w:tcPr>
          <w:p>
            <w:pPr>
              <w:spacing w:after="0"/>
              <w:rPr>
                <w:sz w:val="15"/>
                <w:szCs w:val="15"/>
                <w:color w:val="auto"/>
              </w:rPr>
            </w:pPr>
          </w:p>
        </w:tc>
        <w:tc>
          <w:tcPr>
            <w:tcW w:w="9380" w:type="dxa"/>
            <w:vAlign w:val="bottom"/>
            <w:gridSpan w:val="3"/>
          </w:tcPr>
          <w:p>
            <w:pPr>
              <w:spacing w:after="0"/>
              <w:rPr>
                <w:sz w:val="20"/>
                <w:szCs w:val="20"/>
                <w:color w:val="auto"/>
              </w:rPr>
            </w:pPr>
            <w:r>
              <w:rPr>
                <w:rFonts w:ascii="Arial" w:cs="Arial" w:eastAsia="Arial" w:hAnsi="Arial"/>
                <w:sz w:val="14"/>
                <w:szCs w:val="14"/>
                <w:color w:val="auto"/>
              </w:rPr>
              <w:t>Amended and Restated Articles of Incorporation (incorporated by reference to Exhibit 3.1 to the Company’s Form S-1 filed on August 31, 2018).</w:t>
            </w:r>
          </w:p>
        </w:tc>
        <w:tc>
          <w:tcPr>
            <w:tcW w:w="0" w:type="dxa"/>
            <w:vAlign w:val="bottom"/>
          </w:tcPr>
          <w:p>
            <w:pPr>
              <w:spacing w:after="0"/>
              <w:rPr>
                <w:sz w:val="1"/>
                <w:szCs w:val="1"/>
                <w:color w:val="auto"/>
              </w:rPr>
            </w:pPr>
          </w:p>
        </w:tc>
      </w:tr>
      <w:tr>
        <w:trPr>
          <w:trHeight w:val="185"/>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3.2</w:t>
            </w:r>
          </w:p>
        </w:tc>
        <w:tc>
          <w:tcPr>
            <w:tcW w:w="340" w:type="dxa"/>
            <w:vAlign w:val="bottom"/>
          </w:tcPr>
          <w:p>
            <w:pPr>
              <w:spacing w:after="0"/>
              <w:rPr>
                <w:sz w:val="16"/>
                <w:szCs w:val="16"/>
                <w:color w:val="auto"/>
              </w:rPr>
            </w:pPr>
          </w:p>
        </w:tc>
        <w:tc>
          <w:tcPr>
            <w:tcW w:w="9380" w:type="dxa"/>
            <w:vAlign w:val="bottom"/>
            <w:gridSpan w:val="3"/>
          </w:tcPr>
          <w:p>
            <w:pPr>
              <w:spacing w:after="0"/>
              <w:rPr>
                <w:sz w:val="20"/>
                <w:szCs w:val="20"/>
                <w:color w:val="auto"/>
              </w:rPr>
            </w:pPr>
            <w:r>
              <w:rPr>
                <w:rFonts w:ascii="Arial" w:cs="Arial" w:eastAsia="Arial" w:hAnsi="Arial"/>
                <w:sz w:val="14"/>
                <w:szCs w:val="14"/>
                <w:color w:val="auto"/>
              </w:rPr>
              <w:t>Amended and Restated Bylaws (incorporated by reference to Exhibit 3.2 to the Company’s Form S-1 filed on August 31, 2018).</w:t>
            </w:r>
          </w:p>
        </w:tc>
        <w:tc>
          <w:tcPr>
            <w:tcW w:w="0" w:type="dxa"/>
            <w:vAlign w:val="bottom"/>
          </w:tcPr>
          <w:p>
            <w:pPr>
              <w:spacing w:after="0"/>
              <w:rPr>
                <w:sz w:val="1"/>
                <w:szCs w:val="1"/>
                <w:color w:val="auto"/>
              </w:rPr>
            </w:pPr>
          </w:p>
        </w:tc>
      </w:tr>
      <w:tr>
        <w:trPr>
          <w:trHeight w:val="157"/>
        </w:trPr>
        <w:tc>
          <w:tcPr>
            <w:tcW w:w="1080" w:type="dxa"/>
            <w:vAlign w:val="bottom"/>
          </w:tcPr>
          <w:p>
            <w:pPr>
              <w:jc w:val="right"/>
              <w:ind w:right="309"/>
              <w:spacing w:after="0" w:line="157" w:lineRule="exact"/>
              <w:rPr>
                <w:sz w:val="20"/>
                <w:szCs w:val="20"/>
                <w:color w:val="auto"/>
              </w:rPr>
            </w:pPr>
            <w:r>
              <w:rPr>
                <w:rFonts w:ascii="Arial" w:cs="Arial" w:eastAsia="Arial" w:hAnsi="Arial"/>
                <w:sz w:val="14"/>
                <w:szCs w:val="14"/>
                <w:color w:val="auto"/>
              </w:rPr>
              <w:t>31.1</w:t>
            </w:r>
          </w:p>
        </w:tc>
        <w:tc>
          <w:tcPr>
            <w:tcW w:w="340" w:type="dxa"/>
            <w:vAlign w:val="bottom"/>
          </w:tcPr>
          <w:p>
            <w:pPr>
              <w:spacing w:after="0"/>
              <w:rPr>
                <w:sz w:val="13"/>
                <w:szCs w:val="13"/>
                <w:color w:val="auto"/>
              </w:rPr>
            </w:pPr>
          </w:p>
        </w:tc>
        <w:tc>
          <w:tcPr>
            <w:tcW w:w="3840" w:type="dxa"/>
            <w:vAlign w:val="bottom"/>
            <w:tcBorders>
              <w:bottom w:val="single" w:sz="8" w:color="0000FF"/>
            </w:tcBorders>
            <w:gridSpan w:val="2"/>
          </w:tcPr>
          <w:p>
            <w:pPr>
              <w:spacing w:after="0" w:line="157" w:lineRule="exact"/>
              <w:rPr>
                <w:rFonts w:ascii="Arial" w:cs="Arial" w:eastAsia="Arial" w:hAnsi="Arial"/>
                <w:sz w:val="14"/>
                <w:szCs w:val="14"/>
                <w:color w:val="0000FF"/>
              </w:rPr>
            </w:pPr>
            <w:hyperlink w:anchor="page73">
              <w:r>
                <w:rPr>
                  <w:rFonts w:ascii="Arial" w:cs="Arial" w:eastAsia="Arial" w:hAnsi="Arial"/>
                  <w:sz w:val="14"/>
                  <w:szCs w:val="14"/>
                  <w:color w:val="0000FF"/>
                </w:rPr>
                <w:t>Rule 13a-14(a) Certification of the Principal Executive Officer.</w:t>
              </w:r>
            </w:hyperlink>
          </w:p>
        </w:tc>
        <w:tc>
          <w:tcPr>
            <w:tcW w:w="5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31.2</w:t>
            </w:r>
          </w:p>
        </w:tc>
        <w:tc>
          <w:tcPr>
            <w:tcW w:w="340" w:type="dxa"/>
            <w:vAlign w:val="bottom"/>
          </w:tcPr>
          <w:p>
            <w:pPr>
              <w:spacing w:after="0"/>
              <w:rPr>
                <w:sz w:val="14"/>
                <w:szCs w:val="14"/>
                <w:color w:val="auto"/>
              </w:rPr>
            </w:pPr>
          </w:p>
        </w:tc>
        <w:tc>
          <w:tcPr>
            <w:tcW w:w="9380" w:type="dxa"/>
            <w:vAlign w:val="bottom"/>
            <w:gridSpan w:val="3"/>
          </w:tcPr>
          <w:p>
            <w:pPr>
              <w:spacing w:after="0"/>
              <w:rPr>
                <w:rFonts w:ascii="Arial" w:cs="Arial" w:eastAsia="Arial" w:hAnsi="Arial"/>
                <w:sz w:val="14"/>
                <w:szCs w:val="14"/>
                <w:color w:val="0000FF"/>
              </w:rPr>
            </w:pPr>
            <w:hyperlink w:anchor="page74">
              <w:r>
                <w:rPr>
                  <w:rFonts w:ascii="Arial" w:cs="Arial" w:eastAsia="Arial" w:hAnsi="Arial"/>
                  <w:sz w:val="14"/>
                  <w:szCs w:val="14"/>
                  <w:color w:val="0000FF"/>
                </w:rPr>
                <w:t>Rule 13a-14(a) Certification of the Principal Financial Officer</w:t>
              </w:r>
            </w:hyperlink>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1960" w:hanging="878"/>
        <w:spacing w:after="0"/>
        <w:tabs>
          <w:tab w:leader="none" w:pos="1960" w:val="left"/>
        </w:tabs>
        <w:numPr>
          <w:ilvl w:val="0"/>
          <w:numId w:val="17"/>
        </w:numPr>
        <w:rPr>
          <w:rFonts w:ascii="Arial" w:cs="Arial" w:eastAsia="Arial" w:hAnsi="Arial"/>
          <w:sz w:val="14"/>
          <w:szCs w:val="14"/>
          <w:u w:val="single" w:color="auto"/>
          <w:color w:val="0000FF"/>
        </w:rPr>
      </w:pPr>
      <w:hyperlink w:anchor="page75">
        <w:r>
          <w:rPr>
            <w:rFonts w:ascii="Arial" w:cs="Arial" w:eastAsia="Arial" w:hAnsi="Arial"/>
            <w:sz w:val="14"/>
            <w:szCs w:val="14"/>
            <w:u w:val="single" w:color="auto"/>
            <w:color w:val="0000FF"/>
          </w:rPr>
          <w:t>Section 1350 Certification of Chief Executive Officer and Chief Financial Officer.</w:t>
        </w:r>
      </w:hyperlink>
    </w:p>
    <w:p>
      <w:pPr>
        <w:spacing w:after="0" w:line="25" w:lineRule="exact"/>
        <w:rPr>
          <w:sz w:val="20"/>
          <w:szCs w:val="20"/>
          <w:color w:val="auto"/>
        </w:rPr>
      </w:pPr>
    </w:p>
    <w:p>
      <w:pPr>
        <w:ind w:left="1640" w:hanging="637"/>
        <w:spacing w:after="0" w:line="211" w:lineRule="auto"/>
        <w:tabs>
          <w:tab w:leader="none" w:pos="1958"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following materials from the Quarterly Report on Form 10-Q of Capital Bancorp, Inc. for the quarter ended March 31, 2021,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Unaudited Consolidated Financial Statements.</w:t>
      </w:r>
    </w:p>
    <w:p>
      <w:pPr>
        <w:spacing w:after="0" w:line="17" w:lineRule="exact"/>
        <w:rPr>
          <w:sz w:val="20"/>
          <w:szCs w:val="20"/>
          <w:color w:val="auto"/>
        </w:rPr>
      </w:pPr>
    </w:p>
    <w:p>
      <w:pPr>
        <w:ind w:left="1000"/>
        <w:spacing w:after="0"/>
        <w:tabs>
          <w:tab w:leader="none" w:pos="194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71" w:name="page72"/>
    <w:bookmarkEnd w:id="71"/>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CAPITAL BANCORP,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-20955</wp:posOffset>
            </wp:positionV>
            <wp:extent cx="14414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41450" cy="825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auto"/>
        </w:rPr>
        <w:t>Registrant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20"/>
                <w:szCs w:val="20"/>
                <w:color w:val="auto"/>
              </w:rPr>
            </w:pPr>
            <w:r>
              <w:rPr>
                <w:rFonts w:ascii="Arial" w:cs="Arial" w:eastAsia="Arial" w:hAnsi="Arial"/>
                <w:sz w:val="18"/>
                <w:szCs w:val="18"/>
                <w:color w:val="auto"/>
              </w:rPr>
              <w:t>Date: August 6, 2021</w:t>
            </w: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 Barry</w:t>
            </w:r>
          </w:p>
        </w:tc>
      </w:tr>
      <w:tr>
        <w:trPr>
          <w:trHeight w:val="231"/>
        </w:trPr>
        <w:tc>
          <w:tcPr>
            <w:tcW w:w="2260" w:type="dxa"/>
            <w:vAlign w:val="bottom"/>
          </w:tcPr>
          <w:p>
            <w:pPr>
              <w:ind w:left="980"/>
              <w:spacing w:after="0"/>
              <w:rPr>
                <w:sz w:val="20"/>
                <w:szCs w:val="20"/>
                <w:color w:val="auto"/>
              </w:rPr>
            </w:pPr>
            <w:r>
              <w:rPr>
                <w:rFonts w:ascii="Arial" w:cs="Arial" w:eastAsia="Arial" w:hAnsi="Arial"/>
                <w:sz w:val="18"/>
                <w:szCs w:val="18"/>
                <w:color w:val="auto"/>
              </w:rPr>
              <w:t>Ed Barry</w:t>
            </w:r>
          </w:p>
        </w:tc>
        <w:tc>
          <w:tcPr>
            <w:tcW w:w="1500" w:type="dxa"/>
            <w:vAlign w:val="bottom"/>
          </w:tcPr>
          <w:p>
            <w:pPr>
              <w:spacing w:after="0"/>
              <w:rPr>
                <w:sz w:val="20"/>
                <w:szCs w:val="20"/>
                <w:color w:val="auto"/>
              </w:rPr>
            </w:pPr>
          </w:p>
        </w:tc>
      </w:tr>
    </w:tbl>
    <w:p>
      <w:pPr>
        <w:ind w:left="3180"/>
        <w:spacing w:after="0"/>
        <w:rPr>
          <w:sz w:val="20"/>
          <w:szCs w:val="20"/>
          <w:color w:val="auto"/>
        </w:rPr>
      </w:pPr>
      <w:r>
        <w:rPr>
          <w:rFonts w:ascii="Arial" w:cs="Arial" w:eastAsia="Arial" w:hAnsi="Arial"/>
          <w:sz w:val="18"/>
          <w:szCs w:val="18"/>
          <w:color w:val="auto"/>
        </w:rPr>
        <w:t>Chief Executive Officer</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(Principal Executive Officer)</w:t>
      </w:r>
    </w:p>
    <w:p>
      <w:pPr>
        <w:spacing w:after="0" w:line="217"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7"/>
          <w:szCs w:val="17"/>
          <w:color w:val="auto"/>
        </w:rPr>
        <w:t>/s/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-20955</wp:posOffset>
            </wp:positionV>
            <wp:extent cx="12274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auto"/>
        </w:rPr>
        <w:t>Alan W. Jackson</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Chief Financial Officer</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Section 2: EX-31.1 (RULE 13A-14(A) CERTIFICATION OF THE PRINCIPAL EXECUTIVE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 Ed Barry, certify that:</w:t>
      </w:r>
    </w:p>
    <w:p>
      <w:pPr>
        <w:spacing w:after="0" w:line="217" w:lineRule="exact"/>
        <w:rPr>
          <w:sz w:val="20"/>
          <w:szCs w:val="20"/>
          <w:color w:val="auto"/>
        </w:rPr>
      </w:pPr>
    </w:p>
    <w:p>
      <w:pPr>
        <w:ind w:left="200" w:hanging="194"/>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17" w:lineRule="exact"/>
        <w:rPr>
          <w:rFonts w:ascii="Arial" w:cs="Arial" w:eastAsia="Arial" w:hAnsi="Arial"/>
          <w:sz w:val="18"/>
          <w:szCs w:val="18"/>
          <w:color w:val="auto"/>
        </w:rPr>
      </w:pPr>
    </w:p>
    <w:p>
      <w:pPr>
        <w:jc w:val="both"/>
        <w:ind w:firstLine="6"/>
        <w:spacing w:after="0" w:line="248" w:lineRule="auto"/>
        <w:tabs>
          <w:tab w:leader="none" w:pos="2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ind w:firstLine="6"/>
        <w:spacing w:after="0" w:line="251" w:lineRule="auto"/>
        <w:tabs>
          <w:tab w:leader="none" w:pos="199"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jc w:val="both"/>
        <w:ind w:firstLine="6"/>
        <w:spacing w:after="0" w:line="260" w:lineRule="auto"/>
        <w:tabs>
          <w:tab w:leader="none" w:pos="2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17" w:lineRule="exact"/>
        <w:rPr>
          <w:rFonts w:ascii="Arial" w:cs="Arial" w:eastAsia="Arial" w:hAnsi="Arial"/>
          <w:sz w:val="17"/>
          <w:szCs w:val="17"/>
          <w:color w:val="auto"/>
        </w:rPr>
      </w:pPr>
    </w:p>
    <w:p>
      <w:pPr>
        <w:jc w:val="both"/>
        <w:ind w:left="640" w:firstLine="2"/>
        <w:spacing w:after="0" w:line="248" w:lineRule="auto"/>
        <w:tabs>
          <w:tab w:leader="none" w:pos="8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6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ind w:firstLine="6"/>
        <w:spacing w:after="0" w:line="280" w:lineRule="auto"/>
        <w:tabs>
          <w:tab w:leader="none" w:pos="20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640" w:firstLine="2"/>
        <w:spacing w:after="0" w:line="251"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8"/>
          <w:szCs w:val="18"/>
          <w:color w:val="auto"/>
        </w:rPr>
      </w:pPr>
    </w:p>
    <w:p>
      <w:pPr>
        <w:ind w:left="640" w:firstLine="2"/>
        <w:spacing w:after="0" w:line="251" w:lineRule="auto"/>
        <w:tabs>
          <w:tab w:leader="none" w:pos="87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600" w:val="left"/>
          <w:tab w:leader="none" w:pos="2380" w:val="left"/>
        </w:tabs>
        <w:rPr>
          <w:sz w:val="20"/>
          <w:szCs w:val="20"/>
          <w:color w:val="auto"/>
        </w:rPr>
      </w:pPr>
      <w:r>
        <w:rPr>
          <w:rFonts w:ascii="Arial" w:cs="Arial" w:eastAsia="Arial" w:hAnsi="Arial"/>
          <w:sz w:val="18"/>
          <w:szCs w:val="18"/>
          <w:color w:val="auto"/>
        </w:rPr>
        <w:t>Date:</w:t>
        <w:tab/>
        <w:t>August 6, 2021</w:t>
      </w:r>
      <w:r>
        <w:rPr>
          <w:sz w:val="20"/>
          <w:szCs w:val="20"/>
          <w:color w:val="auto"/>
        </w:rPr>
        <w:tab/>
      </w:r>
      <w:r>
        <w:rPr>
          <w:rFonts w:ascii="Arial" w:cs="Arial" w:eastAsia="Arial" w:hAnsi="Arial"/>
          <w:sz w:val="17"/>
          <w:szCs w:val="17"/>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-20955</wp:posOffset>
            </wp:positionV>
            <wp:extent cx="8350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Ed Barry</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7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Section 2: EX-31.2 (RULE 13A-14(A) CERTIFICATION OF THE PRINCIPAL FINANCIAL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Alan W. Jackson, certify that:</w:t>
      </w:r>
    </w:p>
    <w:p>
      <w:pPr>
        <w:spacing w:after="0" w:line="217" w:lineRule="exact"/>
        <w:rPr>
          <w:sz w:val="20"/>
          <w:szCs w:val="20"/>
          <w:color w:val="auto"/>
        </w:rPr>
      </w:pPr>
    </w:p>
    <w:p>
      <w:pPr>
        <w:ind w:left="200" w:hanging="194"/>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17" w:lineRule="exact"/>
        <w:rPr>
          <w:rFonts w:ascii="Arial" w:cs="Arial" w:eastAsia="Arial" w:hAnsi="Arial"/>
          <w:sz w:val="18"/>
          <w:szCs w:val="18"/>
          <w:color w:val="auto"/>
        </w:rPr>
      </w:pPr>
    </w:p>
    <w:p>
      <w:pPr>
        <w:jc w:val="both"/>
        <w:ind w:firstLine="6"/>
        <w:spacing w:after="0" w:line="248" w:lineRule="auto"/>
        <w:tabs>
          <w:tab w:leader="none" w:pos="2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ind w:firstLine="6"/>
        <w:spacing w:after="0" w:line="251" w:lineRule="auto"/>
        <w:tabs>
          <w:tab w:leader="none" w:pos="1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jc w:val="both"/>
        <w:ind w:firstLine="6"/>
        <w:spacing w:after="0" w:line="260" w:lineRule="auto"/>
        <w:tabs>
          <w:tab w:leader="none" w:pos="20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17" w:lineRule="exact"/>
        <w:rPr>
          <w:rFonts w:ascii="Arial" w:cs="Arial" w:eastAsia="Arial" w:hAnsi="Arial"/>
          <w:sz w:val="17"/>
          <w:szCs w:val="17"/>
          <w:color w:val="auto"/>
        </w:rPr>
      </w:pPr>
    </w:p>
    <w:p>
      <w:pPr>
        <w:jc w:val="both"/>
        <w:ind w:left="640" w:firstLine="2"/>
        <w:spacing w:after="0" w:line="248" w:lineRule="auto"/>
        <w:tabs>
          <w:tab w:leader="none" w:pos="8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53"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41"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6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ind w:firstLine="6"/>
        <w:spacing w:after="0" w:line="280" w:lineRule="auto"/>
        <w:tabs>
          <w:tab w:leader="none" w:pos="20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640" w:firstLine="2"/>
        <w:spacing w:after="0" w:line="251"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8"/>
          <w:szCs w:val="18"/>
          <w:color w:val="auto"/>
        </w:rPr>
      </w:pPr>
    </w:p>
    <w:p>
      <w:pPr>
        <w:ind w:left="640" w:firstLine="2"/>
        <w:spacing w:after="0" w:line="251" w:lineRule="auto"/>
        <w:tabs>
          <w:tab w:leader="none" w:pos="87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7"/>
          <w:szCs w:val="17"/>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1748790</wp:posOffset>
            </wp:positionH>
            <wp:positionV relativeFrom="paragraph">
              <wp:posOffset>-20955</wp:posOffset>
            </wp:positionV>
            <wp:extent cx="11029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Alan W. Jackson</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72" w:right="339" w:bottom="1440" w:gutter="0" w:footer="0" w:header="0"/>
        </w:sectPr>
      </w:pPr>
    </w:p>
    <w:bookmarkStart w:id="74" w:name="page75"/>
    <w:bookmarkEnd w:id="74"/>
    <w:p>
      <w:pPr>
        <w:ind w:right="120"/>
        <w:spacing w:after="0" w:line="276" w:lineRule="auto"/>
        <w:rPr>
          <w:sz w:val="20"/>
          <w:szCs w:val="20"/>
          <w:color w:val="auto"/>
        </w:rPr>
      </w:pPr>
      <w:r>
        <w:rPr>
          <w:rFonts w:ascii="Arial" w:cs="Arial" w:eastAsia="Arial" w:hAnsi="Arial"/>
          <w:sz w:val="18"/>
          <w:szCs w:val="18"/>
          <w:b w:val="1"/>
          <w:bCs w:val="1"/>
          <w:color w:val="auto"/>
        </w:rPr>
        <w:t>Section 2: EX-32 (Certification Pursuant to 18 U.S.C. Section 1350, As Adopted Pursuant to Section 906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9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connection with the Quarterly Report of Capital Bancorp, Inc. (the “Company”) on Form 10-Q for the period ended June 30, 2021,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87"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7" w:lineRule="exact"/>
        <w:rPr>
          <w:rFonts w:ascii="Arial" w:cs="Arial" w:eastAsia="Arial" w:hAnsi="Arial"/>
          <w:sz w:val="18"/>
          <w:szCs w:val="18"/>
          <w:color w:val="auto"/>
        </w:rPr>
      </w:pPr>
    </w:p>
    <w:p>
      <w:pPr>
        <w:ind w:left="640" w:hanging="316"/>
        <w:spacing w:after="0" w:line="251"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600" w:val="left"/>
          <w:tab w:leader="none" w:pos="2380" w:val="left"/>
        </w:tabs>
        <w:rPr>
          <w:sz w:val="20"/>
          <w:szCs w:val="20"/>
          <w:color w:val="auto"/>
        </w:rPr>
      </w:pPr>
      <w:r>
        <w:rPr>
          <w:rFonts w:ascii="Arial" w:cs="Arial" w:eastAsia="Arial" w:hAnsi="Arial"/>
          <w:sz w:val="18"/>
          <w:szCs w:val="18"/>
          <w:color w:val="auto"/>
        </w:rPr>
        <w:t>Date:</w:t>
        <w:tab/>
        <w:t>August 6, 2021</w:t>
      </w:r>
      <w:r>
        <w:rPr>
          <w:sz w:val="20"/>
          <w:szCs w:val="20"/>
          <w:color w:val="auto"/>
        </w:rPr>
        <w:tab/>
      </w:r>
      <w:r>
        <w:rPr>
          <w:rFonts w:ascii="Arial" w:cs="Arial" w:eastAsia="Arial" w:hAnsi="Arial"/>
          <w:sz w:val="17"/>
          <w:szCs w:val="17"/>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-20955</wp:posOffset>
            </wp:positionV>
            <wp:extent cx="8350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Ed Barry</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-20955</wp:posOffset>
            </wp:positionV>
            <wp:extent cx="11029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Alan W. Jackson</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32"/>
    </w:lvl>
  </w:abstractNum>
  <w:abstractNum w:abstractNumId="17">
    <w:nsid w:val="257130A3"/>
    <w:multiLevelType w:val="hybridMultilevel"/>
    <w:lvl w:ilvl="0">
      <w:lvlJc w:val="left"/>
      <w:lvlText w:val="%1"/>
      <w:numFmt w:val="decimal"/>
      <w:start w:val="10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2021-08-06T14:15:50Z</dcterms:created>
  <dcterms:modified xsi:type="dcterms:W3CDTF">2021-08-06T14:15:50Z</dcterms:modified>
</cp:coreProperties>
</file>