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UNITED STATES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SECURITIES AND EXCHANGE COMMISSION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Washington, D.C. 20549</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FORM 8-K</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CURRENT REPORT</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PURSUANT TO SECTION 13 OR 15(d) OF THE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SECURITIES EXCHANGE ACT OF 1934</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Date of Report (Date of earliest event reported): August 14, 2026</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u w:val="single"/>
        </w:rPr>
      </w:pPr>
      <w:r>
        <w:rPr>
          <w:rFonts w:ascii="Arial;sans-serif" w:hAnsi="Arial;sans-serif"/>
          <w:b/>
          <w:color w:val="000000"/>
          <w:sz w:val="24"/>
          <w:u w:val="single"/>
        </w:rPr>
        <w:t>CAPITAL BANCORP, INC.</w:t>
      </w:r>
    </w:p>
    <w:p>
      <w:pPr>
        <w:pStyle w:val="TextBody"/>
        <w:bidi w:val="0"/>
        <w:spacing w:lineRule="auto" w:line="288" w:before="0" w:after="0"/>
        <w:jc w:val="center"/>
        <w:rPr>
          <w:rFonts w:ascii="Arial;sans-serif" w:hAnsi="Arial;sans-serif"/>
          <w:b w:val="false"/>
          <w:color w:val="000000"/>
          <w:sz w:val="12"/>
        </w:rPr>
      </w:pPr>
      <w:r>
        <w:rPr>
          <w:rFonts w:ascii="Arial;sans-serif" w:hAnsi="Arial;sans-serif"/>
          <w:b w:val="false"/>
          <w:color w:val="000000"/>
          <w:sz w:val="12"/>
        </w:rPr>
        <w:t>(Exact name of registrant as specified in its charter)</w:t>
      </w:r>
    </w:p>
    <w:p>
      <w:pPr>
        <w:pStyle w:val="TextBody"/>
        <w:bidi w:val="0"/>
        <w:spacing w:lineRule="auto" w:line="288" w:before="0" w:after="0"/>
        <w:jc w:val="left"/>
        <w:rPr>
          <w:color w:val="000000"/>
        </w:rPr>
      </w:pPr>
      <w:r>
        <w:rPr>
          <w:color w:val="000000"/>
        </w:rPr>
        <w:t> </w:t>
      </w:r>
    </w:p>
    <w:tbl>
      <w:tblPr>
        <w:tblW w:w="6344" w:type="dxa"/>
        <w:jc w:val="center"/>
        <w:tblInd w:w="0" w:type="dxa"/>
        <w:tblLayout w:type="fixed"/>
        <w:tblCellMar>
          <w:top w:w="28" w:type="dxa"/>
          <w:left w:w="28" w:type="dxa"/>
          <w:bottom w:w="28" w:type="dxa"/>
          <w:right w:w="28" w:type="dxa"/>
        </w:tblCellMar>
      </w:tblPr>
      <w:tblGrid>
        <w:gridCol w:w="1109"/>
        <w:gridCol w:w="972"/>
        <w:gridCol w:w="979"/>
        <w:gridCol w:w="484"/>
        <w:gridCol w:w="484"/>
        <w:gridCol w:w="487"/>
        <w:gridCol w:w="534"/>
        <w:gridCol w:w="534"/>
        <w:gridCol w:w="761"/>
      </w:tblGrid>
      <w:tr>
        <w:trPr/>
        <w:tc>
          <w:tcPr>
            <w:tcW w:w="110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u w:val="single"/>
              </w:rPr>
            </w:pPr>
            <w:r>
              <w:rPr>
                <w:rFonts w:ascii="Arial;sans-serif" w:hAnsi="Arial;sans-serif"/>
                <w:b w:val="false"/>
                <w:color w:val="000000"/>
                <w:sz w:val="20"/>
                <w:u w:val="single"/>
              </w:rPr>
              <w:t>Maryland</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u w:val="single"/>
              </w:rPr>
            </w:pPr>
            <w:r>
              <w:rPr>
                <w:rFonts w:ascii="Arial;sans-serif" w:hAnsi="Arial;sans-serif"/>
                <w:b w:val="false"/>
                <w:color w:val="000000"/>
                <w:sz w:val="20"/>
                <w:u w:val="single"/>
              </w:rPr>
              <w:t>001-38671</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u w:val="single"/>
              </w:rPr>
            </w:pPr>
            <w:r>
              <w:rPr>
                <w:rFonts w:ascii="Arial;sans-serif" w:hAnsi="Arial;sans-serif"/>
                <w:b w:val="false"/>
                <w:color w:val="000000"/>
                <w:sz w:val="20"/>
                <w:u w:val="single"/>
              </w:rPr>
              <w:t>52-2083046</w:t>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2"/>
              </w:rPr>
            </w:pPr>
            <w:r>
              <w:rPr>
                <w:rFonts w:ascii="Arial;sans-serif" w:hAnsi="Arial;sans-serif"/>
                <w:b w:val="false"/>
                <w:color w:val="000000"/>
                <w:sz w:val="12"/>
              </w:rPr>
              <w:t>(State or other jurisdiction of incorporation or organization)</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2"/>
              </w:rPr>
            </w:pPr>
            <w:r>
              <w:rPr>
                <w:rFonts w:ascii="Arial;sans-serif" w:hAnsi="Arial;sans-serif"/>
                <w:b w:val="false"/>
                <w:color w:val="000000"/>
                <w:sz w:val="12"/>
              </w:rPr>
              <w:t>(Commission file number)</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2"/>
              </w:rPr>
            </w:pPr>
            <w:r>
              <w:rPr>
                <w:rFonts w:ascii="Arial;sans-serif" w:hAnsi="Arial;sans-serif"/>
                <w:b w:val="false"/>
                <w:color w:val="000000"/>
                <w:sz w:val="12"/>
              </w:rPr>
              <w:t>(IRS Employer Identification No.)</w:t>
            </w:r>
          </w:p>
        </w:tc>
      </w:tr>
    </w:tbl>
    <w:p>
      <w:pPr>
        <w:pStyle w:val="TextBody"/>
        <w:bidi w:val="0"/>
        <w:spacing w:lineRule="auto" w:line="288" w:before="100" w:after="283"/>
        <w:jc w:val="center"/>
        <w:rPr>
          <w:rFonts w:ascii="Arial;sans-serif" w:hAnsi="Arial;sans-serif"/>
          <w:b w:val="false"/>
          <w:color w:val="000000"/>
          <w:sz w:val="20"/>
          <w:u w:val="single"/>
        </w:rPr>
      </w:pPr>
      <w:r>
        <w:rPr>
          <w:rFonts w:ascii="Arial;sans-serif" w:hAnsi="Arial;sans-serif"/>
          <w:b w:val="false"/>
          <w:color w:val="000000"/>
          <w:sz w:val="20"/>
          <w:u w:val="single"/>
        </w:rPr>
        <w:t xml:space="preserve">2275 Research Boulevard, Suite 600, Rockville, Maryland 20850 </w:t>
      </w:r>
    </w:p>
    <w:p>
      <w:pPr>
        <w:pStyle w:val="TextBody"/>
        <w:bidi w:val="0"/>
        <w:spacing w:lineRule="auto" w:line="288" w:before="0" w:after="100"/>
        <w:jc w:val="center"/>
        <w:rPr>
          <w:rFonts w:ascii="Arial;sans-serif" w:hAnsi="Arial;sans-serif"/>
          <w:b w:val="false"/>
          <w:color w:val="000000"/>
          <w:sz w:val="12"/>
        </w:rPr>
      </w:pPr>
      <w:r>
        <w:rPr>
          <w:rFonts w:ascii="Arial;sans-serif" w:hAnsi="Arial;sans-serif"/>
          <w:b w:val="false"/>
          <w:color w:val="000000"/>
          <w:sz w:val="12"/>
        </w:rPr>
        <w:t>(Address of principal executive offices) (Zip Code)</w:t>
      </w:r>
    </w:p>
    <w:p>
      <w:pPr>
        <w:pStyle w:val="TextBody"/>
        <w:bidi w:val="0"/>
        <w:spacing w:lineRule="auto" w:line="288" w:before="0" w:after="100"/>
        <w:jc w:val="center"/>
        <w:rPr>
          <w:rFonts w:ascii="Arial;sans-serif" w:hAnsi="Arial;sans-serif"/>
          <w:b w:val="false"/>
          <w:color w:val="000000"/>
          <w:sz w:val="20"/>
          <w:u w:val="single"/>
        </w:rPr>
      </w:pPr>
      <w:r>
        <w:rPr>
          <w:rFonts w:ascii="Arial;sans-serif" w:hAnsi="Arial;sans-serif"/>
          <w:b w:val="false"/>
          <w:color w:val="000000"/>
          <w:sz w:val="20"/>
          <w:u w:val="single"/>
        </w:rPr>
        <w:t xml:space="preserve">(301) 468-8848 </w:t>
      </w:r>
    </w:p>
    <w:p>
      <w:pPr>
        <w:pStyle w:val="TextBody"/>
        <w:bidi w:val="0"/>
        <w:spacing w:lineRule="auto" w:line="288" w:before="0" w:after="0"/>
        <w:jc w:val="center"/>
        <w:rPr>
          <w:rFonts w:ascii="Arial;sans-serif" w:hAnsi="Arial;sans-serif"/>
          <w:b w:val="false"/>
          <w:color w:val="000000"/>
          <w:sz w:val="12"/>
        </w:rPr>
      </w:pPr>
      <w:r>
        <w:rPr>
          <w:rFonts w:ascii="Arial;sans-serif" w:hAnsi="Arial;sans-serif"/>
          <w:b w:val="false"/>
          <w:color w:val="000000"/>
          <w:sz w:val="12"/>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u w:val="single"/>
        </w:rPr>
      </w:pPr>
      <w:r>
        <w:rPr>
          <w:rFonts w:ascii="Arial;sans-serif" w:hAnsi="Arial;sans-serif"/>
          <w:b w:val="false"/>
          <w:color w:val="000000"/>
          <w:sz w:val="20"/>
          <w:u w:val="single"/>
        </w:rPr>
        <w:t>Not Applicable</w:t>
      </w:r>
    </w:p>
    <w:p>
      <w:pPr>
        <w:pStyle w:val="TextBody"/>
        <w:bidi w:val="0"/>
        <w:spacing w:lineRule="auto" w:line="288" w:before="0" w:after="0"/>
        <w:jc w:val="center"/>
        <w:rPr>
          <w:rFonts w:ascii="Arial;sans-serif" w:hAnsi="Arial;sans-serif"/>
          <w:b w:val="false"/>
          <w:color w:val="000000"/>
          <w:sz w:val="12"/>
        </w:rPr>
      </w:pPr>
      <w:r>
        <w:rPr>
          <w:rFonts w:ascii="Arial;sans-serif" w:hAnsi="Arial;sans-serif"/>
          <w:b w:val="false"/>
          <w:color w:val="000000"/>
          <w:sz w:val="12"/>
        </w:rPr>
        <w:t>(Former Name or Former Address, if Changed Since Last Report)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Check the appropriate box below if the Form 8-K filing is intended to simultaneously satisfy the filing obligations of the registrant under any of the following provisions:</w:t>
      </w:r>
    </w:p>
    <w:p>
      <w:pPr>
        <w:pStyle w:val="TextBody"/>
        <w:bidi w:val="0"/>
        <w:spacing w:before="0" w:after="0"/>
        <w:jc w:val="left"/>
        <w:rPr/>
      </w:pPr>
      <w:r>
        <w:rPr/>
      </w:r>
    </w:p>
    <w:p>
      <w:pPr>
        <w:pStyle w:val="TextBody"/>
        <w:bidi w:val="0"/>
        <w:spacing w:lineRule="auto" w:line="288" w:before="0" w:after="240"/>
        <w:ind w:left="0" w:right="0" w:hanging="360"/>
        <w:jc w:val="left"/>
        <w:rPr/>
      </w:pPr>
      <w:r>
        <w:rPr>
          <w:color w:val="000000"/>
        </w:rPr>
        <w:t>☐    </w:t>
      </w:r>
      <w:r>
        <w:rPr>
          <w:rFonts w:ascii="Arial;sans-serif" w:hAnsi="Arial;sans-serif"/>
          <w:b w:val="false"/>
          <w:color w:val="000000"/>
          <w:sz w:val="20"/>
        </w:rPr>
        <w:t>Written communications pursuant to Rule 425 under the Securities Act (17 CFR 230.425)</w:t>
      </w:r>
    </w:p>
    <w:p>
      <w:pPr>
        <w:pStyle w:val="TextBody"/>
        <w:bidi w:val="0"/>
        <w:spacing w:before="0" w:after="0"/>
        <w:ind w:left="0" w:right="0" w:hanging="360"/>
        <w:jc w:val="left"/>
        <w:rPr/>
      </w:pPr>
      <w:r>
        <w:rPr/>
      </w:r>
    </w:p>
    <w:p>
      <w:pPr>
        <w:pStyle w:val="TextBody"/>
        <w:bidi w:val="0"/>
        <w:spacing w:lineRule="auto" w:line="288" w:before="0" w:after="240"/>
        <w:ind w:left="0" w:right="0" w:hanging="360"/>
        <w:jc w:val="left"/>
        <w:rPr/>
      </w:pPr>
      <w:r>
        <w:rPr>
          <w:color w:val="000000"/>
        </w:rPr>
        <w:t>☐    </w:t>
      </w:r>
      <w:r>
        <w:rPr>
          <w:rFonts w:ascii="Arial;sans-serif" w:hAnsi="Arial;sans-serif"/>
          <w:b w:val="false"/>
          <w:color w:val="000000"/>
          <w:sz w:val="20"/>
        </w:rPr>
        <w:t>Soliciting material pursuant to Rule 14a-12 under the Exchange Act (17 CFR 240.14a-12)</w:t>
      </w:r>
    </w:p>
    <w:p>
      <w:pPr>
        <w:pStyle w:val="TextBody"/>
        <w:bidi w:val="0"/>
        <w:spacing w:before="0" w:after="0"/>
        <w:ind w:left="0" w:right="0" w:hanging="360"/>
        <w:jc w:val="left"/>
        <w:rPr/>
      </w:pPr>
      <w:r>
        <w:rPr/>
      </w:r>
    </w:p>
    <w:p>
      <w:pPr>
        <w:pStyle w:val="TextBody"/>
        <w:bidi w:val="0"/>
        <w:spacing w:lineRule="auto" w:line="288" w:before="0" w:after="240"/>
        <w:ind w:left="0" w:right="0" w:hanging="360"/>
        <w:jc w:val="left"/>
        <w:rPr/>
      </w:pPr>
      <w:r>
        <w:rPr>
          <w:color w:val="000000"/>
        </w:rPr>
        <w:t>☐    </w:t>
      </w:r>
      <w:r>
        <w:rPr>
          <w:rFonts w:ascii="Arial;sans-serif" w:hAnsi="Arial;sans-serif"/>
          <w:b w:val="false"/>
          <w:color w:val="000000"/>
          <w:sz w:val="20"/>
        </w:rPr>
        <w:t>Pre-commencement communications pursuant to Rule 14d-2(b) under the Exchange Act (17 CFR 240.14d-2(b))</w:t>
      </w:r>
    </w:p>
    <w:p>
      <w:pPr>
        <w:pStyle w:val="TextBody"/>
        <w:bidi w:val="0"/>
        <w:spacing w:before="0" w:after="0"/>
        <w:ind w:left="0" w:right="0" w:hanging="360"/>
        <w:jc w:val="left"/>
        <w:rPr/>
      </w:pPr>
      <w:r>
        <w:rPr/>
      </w:r>
    </w:p>
    <w:p>
      <w:pPr>
        <w:pStyle w:val="TextBody"/>
        <w:bidi w:val="0"/>
        <w:spacing w:lineRule="auto" w:line="288" w:before="0" w:after="240"/>
        <w:ind w:left="0" w:right="0" w:hanging="360"/>
        <w:jc w:val="left"/>
        <w:rPr/>
      </w:pPr>
      <w:r>
        <w:rPr>
          <w:color w:val="000000"/>
        </w:rPr>
        <w:t>☐    </w:t>
      </w:r>
      <w:r>
        <w:rPr>
          <w:rFonts w:ascii="Arial;sans-serif" w:hAnsi="Arial;sans-serif"/>
          <w:b w:val="false"/>
          <w:color w:val="000000"/>
          <w:sz w:val="20"/>
        </w:rPr>
        <w:t>Pre-commencement communications pursuant to Rule 13e-4(c) under the Exchange Act (17 CFR 240.13e-4(c))</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bl>
      <w:tblPr>
        <w:tblW w:w="9447" w:type="dxa"/>
        <w:jc w:val="center"/>
        <w:tblInd w:w="0" w:type="dxa"/>
        <w:tblLayout w:type="fixed"/>
        <w:tblCellMar>
          <w:top w:w="28" w:type="dxa"/>
          <w:left w:w="28" w:type="dxa"/>
          <w:bottom w:w="28" w:type="dxa"/>
          <w:right w:w="28" w:type="dxa"/>
        </w:tblCellMar>
      </w:tblPr>
      <w:tblGrid>
        <w:gridCol w:w="1373"/>
        <w:gridCol w:w="1207"/>
        <w:gridCol w:w="1214"/>
        <w:gridCol w:w="489"/>
        <w:gridCol w:w="489"/>
        <w:gridCol w:w="491"/>
        <w:gridCol w:w="1223"/>
        <w:gridCol w:w="1223"/>
        <w:gridCol w:w="1738"/>
      </w:tblGrid>
      <w:tr>
        <w:trPr/>
        <w:tc>
          <w:tcPr>
            <w:tcW w:w="1373"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 of Each Class</w:t>
            </w:r>
          </w:p>
        </w:tc>
        <w:tc>
          <w:tcPr>
            <w:tcW w:w="14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Trading Symbol</w:t>
            </w:r>
          </w:p>
        </w:tc>
        <w:tc>
          <w:tcPr>
            <w:tcW w:w="418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 of Each Exchange on Which Registered</w:t>
            </w:r>
          </w:p>
        </w:tc>
      </w:tr>
      <w:tr>
        <w:trPr/>
        <w:tc>
          <w:tcPr>
            <w:tcW w:w="37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Common Stock, par value $0.01 per share</w:t>
            </w:r>
          </w:p>
        </w:tc>
        <w:tc>
          <w:tcPr>
            <w:tcW w:w="146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CBNK</w:t>
            </w:r>
          </w:p>
        </w:tc>
        <w:tc>
          <w:tcPr>
            <w:tcW w:w="418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NASDAQ Stock Market</w:t>
            </w:r>
          </w:p>
        </w:tc>
      </w:tr>
    </w:tbl>
    <w:p>
      <w:pPr>
        <w:pStyle w:val="TextBody"/>
        <w:bidi w:val="0"/>
        <w:spacing w:before="0" w:after="0"/>
        <w:jc w:val="center"/>
        <w:rPr/>
      </w:pPr>
      <w:r>
        <w:rPr/>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200"/>
        <w:jc w:val="left"/>
        <w:rPr/>
      </w:pPr>
      <w:r>
        <w:rPr>
          <w:rFonts w:ascii="Arial;sans-serif" w:hAnsi="Arial;sans-serif"/>
          <w:b w:val="false"/>
          <w:color w:val="000000"/>
          <w:sz w:val="20"/>
        </w:rPr>
        <w:t xml:space="preserve">Emerging growth company </w:t>
      </w:r>
      <w:r>
        <w:rPr>
          <w:color w:val="000000"/>
        </w:rPr>
        <w:t xml:space="preserve">☐ </w:t>
      </w:r>
    </w:p>
    <w:p>
      <w:pPr>
        <w:pStyle w:val="TextBody"/>
        <w:bidi w:val="0"/>
        <w:spacing w:lineRule="auto" w:line="288" w:before="0" w:after="240"/>
        <w:jc w:val="both"/>
        <w:rPr/>
      </w:pPr>
      <w:r>
        <w:rPr>
          <w:rFonts w:ascii="Arial;sans-serif" w:hAnsi="Arial;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0"/>
        </w:rPr>
      </w:pPr>
      <w:r>
        <w:rPr>
          <w:rFonts w:ascii="Arial;sans-serif" w:hAnsi="Arial;sans-serif"/>
          <w:b/>
          <w:color w:val="000000"/>
          <w:sz w:val="20"/>
        </w:rPr>
        <w:t>Item 4.01 Change in Registrant's Certifying Accountant.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On August 14, 2026, Capital Bancorp, Inc., a Maryland corporation (the “Company”) dismissed Elliott Davis, PLLC as the Company’s independent registered public accounting firm, and informed Crowe LLP that the Audit Committee of the Company’s Board of Directors had approved the selection of Crowe LLP as the Company’s independent registered public accounting firm for the fiscal year ending December 31, 2026. The dismissal of Elliott Davis, PLLC was approved by the Audit Committee of the Board of Directors of the Company. As of the date of this Current Report on Form 8-K, Crowe LLP has been formally engaged as the Company's independent registered public accounting firm.</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The Audit Committee determined to engage a larger independent registered public accounting firm with additional resources and industry specialization to support the Company's continued growth and expanding operations.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audit reports of Elliott Davis, PLLC on the Company’s consolidated financial statements as of and for the years ended December 31, 2025 and 2024 did not contain an adverse opinion or a disclaimer of opinion, nor were they qualified or modified as to uncertainty, audit scope or accounting principles.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During the fiscal years ended December 31, 2025 and 2024, and through August 14, 2026, there have been no (a) disagreements with Elliott Davis, PLLC on any matter of accounting principles or practices, financial statement disclosure, or auditing scope or procedure, which, if not resolved to Elliott Davis, PLLC’s satisfaction, would have caused it to make reference to the subject matter of the disagreement in connection with its reports on the Company’s financial statements, or (b) any reportable events requiring disclosure pursuant to Item 304(a)(1)(v) of Regulation S-K, other than a material weakness in the Company's internal control over financial reporting disclosed by the Company in its Annual Report on Form 10-K for the fiscal year ended December 31, 2025.</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The Company has provided a copy of the foregoing disclosures to Elliott Davis, PLLC and requested that Elliott Davis, PLLC furnish the Company with a letter addressed to the Securities and Exchange Commission stating whether Elliott Davis, PLLC agrees with the above statements. A copy of Elliott Davis, PLLC’s letter to the Securities and Exchange Commission, dated August 14, 2026, is filed as Exhibit 16.1 to this Form 8-K.</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Except as disclosed below, during the fiscal years ended December 31, 2025 and 2024, and through August 14, 2026, neither the Company, nor anyone on its behalf, consulted with Crowe LLP regarding: (i) either the application of accounting principles to a specified transaction, either completed or proposed, or the type of audit opinion that might be rendered on the Company’s financial statements; or (ii) any matter that was either the subject of a “disagreement,” as described in Item 304(a)(1)(iv) of Regulation S-K, or any “reportable events,” as defined in Item 304(a)(1)(v) of Regulation S-K. Previously, in conjunction with the Company’s October 1, 2024 acquisition of Integrated Financial Holdings, Inc., the Company engaged Crowe LLP for the Valuation of the Loan Portfolio, Core Deposit Customer Relationship Intangible Asset, Certificates of Deposit, Customer Relationships, Trade name, Assembled Workforce and Windsor Advantage, LLC entity.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before="0" w:after="0"/>
        <w:ind w:left="0" w:right="0" w:firstLine="720"/>
        <w:jc w:val="both"/>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(d) Exhibits: The following exhibits are filed as part of this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050"/>
                <wp:effectExtent l="0" t="0" r="0" b="0"/>
                <wp:wrapNone/>
                <wp:docPr id="2" name="Frame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8502" w:type="dxa"/>
        <w:jc w:val="left"/>
        <w:tblInd w:w="0" w:type="dxa"/>
        <w:tblLayout w:type="fixed"/>
        <w:tblCellMar>
          <w:top w:w="28" w:type="dxa"/>
          <w:left w:w="28" w:type="dxa"/>
          <w:bottom w:w="28" w:type="dxa"/>
          <w:right w:w="28" w:type="dxa"/>
        </w:tblCellMar>
      </w:tblPr>
      <w:tblGrid>
        <w:gridCol w:w="418"/>
        <w:gridCol w:w="367"/>
        <w:gridCol w:w="370"/>
        <w:gridCol w:w="109"/>
        <w:gridCol w:w="109"/>
        <w:gridCol w:w="109"/>
        <w:gridCol w:w="2053"/>
        <w:gridCol w:w="2053"/>
        <w:gridCol w:w="2914"/>
      </w:tblGrid>
      <w:tr>
        <w:trPr/>
        <w:tc>
          <w:tcPr>
            <w:tcW w:w="4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3" w:type="dxa"/>
            <w:tcBorders/>
            <w:vAlign w:val="center"/>
          </w:tcPr>
          <w:p>
            <w:pPr>
              <w:pStyle w:val="TableContents"/>
              <w:bidi w:val="0"/>
              <w:spacing w:before="0" w:after="283"/>
              <w:jc w:val="left"/>
              <w:rPr>
                <w:sz w:val="4"/>
                <w:szCs w:val="4"/>
              </w:rPr>
            </w:pPr>
            <w:r>
              <w:rPr>
                <w:sz w:val="4"/>
                <w:szCs w:val="4"/>
              </w:rPr>
            </w:r>
          </w:p>
        </w:tc>
        <w:tc>
          <w:tcPr>
            <w:tcW w:w="2053" w:type="dxa"/>
            <w:tcBorders/>
            <w:vAlign w:val="center"/>
          </w:tcPr>
          <w:p>
            <w:pPr>
              <w:pStyle w:val="TableContents"/>
              <w:bidi w:val="0"/>
              <w:spacing w:before="0" w:after="283"/>
              <w:jc w:val="left"/>
              <w:rPr>
                <w:sz w:val="4"/>
                <w:szCs w:val="4"/>
              </w:rPr>
            </w:pPr>
            <w:r>
              <w:rPr>
                <w:sz w:val="4"/>
                <w:szCs w:val="4"/>
              </w:rPr>
            </w:r>
          </w:p>
        </w:tc>
        <w:tc>
          <w:tcPr>
            <w:tcW w:w="2914"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20"/>
              </w:rPr>
            </w:pPr>
            <w:r>
              <w:rPr>
                <w:rFonts w:ascii="Arial;sans-serif" w:hAnsi="Arial;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20"/>
              </w:rPr>
            </w:pPr>
            <w:r>
              <w:rPr>
                <w:rFonts w:ascii="Arial;sans-serif" w:hAnsi="Arial;sans-serif"/>
                <w:b/>
                <w:color w:val="000000"/>
                <w:sz w:val="20"/>
              </w:rPr>
              <w:t>Description</w:t>
            </w:r>
          </w:p>
        </w:tc>
      </w:tr>
      <w:tr>
        <w:trPr/>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161elliottdavisletter.htm">
              <w:r>
                <w:rPr>
                  <w:rStyle w:val="InternetLink"/>
                  <w:rFonts w:ascii="Arial;sans-serif" w:hAnsi="Arial;sans-serif"/>
                  <w:b w:val="false"/>
                  <w:color w:val="0000FF"/>
                  <w:sz w:val="20"/>
                  <w:u w:val="single"/>
                </w:rPr>
                <w:t>Letter of Elliott Davis, PLLC to the Securities and Exchange Commission</w:t>
              </w:r>
            </w:hyperlink>
          </w:p>
        </w:tc>
      </w:tr>
      <w:tr>
        <w:trPr/>
        <w:tc>
          <w:tcPr>
            <w:tcW w:w="115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tbl>
      <w:tblPr>
        <w:tblW w:w="6547" w:type="dxa"/>
        <w:jc w:val="center"/>
        <w:tblInd w:w="0" w:type="dxa"/>
        <w:tblLayout w:type="fixed"/>
        <w:tblCellMar>
          <w:top w:w="28" w:type="dxa"/>
          <w:left w:w="28" w:type="dxa"/>
          <w:bottom w:w="28" w:type="dxa"/>
          <w:right w:w="28" w:type="dxa"/>
        </w:tblCellMar>
      </w:tblPr>
      <w:tblGrid>
        <w:gridCol w:w="749"/>
        <w:gridCol w:w="657"/>
        <w:gridCol w:w="664"/>
        <w:gridCol w:w="1404"/>
        <w:gridCol w:w="1404"/>
        <w:gridCol w:w="1406"/>
        <w:gridCol w:w="109"/>
        <w:gridCol w:w="154"/>
      </w:tblGrid>
      <w:tr>
        <w:trPr/>
        <w:tc>
          <w:tcPr>
            <w:tcW w:w="74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CAPITAL BANCORP, INC.                             </w:t>
            </w:r>
          </w:p>
        </w:tc>
        <w:tc>
          <w:tcPr>
            <w:tcW w:w="263" w:type="dxa"/>
            <w:gridSpan w:val="2"/>
            <w:tcBorders/>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August 14, 2026</w:t>
            </w:r>
          </w:p>
        </w:tc>
        <w:tc>
          <w:tcPr>
            <w:tcW w:w="421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By: </w:t>
            </w:r>
            <w:r>
              <w:rPr>
                <w:rFonts w:ascii="Arial;sans-serif" w:hAnsi="Arial;sans-serif"/>
                <w:b w:val="false"/>
                <w:color w:val="000000"/>
                <w:sz w:val="20"/>
                <w:u w:val="single"/>
              </w:rPr>
              <w:t>/s/ Jacob Dalaya</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 Jacob Dalaya</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 Chief Financial Officer</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Exhibit 16.1</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August 14,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Securities and Exchange Commission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100 F Street, N.E.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Washington, D.C. 20549</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Commissioners:</w:t>
      </w:r>
    </w:p>
    <w:p>
      <w:pPr>
        <w:pStyle w:val="TextBody"/>
        <w:bidi w:val="0"/>
        <w:spacing w:before="0" w:after="0"/>
        <w:jc w:val="left"/>
        <w:rPr/>
      </w:pPr>
      <w:r>
        <w:rPr/>
      </w:r>
    </w:p>
    <w:p>
      <w:pPr>
        <w:pStyle w:val="TextBody"/>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We have read Item 4.01 of the Form 8-K of Capital Bancorp, Inc. dated August 14, 2026, and are in agreement with the statements concerning Elliott Davis, PLLC contained in the first sentence in the first paragraph and the third, fourth, and fifth paragraphs therein. We have no basis to agree or disagree with other statements of the registrant contained therein.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Very truly yours,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/s/ Elliott Davis, PLLC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Elliott Davis, PLLC</w:t>
      </w:r>
    </w:p>
    <w:p>
      <w:pPr>
        <w:pStyle w:val="TextBody"/>
        <w:bidi w:val="0"/>
        <w:spacing w:lineRule="auto" w:line="288"/>
        <w:jc w:val="left"/>
        <w:rPr>
          <w:rFonts w:ascii="Arial;sans-serif" w:hAnsi="Arial;sans-serif"/>
          <w:b w:val="false"/>
          <w:color w:val="000000"/>
          <w:sz w:val="20"/>
        </w:rPr>
      </w:pPr>
      <w:r>
        <w:rPr>
          <w:rFonts w:ascii="Arial;sans-serif" w:hAnsi="Arial;sans-serif"/>
          <w:b w:val="false"/>
          <w:color w:val="000000"/>
          <w:sz w:val="20"/>
        </w:rPr>
        <w:t>Raleigh, North Carolina</w:t>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1013</Words>
  <Characters>5577</Characters>
  <CharactersWithSpaces>6567</CharactersWithSpaces>
  <Paragraphs>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