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83" w:lineRule="exact"/>
        <w:rPr>
          <w:sz w:val="24"/>
          <w:szCs w:val="24"/>
          <w:color w:val="auto"/>
        </w:rPr>
      </w:pPr>
    </w:p>
    <w:p>
      <w:pPr>
        <w:ind w:right="3840" w:firstLine="6"/>
        <w:spacing w:after="0" w:line="335" w:lineRule="auto"/>
        <w:tabs>
          <w:tab w:leader="none" w:pos="16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136525</wp:posOffset>
            </wp:positionV>
            <wp:extent cx="2835275" cy="387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7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6"/>
              </w:rPr>
              <w:t>CAPITAL BANCORP INC.</w:t>
            </w:r>
          </w:p>
        </w:tc>
        <w:tc>
          <w:tcPr>
            <w:tcW w:w="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4"/>
        </w:trPr>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9"/>
          </w:tcPr>
          <w:p>
            <w:pPr>
              <w:jc w:val="center"/>
              <w:ind w:left="343"/>
              <w:spacing w:after="0"/>
              <w:rPr>
                <w:sz w:val="20"/>
                <w:szCs w:val="20"/>
                <w:color w:val="auto"/>
              </w:rPr>
            </w:pPr>
            <w:r>
              <w:rPr>
                <w:rFonts w:ascii="Arial" w:cs="Arial" w:eastAsia="Arial" w:hAnsi="Arial"/>
                <w:sz w:val="11"/>
                <w:szCs w:val="11"/>
                <w:color w:val="auto"/>
                <w:w w:val="96"/>
              </w:rPr>
              <w:t>(Exact name of registrant as specified in its charter)</w:t>
            </w:r>
          </w:p>
        </w:tc>
        <w:tc>
          <w:tcPr>
            <w:tcW w:w="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6"/>
        </w:trPr>
        <w:tc>
          <w:tcPr>
            <w:tcW w:w="10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9"/>
              </w:rPr>
              <w:t>Maryland</w:t>
            </w:r>
          </w:p>
        </w:tc>
        <w:tc>
          <w:tcPr>
            <w:tcW w:w="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6"/>
                <w:szCs w:val="16"/>
                <w:b w:val="1"/>
                <w:bCs w:val="1"/>
                <w:color w:val="auto"/>
              </w:rPr>
              <w:t>52-2083046</w:t>
            </w:r>
          </w:p>
        </w:tc>
        <w:tc>
          <w:tcPr>
            <w:tcW w:w="1260" w:type="dxa"/>
            <w:vAlign w:val="bottom"/>
            <w:tcBorders>
              <w:bottom w:val="single" w:sz="8" w:color="auto"/>
            </w:tcBorders>
          </w:tcPr>
          <w:p>
            <w:pPr>
              <w:spacing w:after="0"/>
              <w:rPr>
                <w:sz w:val="21"/>
                <w:szCs w:val="21"/>
                <w:color w:val="auto"/>
              </w:rPr>
            </w:pPr>
          </w:p>
        </w:tc>
      </w:tr>
      <w:tr>
        <w:trPr>
          <w:trHeight w:val="131"/>
        </w:trPr>
        <w:tc>
          <w:tcPr>
            <w:tcW w:w="1040" w:type="dxa"/>
            <w:vAlign w:val="bottom"/>
          </w:tcPr>
          <w:p>
            <w:pPr>
              <w:spacing w:after="0"/>
              <w:rPr>
                <w:sz w:val="11"/>
                <w:szCs w:val="11"/>
                <w:color w:val="auto"/>
              </w:rPr>
            </w:pPr>
          </w:p>
        </w:tc>
        <w:tc>
          <w:tcPr>
            <w:tcW w:w="5520" w:type="dxa"/>
            <w:vAlign w:val="bottom"/>
            <w:gridSpan w:val="12"/>
          </w:tcPr>
          <w:p>
            <w:pPr>
              <w:jc w:val="center"/>
              <w:ind w:right="2140"/>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40" w:type="dxa"/>
            <w:vAlign w:val="bottom"/>
          </w:tcPr>
          <w:p>
            <w:pPr>
              <w:spacing w:after="0"/>
              <w:rPr>
                <w:sz w:val="11"/>
                <w:szCs w:val="11"/>
                <w:color w:val="auto"/>
              </w:rPr>
            </w:pPr>
          </w:p>
        </w:tc>
        <w:tc>
          <w:tcPr>
            <w:tcW w:w="4060" w:type="dxa"/>
            <w:vAlign w:val="bottom"/>
            <w:gridSpan w:val="2"/>
          </w:tcPr>
          <w:p>
            <w:pPr>
              <w:jc w:val="center"/>
              <w:ind w:right="840"/>
              <w:spacing w:after="0"/>
              <w:rPr>
                <w:sz w:val="20"/>
                <w:szCs w:val="20"/>
                <w:color w:val="auto"/>
              </w:rPr>
            </w:pPr>
            <w:r>
              <w:rPr>
                <w:rFonts w:ascii="Arial" w:cs="Arial" w:eastAsia="Arial" w:hAnsi="Arial"/>
                <w:sz w:val="11"/>
                <w:szCs w:val="11"/>
                <w:color w:val="auto"/>
                <w:w w:val="96"/>
              </w:rPr>
              <w:t>(IRS Employer Identification No.)</w:t>
            </w:r>
          </w:p>
        </w:tc>
      </w:tr>
      <w:tr>
        <w:trPr>
          <w:trHeight w:val="228"/>
        </w:trPr>
        <w:tc>
          <w:tcPr>
            <w:tcW w:w="3220" w:type="dxa"/>
            <w:vAlign w:val="bottom"/>
            <w:gridSpan w:val="3"/>
          </w:tcPr>
          <w:p>
            <w:pPr>
              <w:jc w:val="center"/>
              <w:ind w:right="101"/>
              <w:spacing w:after="0"/>
              <w:rPr>
                <w:sz w:val="20"/>
                <w:szCs w:val="20"/>
                <w:color w:val="auto"/>
              </w:rPr>
            </w:pPr>
            <w:r>
              <w:rPr>
                <w:rFonts w:ascii="Arial" w:cs="Arial" w:eastAsia="Arial" w:hAnsi="Arial"/>
                <w:sz w:val="16"/>
                <w:szCs w:val="16"/>
                <w:b w:val="1"/>
                <w:bCs w:val="1"/>
                <w:color w:val="auto"/>
                <w:w w:val="98"/>
              </w:rPr>
              <w:t>2275 Research Boulevard</w:t>
            </w:r>
          </w:p>
        </w:tc>
        <w:tc>
          <w:tcPr>
            <w:tcW w:w="3340" w:type="dxa"/>
            <w:vAlign w:val="bottom"/>
            <w:gridSpan w:val="10"/>
          </w:tcPr>
          <w:p>
            <w:pPr>
              <w:ind w:left="160"/>
              <w:spacing w:after="0"/>
              <w:rPr>
                <w:sz w:val="20"/>
                <w:szCs w:val="20"/>
                <w:color w:val="auto"/>
              </w:rPr>
            </w:pPr>
            <w:r>
              <w:rPr>
                <w:rFonts w:ascii="Arial" w:cs="Arial" w:eastAsia="Arial" w:hAnsi="Arial"/>
                <w:sz w:val="16"/>
                <w:szCs w:val="16"/>
                <w:b w:val="1"/>
                <w:bCs w:val="1"/>
                <w:color w:val="auto"/>
              </w:rPr>
              <w:t>Suite 600</w:t>
            </w:r>
          </w:p>
        </w:tc>
        <w:tc>
          <w:tcPr>
            <w:tcW w:w="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10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right="1141"/>
              <w:spacing w:after="0"/>
              <w:rPr>
                <w:sz w:val="20"/>
                <w:szCs w:val="20"/>
                <w:color w:val="auto"/>
              </w:rPr>
            </w:pPr>
            <w:r>
              <w:rPr>
                <w:rFonts w:ascii="Arial" w:cs="Arial" w:eastAsia="Arial" w:hAnsi="Arial"/>
                <w:sz w:val="16"/>
                <w:szCs w:val="16"/>
                <w:b w:val="1"/>
                <w:bCs w:val="1"/>
                <w:color w:val="auto"/>
                <w:w w:val="96"/>
              </w:rPr>
              <w:t>Rockville</w:t>
            </w:r>
          </w:p>
        </w:tc>
        <w:tc>
          <w:tcPr>
            <w:tcW w:w="22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Maryland</w:t>
            </w:r>
          </w:p>
        </w:tc>
        <w:tc>
          <w:tcPr>
            <w:tcW w:w="300" w:type="dxa"/>
            <w:vAlign w:val="bottom"/>
          </w:tcPr>
          <w:p>
            <w:pPr>
              <w:spacing w:after="0"/>
              <w:rPr>
                <w:sz w:val="18"/>
                <w:szCs w:val="18"/>
                <w:color w:val="auto"/>
              </w:rPr>
            </w:pPr>
          </w:p>
        </w:tc>
        <w:tc>
          <w:tcPr>
            <w:tcW w:w="800" w:type="dxa"/>
            <w:vAlign w:val="bottom"/>
            <w:tcBorders>
              <w:bottom w:val="single" w:sz="8" w:color="auto"/>
            </w:tcBorders>
            <w:gridSpan w:val="4"/>
          </w:tcPr>
          <w:p>
            <w:pPr>
              <w:spacing w:after="0"/>
              <w:rPr>
                <w:sz w:val="18"/>
                <w:szCs w:val="18"/>
                <w:color w:val="auto"/>
              </w:rPr>
            </w:pPr>
          </w:p>
        </w:tc>
        <w:tc>
          <w:tcPr>
            <w:tcW w:w="2840" w:type="dxa"/>
            <w:vAlign w:val="bottom"/>
            <w:tcBorders>
              <w:bottom w:val="single" w:sz="8" w:color="auto"/>
            </w:tcBorders>
            <w:gridSpan w:val="2"/>
          </w:tcPr>
          <w:p>
            <w:pPr>
              <w:jc w:val="right"/>
              <w:ind w:right="921"/>
              <w:spacing w:after="0"/>
              <w:rPr>
                <w:sz w:val="20"/>
                <w:szCs w:val="20"/>
                <w:color w:val="auto"/>
              </w:rPr>
            </w:pPr>
            <w:r>
              <w:rPr>
                <w:rFonts w:ascii="Arial" w:cs="Arial" w:eastAsia="Arial" w:hAnsi="Arial"/>
                <w:sz w:val="16"/>
                <w:szCs w:val="16"/>
                <w:b w:val="1"/>
                <w:bCs w:val="1"/>
                <w:color w:val="auto"/>
              </w:rPr>
              <w:t>20850</w:t>
            </w:r>
          </w:p>
        </w:tc>
        <w:tc>
          <w:tcPr>
            <w:tcW w:w="1260" w:type="dxa"/>
            <w:vAlign w:val="bottom"/>
            <w:tcBorders>
              <w:bottom w:val="single" w:sz="8" w:color="auto"/>
            </w:tcBorders>
          </w:tcPr>
          <w:p>
            <w:pPr>
              <w:spacing w:after="0"/>
              <w:rPr>
                <w:sz w:val="18"/>
                <w:szCs w:val="18"/>
                <w:color w:val="auto"/>
              </w:rPr>
            </w:pPr>
          </w:p>
        </w:tc>
      </w:tr>
      <w:tr>
        <w:trPr>
          <w:trHeight w:val="131"/>
        </w:trPr>
        <w:tc>
          <w:tcPr>
            <w:tcW w:w="1040" w:type="dxa"/>
            <w:vAlign w:val="bottom"/>
          </w:tcPr>
          <w:p>
            <w:pPr>
              <w:spacing w:after="0"/>
              <w:rPr>
                <w:sz w:val="11"/>
                <w:szCs w:val="11"/>
                <w:color w:val="auto"/>
              </w:rPr>
            </w:pPr>
          </w:p>
        </w:tc>
        <w:tc>
          <w:tcPr>
            <w:tcW w:w="5520" w:type="dxa"/>
            <w:vAlign w:val="bottom"/>
            <w:gridSpan w:val="12"/>
          </w:tcPr>
          <w:p>
            <w:pPr>
              <w:jc w:val="center"/>
              <w:ind w:right="2140"/>
              <w:spacing w:after="0"/>
              <w:rPr>
                <w:sz w:val="20"/>
                <w:szCs w:val="20"/>
                <w:color w:val="auto"/>
              </w:rPr>
            </w:pPr>
            <w:r>
              <w:rPr>
                <w:rFonts w:ascii="Arial" w:cs="Arial" w:eastAsia="Arial" w:hAnsi="Arial"/>
                <w:sz w:val="11"/>
                <w:szCs w:val="11"/>
                <w:color w:val="auto"/>
                <w:w w:val="96"/>
              </w:rPr>
              <w:t>(Address of principal executive offices)</w:t>
            </w:r>
          </w:p>
        </w:tc>
        <w:tc>
          <w:tcPr>
            <w:tcW w:w="40" w:type="dxa"/>
            <w:vAlign w:val="bottom"/>
          </w:tcPr>
          <w:p>
            <w:pPr>
              <w:spacing w:after="0"/>
              <w:rPr>
                <w:sz w:val="11"/>
                <w:szCs w:val="11"/>
                <w:color w:val="auto"/>
              </w:rPr>
            </w:pPr>
          </w:p>
        </w:tc>
        <w:tc>
          <w:tcPr>
            <w:tcW w:w="4060" w:type="dxa"/>
            <w:vAlign w:val="bottom"/>
            <w:gridSpan w:val="2"/>
          </w:tcPr>
          <w:p>
            <w:pPr>
              <w:jc w:val="center"/>
              <w:ind w:right="840"/>
              <w:spacing w:after="0"/>
              <w:rPr>
                <w:sz w:val="20"/>
                <w:szCs w:val="20"/>
                <w:color w:val="auto"/>
              </w:rPr>
            </w:pPr>
            <w:r>
              <w:rPr>
                <w:rFonts w:ascii="Arial" w:cs="Arial" w:eastAsia="Arial" w:hAnsi="Arial"/>
                <w:sz w:val="11"/>
                <w:szCs w:val="11"/>
                <w:color w:val="auto"/>
                <w:w w:val="96"/>
              </w:rPr>
              <w:t>(Zip Code)</w:t>
            </w:r>
          </w:p>
        </w:tc>
      </w:tr>
      <w:tr>
        <w:trPr>
          <w:trHeight w:val="551"/>
        </w:trPr>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(301) 468-8848</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60" w:type="dxa"/>
            <w:vAlign w:val="bottom"/>
            <w:gridSpan w:val="9"/>
          </w:tcPr>
          <w:p>
            <w:pPr>
              <w:jc w:val="center"/>
              <w:ind w:left="343"/>
              <w:spacing w:after="0"/>
              <w:rPr>
                <w:sz w:val="20"/>
                <w:szCs w:val="20"/>
                <w:color w:val="auto"/>
              </w:rPr>
            </w:pPr>
            <w:r>
              <w:rPr>
                <w:rFonts w:ascii="Arial" w:cs="Arial" w:eastAsia="Arial" w:hAnsi="Arial"/>
                <w:sz w:val="11"/>
                <w:szCs w:val="11"/>
                <w:color w:val="auto"/>
                <w:w w:val="96"/>
              </w:rPr>
              <w:t>Registrant’s telephone number, including area code</w:t>
            </w:r>
          </w:p>
        </w:tc>
        <w:tc>
          <w:tcPr>
            <w:tcW w:w="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3"/>
        </w:trPr>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Not Applicable</w:t>
            </w:r>
          </w:p>
        </w:tc>
        <w:tc>
          <w:tcPr>
            <w:tcW w:w="7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31"/>
        </w:trPr>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960" w:type="dxa"/>
            <w:vAlign w:val="bottom"/>
            <w:gridSpan w:val="12"/>
          </w:tcPr>
          <w:p>
            <w:pPr>
              <w:jc w:val="center"/>
              <w:ind w:right="3720"/>
              <w:spacing w:after="0"/>
              <w:rPr>
                <w:sz w:val="20"/>
                <w:szCs w:val="20"/>
                <w:color w:val="auto"/>
              </w:rPr>
            </w:pPr>
            <w:r>
              <w:rPr>
                <w:rFonts w:ascii="Arial" w:cs="Arial" w:eastAsia="Arial" w:hAnsi="Arial"/>
                <w:sz w:val="11"/>
                <w:szCs w:val="11"/>
                <w:color w:val="auto"/>
                <w:w w:val="96"/>
              </w:rPr>
              <w:t>(Former Name or Former Address, if Changed Since Last Report)</w:t>
            </w:r>
          </w:p>
        </w:tc>
      </w:tr>
      <w:tr>
        <w:trPr>
          <w:trHeight w:val="421"/>
        </w:trPr>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40" w:type="dxa"/>
            <w:vAlign w:val="bottom"/>
            <w:gridSpan w:val="13"/>
          </w:tcPr>
          <w:p>
            <w:pPr>
              <w:jc w:val="center"/>
              <w:ind w:right="322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36"/>
        </w:trPr>
        <w:tc>
          <w:tcPr>
            <w:tcW w:w="1040" w:type="dxa"/>
            <w:vAlign w:val="bottom"/>
          </w:tcPr>
          <w:p>
            <w:pPr>
              <w:spacing w:after="0"/>
              <w:rPr>
                <w:sz w:val="20"/>
                <w:szCs w:val="20"/>
                <w:color w:val="auto"/>
              </w:rPr>
            </w:pPr>
          </w:p>
        </w:tc>
        <w:tc>
          <w:tcPr>
            <w:tcW w:w="2180" w:type="dxa"/>
            <w:vAlign w:val="bottom"/>
            <w:gridSpan w:val="2"/>
          </w:tcPr>
          <w:p>
            <w:pPr>
              <w:jc w:val="center"/>
              <w:ind w:right="981"/>
              <w:spacing w:after="0"/>
              <w:rPr>
                <w:sz w:val="20"/>
                <w:szCs w:val="20"/>
                <w:color w:val="auto"/>
              </w:rPr>
            </w:pPr>
            <w:r>
              <w:rPr>
                <w:rFonts w:ascii="Arial" w:cs="Arial" w:eastAsia="Arial" w:hAnsi="Arial"/>
                <w:sz w:val="14"/>
                <w:szCs w:val="14"/>
                <w:color w:val="auto"/>
                <w:w w:val="99"/>
              </w:rPr>
              <w:t>Title of each class</w:t>
            </w:r>
          </w:p>
        </w:tc>
        <w:tc>
          <w:tcPr>
            <w:tcW w:w="3340" w:type="dxa"/>
            <w:vAlign w:val="bottom"/>
            <w:gridSpan w:val="10"/>
          </w:tcPr>
          <w:p>
            <w:pPr>
              <w:jc w:val="center"/>
              <w:ind w:right="1240"/>
              <w:spacing w:after="0"/>
              <w:rPr>
                <w:sz w:val="20"/>
                <w:szCs w:val="20"/>
                <w:color w:val="auto"/>
              </w:rPr>
            </w:pPr>
            <w:r>
              <w:rPr>
                <w:rFonts w:ascii="Arial" w:cs="Arial" w:eastAsia="Arial" w:hAnsi="Arial"/>
                <w:sz w:val="14"/>
                <w:szCs w:val="14"/>
                <w:color w:val="auto"/>
                <w:w w:val="99"/>
              </w:rPr>
              <w:t>Trading Symbol(s)</w:t>
            </w:r>
          </w:p>
        </w:tc>
        <w:tc>
          <w:tcPr>
            <w:tcW w:w="4100" w:type="dxa"/>
            <w:vAlign w:val="bottom"/>
            <w:gridSpan w:val="3"/>
          </w:tcPr>
          <w:p>
            <w:pPr>
              <w:jc w:val="center"/>
              <w:ind w:right="122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3220" w:type="dxa"/>
            <w:vAlign w:val="bottom"/>
            <w:gridSpan w:val="3"/>
          </w:tcPr>
          <w:p>
            <w:pPr>
              <w:jc w:val="center"/>
              <w:spacing w:after="0"/>
              <w:rPr>
                <w:sz w:val="20"/>
                <w:szCs w:val="20"/>
                <w:color w:val="auto"/>
              </w:rPr>
            </w:pPr>
            <w:r>
              <w:rPr>
                <w:rFonts w:ascii="Arial" w:cs="Arial" w:eastAsia="Arial" w:hAnsi="Arial"/>
                <w:sz w:val="14"/>
                <w:szCs w:val="14"/>
                <w:color w:val="auto"/>
              </w:rPr>
              <w:t>Common Stock, par value $0.01 per share</w:t>
            </w:r>
          </w:p>
        </w:tc>
        <w:tc>
          <w:tcPr>
            <w:tcW w:w="480" w:type="dxa"/>
            <w:vAlign w:val="bottom"/>
          </w:tcPr>
          <w:p>
            <w:pPr>
              <w:spacing w:after="0"/>
              <w:rPr>
                <w:sz w:val="16"/>
                <w:szCs w:val="16"/>
                <w:color w:val="auto"/>
              </w:rPr>
            </w:pPr>
          </w:p>
        </w:tc>
        <w:tc>
          <w:tcPr>
            <w:tcW w:w="2860" w:type="dxa"/>
            <w:vAlign w:val="bottom"/>
            <w:gridSpan w:val="9"/>
          </w:tcPr>
          <w:p>
            <w:pPr>
              <w:jc w:val="center"/>
              <w:ind w:right="1720"/>
              <w:spacing w:after="0"/>
              <w:rPr>
                <w:sz w:val="20"/>
                <w:szCs w:val="20"/>
                <w:color w:val="auto"/>
              </w:rPr>
            </w:pPr>
            <w:r>
              <w:rPr>
                <w:rFonts w:ascii="Arial" w:cs="Arial" w:eastAsia="Arial" w:hAnsi="Arial"/>
                <w:sz w:val="14"/>
                <w:szCs w:val="14"/>
                <w:color w:val="auto"/>
                <w:w w:val="97"/>
              </w:rPr>
              <w:t>CBNK</w:t>
            </w:r>
          </w:p>
        </w:tc>
        <w:tc>
          <w:tcPr>
            <w:tcW w:w="40" w:type="dxa"/>
            <w:vAlign w:val="bottom"/>
          </w:tcPr>
          <w:p>
            <w:pPr>
              <w:spacing w:after="0"/>
              <w:rPr>
                <w:sz w:val="16"/>
                <w:szCs w:val="16"/>
                <w:color w:val="auto"/>
              </w:rPr>
            </w:pPr>
          </w:p>
        </w:tc>
        <w:tc>
          <w:tcPr>
            <w:tcW w:w="4060" w:type="dxa"/>
            <w:vAlign w:val="bottom"/>
            <w:gridSpan w:val="2"/>
          </w:tcPr>
          <w:p>
            <w:pPr>
              <w:jc w:val="center"/>
              <w:ind w:right="1280"/>
              <w:spacing w:after="0"/>
              <w:rPr>
                <w:sz w:val="20"/>
                <w:szCs w:val="20"/>
                <w:color w:val="auto"/>
              </w:rPr>
            </w:pPr>
            <w:r>
              <w:rPr>
                <w:rFonts w:ascii="Arial" w:cs="Arial" w:eastAsia="Arial" w:hAnsi="Arial"/>
                <w:sz w:val="14"/>
                <w:szCs w:val="14"/>
                <w:color w:val="auto"/>
              </w:rPr>
              <w:t>NASDAQ Stock Market</w:t>
            </w:r>
          </w:p>
        </w:tc>
      </w:tr>
    </w:tbl>
    <w:p>
      <w:pPr>
        <w:spacing w:after="0" w:line="337"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Exchange Act of 1934 during the preceding 12 months (or</w:t>
      </w:r>
    </w:p>
    <w:p>
      <w:pPr>
        <w:spacing w:after="0" w:line="19" w:lineRule="exact"/>
        <w:rPr>
          <w:sz w:val="24"/>
          <w:szCs w:val="24"/>
          <w:color w:val="auto"/>
        </w:rPr>
      </w:pPr>
    </w:p>
    <w:p>
      <w:pPr>
        <w:spacing w:after="0" w:line="161" w:lineRule="exact"/>
        <w:tabs>
          <w:tab w:leader="none" w:pos="9780" w:val="left"/>
        </w:tabs>
        <w:rPr>
          <w:sz w:val="20"/>
          <w:szCs w:val="20"/>
          <w:color w:val="auto"/>
        </w:rPr>
      </w:pPr>
      <w:r>
        <w:rPr>
          <w:rFonts w:ascii="Arial" w:cs="Arial" w:eastAsia="Arial" w:hAnsi="Arial"/>
          <w:sz w:val="14"/>
          <w:szCs w:val="14"/>
          <w:color w:val="auto"/>
        </w:rPr>
        <w:t>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3"/>
          <w:szCs w:val="13"/>
          <w:color w:val="auto"/>
        </w:rPr>
        <w:t xml:space="preserve">Yes x No </w:t>
      </w:r>
      <w:r>
        <w:rPr>
          <w:rFonts w:ascii="MS PGothic" w:cs="MS PGothic" w:eastAsia="MS PGothic" w:hAnsi="MS PGothic"/>
          <w:sz w:val="13"/>
          <w:szCs w:val="13"/>
          <w:color w:val="auto"/>
        </w:rPr>
        <w:t>☐</w:t>
      </w:r>
    </w:p>
    <w:p>
      <w:pPr>
        <w:spacing w:after="0" w:line="255" w:lineRule="exact"/>
        <w:rPr>
          <w:sz w:val="24"/>
          <w:szCs w:val="24"/>
          <w:color w:val="auto"/>
        </w:rPr>
      </w:pPr>
    </w:p>
    <w:p>
      <w:pPr>
        <w:ind w:left="18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w:t>
      </w:r>
    </w:p>
    <w:p>
      <w:pPr>
        <w:spacing w:after="0" w:line="5" w:lineRule="exact"/>
        <w:rPr>
          <w:sz w:val="24"/>
          <w:szCs w:val="24"/>
          <w:color w:val="auto"/>
        </w:rPr>
      </w:pPr>
    </w:p>
    <w:p>
      <w:pPr>
        <w:spacing w:after="0" w:line="161" w:lineRule="exact"/>
        <w:tabs>
          <w:tab w:leader="none" w:pos="8900" w:val="left"/>
        </w:tabs>
        <w:rPr>
          <w:sz w:val="20"/>
          <w:szCs w:val="20"/>
          <w:color w:val="auto"/>
        </w:rPr>
      </w:pPr>
      <w:r>
        <w:rPr>
          <w:rFonts w:ascii="Arial" w:cs="Arial" w:eastAsia="Arial" w:hAnsi="Arial"/>
          <w:sz w:val="14"/>
          <w:szCs w:val="14"/>
          <w:color w:val="auto"/>
        </w:rPr>
        <w:t>of this chapter) during the preceding 12 months (or for such shorter period that the registrant was required to submit such files).</w:t>
      </w:r>
      <w:r>
        <w:rPr>
          <w:sz w:val="20"/>
          <w:szCs w:val="20"/>
          <w:color w:val="auto"/>
        </w:rPr>
        <w:tab/>
      </w:r>
      <w:r>
        <w:rPr>
          <w:rFonts w:ascii="Arial" w:cs="Arial" w:eastAsia="Arial" w:hAnsi="Arial"/>
          <w:sz w:val="13"/>
          <w:szCs w:val="13"/>
          <w:color w:val="auto"/>
        </w:rPr>
        <w:t xml:space="preserve">Yes x No </w:t>
      </w:r>
      <w:r>
        <w:rPr>
          <w:rFonts w:ascii="MS PGothic" w:cs="MS PGothic" w:eastAsia="MS PGothic" w:hAnsi="MS PGothic"/>
          <w:sz w:val="13"/>
          <w:szCs w:val="13"/>
          <w:color w:val="auto"/>
        </w:rPr>
        <w:t>☐</w:t>
      </w:r>
    </w:p>
    <w:p>
      <w:pPr>
        <w:spacing w:after="0" w:line="243" w:lineRule="exact"/>
        <w:rPr>
          <w:sz w:val="24"/>
          <w:szCs w:val="24"/>
          <w:color w:val="auto"/>
        </w:rPr>
      </w:pPr>
    </w:p>
    <w:p>
      <w:pPr>
        <w:ind w:firstLine="228"/>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9"/>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6"/>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5" w:lineRule="exact"/>
        <w:rPr>
          <w:sz w:val="24"/>
          <w:szCs w:val="24"/>
          <w:color w:val="auto"/>
        </w:rPr>
      </w:pPr>
    </w:p>
    <w:p>
      <w:pPr>
        <w:spacing w:after="0" w:line="161" w:lineRule="exact"/>
        <w:tabs>
          <w:tab w:leader="none" w:pos="7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285" w:lineRule="exact"/>
        <w:rPr>
          <w:sz w:val="24"/>
          <w:szCs w:val="24"/>
          <w:color w:val="auto"/>
        </w:rPr>
      </w:pPr>
    </w:p>
    <w:p>
      <w:pPr>
        <w:spacing w:after="0"/>
        <w:rPr>
          <w:sz w:val="20"/>
          <w:szCs w:val="20"/>
          <w:color w:val="auto"/>
        </w:rPr>
      </w:pPr>
      <w:r>
        <w:rPr>
          <w:rFonts w:ascii="Arial" w:cs="Arial" w:eastAsia="Arial" w:hAnsi="Arial"/>
          <w:sz w:val="14"/>
          <w:szCs w:val="14"/>
          <w:color w:val="auto"/>
        </w:rPr>
        <w:t>As of August 7, 2023, the Company had 13,941,048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998855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CONSOLIDATED FINANCIAL INFORMATION</w:t>
            </w:r>
          </w:p>
        </w:tc>
        <w:tc>
          <w:tcPr>
            <w:tcW w:w="2180" w:type="dxa"/>
            <w:vAlign w:val="bottom"/>
            <w:gridSpan w:val="6"/>
          </w:tcPr>
          <w:p>
            <w:pPr>
              <w:ind w:left="1560"/>
              <w:spacing w:after="0"/>
              <w:rPr>
                <w:sz w:val="20"/>
                <w:szCs w:val="20"/>
                <w:color w:val="auto"/>
              </w:rPr>
            </w:pPr>
            <w:r>
              <w:rPr>
                <w:rFonts w:ascii="Arial" w:cs="Arial" w:eastAsia="Arial" w:hAnsi="Arial"/>
                <w:sz w:val="16"/>
                <w:szCs w:val="16"/>
                <w:b w:val="1"/>
                <w:bCs w:val="1"/>
                <w:color w:val="auto"/>
              </w:rPr>
              <w:t>Page</w:t>
            </w:r>
          </w:p>
        </w:tc>
      </w:tr>
      <w:tr>
        <w:trPr>
          <w:trHeight w:val="227"/>
        </w:trPr>
        <w:tc>
          <w:tcPr>
            <w:tcW w:w="940" w:type="dxa"/>
            <w:vAlign w:val="bottom"/>
          </w:tcPr>
          <w:p>
            <w:pPr>
              <w:ind w:left="20"/>
              <w:spacing w:after="0"/>
              <w:rPr>
                <w:sz w:val="20"/>
                <w:szCs w:val="20"/>
                <w:color w:val="auto"/>
              </w:rPr>
            </w:pPr>
            <w:r>
              <w:rPr>
                <w:rFonts w:ascii="Arial" w:cs="Arial" w:eastAsia="Arial" w:hAnsi="Arial"/>
                <w:sz w:val="16"/>
                <w:szCs w:val="16"/>
                <w:color w:val="auto"/>
              </w:rPr>
              <w:t>Item 1.</w:t>
            </w:r>
          </w:p>
        </w:tc>
        <w:tc>
          <w:tcPr>
            <w:tcW w:w="8120" w:type="dxa"/>
            <w:vAlign w:val="bottom"/>
          </w:tcPr>
          <w:p>
            <w:pPr>
              <w:ind w:left="320"/>
              <w:spacing w:after="0"/>
              <w:rPr>
                <w:sz w:val="20"/>
                <w:szCs w:val="20"/>
                <w:color w:val="auto"/>
              </w:rPr>
            </w:pPr>
            <w:r>
              <w:rPr>
                <w:rFonts w:ascii="Arial" w:cs="Arial" w:eastAsia="Arial" w:hAnsi="Arial"/>
                <w:sz w:val="16"/>
                <w:szCs w:val="16"/>
                <w:color w:val="auto"/>
              </w:rPr>
              <w:t>Consolidated Financial Statements (Unaudited)</w:t>
            </w:r>
          </w:p>
        </w:tc>
        <w:tc>
          <w:tcPr>
            <w:tcW w:w="15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940" w:type="dxa"/>
            <w:vAlign w:val="bottom"/>
          </w:tcPr>
          <w:p>
            <w:pPr>
              <w:spacing w:after="0"/>
              <w:rPr>
                <w:sz w:val="15"/>
                <w:szCs w:val="15"/>
                <w:color w:val="auto"/>
              </w:rPr>
            </w:pPr>
          </w:p>
        </w:tc>
        <w:tc>
          <w:tcPr>
            <w:tcW w:w="8120" w:type="dxa"/>
            <w:vAlign w:val="bottom"/>
          </w:tcPr>
          <w:p>
            <w:pPr>
              <w:ind w:left="640"/>
              <w:spacing w:after="0" w:line="178" w:lineRule="exact"/>
              <w:rPr>
                <w:sz w:val="20"/>
                <w:szCs w:val="20"/>
                <w:color w:val="auto"/>
              </w:rPr>
            </w:pPr>
            <w:r>
              <w:rPr>
                <w:rFonts w:ascii="Arial" w:cs="Arial" w:eastAsia="Arial" w:hAnsi="Arial"/>
                <w:sz w:val="16"/>
                <w:szCs w:val="16"/>
                <w:color w:val="auto"/>
              </w:rPr>
              <w:t>Consolidated Balance Sheets</w:t>
            </w:r>
          </w:p>
        </w:tc>
        <w:tc>
          <w:tcPr>
            <w:tcW w:w="2160" w:type="dxa"/>
            <w:vAlign w:val="bottom"/>
            <w:gridSpan w:val="5"/>
          </w:tcPr>
          <w:p>
            <w:pPr>
              <w:jc w:val="right"/>
              <w:spacing w:after="0" w:line="178" w:lineRule="exact"/>
              <w:rPr>
                <w:sz w:val="20"/>
                <w:szCs w:val="20"/>
                <w:color w:val="auto"/>
              </w:rPr>
            </w:pPr>
            <w:r>
              <w:rPr>
                <w:rFonts w:ascii="Arial" w:cs="Arial" w:eastAsia="Arial" w:hAnsi="Arial"/>
                <w:sz w:val="16"/>
                <w:szCs w:val="16"/>
                <w:color w:val="0000FF"/>
              </w:rPr>
              <w:t>2</w:t>
            </w: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8120" w:type="dxa"/>
            <w:vAlign w:val="bottom"/>
          </w:tcPr>
          <w:p>
            <w:pPr>
              <w:ind w:left="640"/>
              <w:spacing w:after="0"/>
              <w:rPr>
                <w:sz w:val="20"/>
                <w:szCs w:val="20"/>
                <w:color w:val="auto"/>
              </w:rPr>
            </w:pPr>
            <w:r>
              <w:rPr>
                <w:rFonts w:ascii="Arial" w:cs="Arial" w:eastAsia="Arial" w:hAnsi="Arial"/>
                <w:sz w:val="16"/>
                <w:szCs w:val="16"/>
                <w:color w:val="auto"/>
              </w:rPr>
              <w:t>Consolidated Statements of Income</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8120" w:type="dxa"/>
            <w:vAlign w:val="bottom"/>
          </w:tcPr>
          <w:p>
            <w:pPr>
              <w:ind w:left="640"/>
              <w:spacing w:after="0"/>
              <w:rPr>
                <w:sz w:val="20"/>
                <w:szCs w:val="20"/>
                <w:color w:val="auto"/>
              </w:rPr>
            </w:pPr>
            <w:r>
              <w:rPr>
                <w:rFonts w:ascii="Arial" w:cs="Arial" w:eastAsia="Arial" w:hAnsi="Arial"/>
                <w:sz w:val="16"/>
                <w:szCs w:val="16"/>
                <w:color w:val="auto"/>
              </w:rPr>
              <w:t>Consolidated Statements of Comprehensive Income</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8120" w:type="dxa"/>
            <w:vAlign w:val="bottom"/>
          </w:tcPr>
          <w:p>
            <w:pPr>
              <w:ind w:left="640"/>
              <w:spacing w:after="0"/>
              <w:rPr>
                <w:sz w:val="20"/>
                <w:szCs w:val="20"/>
                <w:color w:val="auto"/>
              </w:rPr>
            </w:pPr>
            <w:r>
              <w:rPr>
                <w:rFonts w:ascii="Arial" w:cs="Arial" w:eastAsia="Arial" w:hAnsi="Arial"/>
                <w:sz w:val="16"/>
                <w:szCs w:val="16"/>
                <w:color w:val="auto"/>
              </w:rPr>
              <w:t>Consolidated Statements of Changes in Stockholders’ Equity</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8120" w:type="dxa"/>
            <w:vAlign w:val="bottom"/>
          </w:tcPr>
          <w:p>
            <w:pPr>
              <w:ind w:left="640"/>
              <w:spacing w:after="0"/>
              <w:rPr>
                <w:sz w:val="20"/>
                <w:szCs w:val="20"/>
                <w:color w:val="auto"/>
              </w:rPr>
            </w:pPr>
            <w:r>
              <w:rPr>
                <w:rFonts w:ascii="Arial" w:cs="Arial" w:eastAsia="Arial" w:hAnsi="Arial"/>
                <w:sz w:val="16"/>
                <w:szCs w:val="16"/>
                <w:color w:val="auto"/>
              </w:rPr>
              <w:t>Consolidated Statements of Cash Flows</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8120" w:type="dxa"/>
            <w:vAlign w:val="bottom"/>
          </w:tcPr>
          <w:p>
            <w:pPr>
              <w:ind w:left="640"/>
              <w:spacing w:after="0"/>
              <w:rPr>
                <w:sz w:val="20"/>
                <w:szCs w:val="20"/>
                <w:color w:val="auto"/>
              </w:rPr>
            </w:pPr>
            <w:r>
              <w:rPr>
                <w:rFonts w:ascii="Arial" w:cs="Arial" w:eastAsia="Arial" w:hAnsi="Arial"/>
                <w:sz w:val="16"/>
                <w:szCs w:val="16"/>
                <w:color w:val="auto"/>
              </w:rPr>
              <w:t>Notes to Unaudited Consolidated Financial Statements</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2.</w:t>
            </w:r>
          </w:p>
        </w:tc>
        <w:tc>
          <w:tcPr>
            <w:tcW w:w="812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39</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3.</w:t>
            </w:r>
          </w:p>
        </w:tc>
        <w:tc>
          <w:tcPr>
            <w:tcW w:w="812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65</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4.</w:t>
            </w:r>
          </w:p>
        </w:tc>
        <w:tc>
          <w:tcPr>
            <w:tcW w:w="812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68</w:t>
            </w:r>
          </w:p>
        </w:tc>
        <w:tc>
          <w:tcPr>
            <w:tcW w:w="20" w:type="dxa"/>
            <w:vAlign w:val="bottom"/>
          </w:tcPr>
          <w:p>
            <w:pPr>
              <w:spacing w:after="0"/>
              <w:rPr>
                <w:sz w:val="16"/>
                <w:szCs w:val="16"/>
                <w:color w:val="auto"/>
              </w:rPr>
            </w:pPr>
          </w:p>
        </w:tc>
      </w:tr>
      <w:tr>
        <w:trPr>
          <w:trHeight w:val="237"/>
        </w:trPr>
        <w:tc>
          <w:tcPr>
            <w:tcW w:w="906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67"/>
        </w:trPr>
        <w:tc>
          <w:tcPr>
            <w:tcW w:w="940" w:type="dxa"/>
            <w:vAlign w:val="bottom"/>
          </w:tcPr>
          <w:p>
            <w:pPr>
              <w:ind w:left="20"/>
              <w:spacing w:after="0" w:line="168" w:lineRule="exact"/>
              <w:rPr>
                <w:sz w:val="20"/>
                <w:szCs w:val="20"/>
                <w:color w:val="auto"/>
              </w:rPr>
            </w:pPr>
            <w:r>
              <w:rPr>
                <w:rFonts w:ascii="Arial" w:cs="Arial" w:eastAsia="Arial" w:hAnsi="Arial"/>
                <w:sz w:val="16"/>
                <w:szCs w:val="16"/>
                <w:color w:val="auto"/>
              </w:rPr>
              <w:t>Item 1.</w:t>
            </w:r>
          </w:p>
        </w:tc>
        <w:tc>
          <w:tcPr>
            <w:tcW w:w="8120" w:type="dxa"/>
            <w:vAlign w:val="bottom"/>
          </w:tcPr>
          <w:p>
            <w:pPr>
              <w:ind w:left="320"/>
              <w:spacing w:after="0" w:line="168" w:lineRule="exact"/>
              <w:rPr>
                <w:sz w:val="20"/>
                <w:szCs w:val="20"/>
                <w:color w:val="auto"/>
              </w:rPr>
            </w:pPr>
            <w:r>
              <w:rPr>
                <w:rFonts w:ascii="Arial" w:cs="Arial" w:eastAsia="Arial" w:hAnsi="Arial"/>
                <w:sz w:val="16"/>
                <w:szCs w:val="16"/>
                <w:color w:val="auto"/>
              </w:rPr>
              <w:t>Legal Proceedings</w:t>
            </w:r>
          </w:p>
        </w:tc>
        <w:tc>
          <w:tcPr>
            <w:tcW w:w="1980" w:type="dxa"/>
            <w:vAlign w:val="bottom"/>
            <w:gridSpan w:val="3"/>
          </w:tcPr>
          <w:p>
            <w:pPr>
              <w:spacing w:after="0"/>
              <w:rPr>
                <w:sz w:val="14"/>
                <w:szCs w:val="14"/>
                <w:color w:val="auto"/>
              </w:rPr>
            </w:pPr>
          </w:p>
        </w:tc>
        <w:tc>
          <w:tcPr>
            <w:tcW w:w="180" w:type="dxa"/>
            <w:vAlign w:val="bottom"/>
            <w:tcBorders>
              <w:bottom w:val="single" w:sz="8" w:color="0000FF"/>
            </w:tcBorders>
            <w:gridSpan w:val="2"/>
          </w:tcPr>
          <w:p>
            <w:pPr>
              <w:jc w:val="right"/>
              <w:spacing w:after="0" w:line="168" w:lineRule="exact"/>
              <w:rPr>
                <w:sz w:val="20"/>
                <w:szCs w:val="20"/>
                <w:color w:val="auto"/>
              </w:rPr>
            </w:pPr>
            <w:r>
              <w:rPr>
                <w:rFonts w:ascii="Arial" w:cs="Arial" w:eastAsia="Arial" w:hAnsi="Arial"/>
                <w:sz w:val="16"/>
                <w:szCs w:val="16"/>
                <w:color w:val="0000FF"/>
                <w:w w:val="89"/>
              </w:rPr>
              <w:t>69</w:t>
            </w:r>
          </w:p>
        </w:tc>
        <w:tc>
          <w:tcPr>
            <w:tcW w:w="20" w:type="dxa"/>
            <w:vAlign w:val="bottom"/>
          </w:tcPr>
          <w:p>
            <w:pPr>
              <w:spacing w:after="0"/>
              <w:rPr>
                <w:sz w:val="14"/>
                <w:szCs w:val="14"/>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1A.</w:t>
            </w:r>
          </w:p>
        </w:tc>
        <w:tc>
          <w:tcPr>
            <w:tcW w:w="812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69</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2.</w:t>
            </w:r>
          </w:p>
        </w:tc>
        <w:tc>
          <w:tcPr>
            <w:tcW w:w="812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70</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3.</w:t>
            </w:r>
          </w:p>
        </w:tc>
        <w:tc>
          <w:tcPr>
            <w:tcW w:w="812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71</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4.</w:t>
            </w:r>
          </w:p>
        </w:tc>
        <w:tc>
          <w:tcPr>
            <w:tcW w:w="812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71</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5.</w:t>
            </w:r>
          </w:p>
        </w:tc>
        <w:tc>
          <w:tcPr>
            <w:tcW w:w="812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198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71</w:t>
            </w:r>
          </w:p>
        </w:tc>
        <w:tc>
          <w:tcPr>
            <w:tcW w:w="20" w:type="dxa"/>
            <w:vAlign w:val="bottom"/>
          </w:tcPr>
          <w:p>
            <w:pPr>
              <w:spacing w:after="0"/>
              <w:rPr>
                <w:sz w:val="16"/>
                <w:szCs w:val="16"/>
                <w:color w:val="auto"/>
              </w:rPr>
            </w:pPr>
          </w:p>
        </w:tc>
      </w:tr>
      <w:tr>
        <w:trPr>
          <w:trHeight w:val="192"/>
        </w:trPr>
        <w:tc>
          <w:tcPr>
            <w:tcW w:w="940" w:type="dxa"/>
            <w:vAlign w:val="bottom"/>
          </w:tcPr>
          <w:p>
            <w:pPr>
              <w:ind w:left="20"/>
              <w:spacing w:after="0"/>
              <w:rPr>
                <w:sz w:val="20"/>
                <w:szCs w:val="20"/>
                <w:color w:val="auto"/>
              </w:rPr>
            </w:pPr>
            <w:r>
              <w:rPr>
                <w:rFonts w:ascii="Arial" w:cs="Arial" w:eastAsia="Arial" w:hAnsi="Arial"/>
                <w:sz w:val="16"/>
                <w:szCs w:val="16"/>
                <w:color w:val="auto"/>
              </w:rPr>
              <w:t>Item 6.</w:t>
            </w:r>
          </w:p>
        </w:tc>
        <w:tc>
          <w:tcPr>
            <w:tcW w:w="8120" w:type="dxa"/>
            <w:vAlign w:val="bottom"/>
          </w:tcPr>
          <w:p>
            <w:pPr>
              <w:ind w:left="320"/>
              <w:spacing w:after="0"/>
              <w:rPr>
                <w:sz w:val="20"/>
                <w:szCs w:val="20"/>
                <w:color w:val="auto"/>
              </w:rPr>
            </w:pPr>
            <w:r>
              <w:rPr>
                <w:rFonts w:ascii="Arial" w:cs="Arial" w:eastAsia="Arial" w:hAnsi="Arial"/>
                <w:sz w:val="16"/>
                <w:szCs w:val="16"/>
                <w:color w:val="auto"/>
              </w:rPr>
              <w:t>Exhibits</w:t>
            </w:r>
          </w:p>
        </w:tc>
        <w:tc>
          <w:tcPr>
            <w:tcW w:w="2160" w:type="dxa"/>
            <w:vAlign w:val="bottom"/>
            <w:gridSpan w:val="5"/>
          </w:tcPr>
          <w:p>
            <w:pPr>
              <w:jc w:val="right"/>
              <w:spacing w:after="0"/>
              <w:rPr>
                <w:sz w:val="20"/>
                <w:szCs w:val="20"/>
                <w:color w:val="auto"/>
              </w:rPr>
            </w:pPr>
            <w:r>
              <w:rPr>
                <w:rFonts w:ascii="Arial" w:cs="Arial" w:eastAsia="Arial" w:hAnsi="Arial"/>
                <w:sz w:val="16"/>
                <w:szCs w:val="16"/>
                <w:color w:val="0000FF"/>
              </w:rPr>
              <w:t>71</w:t>
            </w:r>
          </w:p>
        </w:tc>
        <w:tc>
          <w:tcPr>
            <w:tcW w:w="20" w:type="dxa"/>
            <w:vAlign w:val="bottom"/>
          </w:tcPr>
          <w:p>
            <w:pPr>
              <w:spacing w:after="0"/>
              <w:rPr>
                <w:sz w:val="16"/>
                <w:szCs w:val="16"/>
                <w:color w:val="auto"/>
              </w:rPr>
            </w:pPr>
          </w:p>
        </w:tc>
      </w:tr>
      <w:tr>
        <w:trPr>
          <w:trHeight w:val="3220"/>
        </w:trPr>
        <w:tc>
          <w:tcPr>
            <w:tcW w:w="94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4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June 30, 2023</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December 31, 2022</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18,619</w:t>
            </w:r>
          </w:p>
        </w:tc>
        <w:tc>
          <w:tcPr>
            <w:tcW w:w="4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19,963</w:t>
            </w:r>
          </w:p>
        </w:tc>
        <w:tc>
          <w:tcPr>
            <w:tcW w:w="0" w:type="dxa"/>
            <w:vAlign w:val="bottom"/>
          </w:tcPr>
          <w:p>
            <w:pPr>
              <w:spacing w:after="0"/>
              <w:rPr>
                <w:sz w:val="1"/>
                <w:szCs w:val="1"/>
                <w:color w:val="auto"/>
              </w:rPr>
            </w:pPr>
          </w:p>
        </w:tc>
      </w:tr>
      <w:tr>
        <w:trPr>
          <w:trHeight w:val="198"/>
        </w:trPr>
        <w:tc>
          <w:tcPr>
            <w:tcW w:w="8540" w:type="dxa"/>
            <w:vAlign w:val="bottom"/>
          </w:tcPr>
          <w:p>
            <w:pPr>
              <w:ind w:left="20"/>
              <w:spacing w:after="0"/>
              <w:rPr>
                <w:sz w:val="20"/>
                <w:szCs w:val="20"/>
                <w:color w:val="auto"/>
              </w:rPr>
            </w:pPr>
            <w:r>
              <w:rPr>
                <w:rFonts w:ascii="Arial" w:cs="Arial" w:eastAsia="Arial" w:hAnsi="Arial"/>
                <w:sz w:val="14"/>
                <w:szCs w:val="14"/>
                <w:color w:val="auto"/>
              </w:rPr>
              <w:t>Interest-bearing deposits at other financial institutions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100,343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39,764</w:t>
            </w:r>
          </w:p>
        </w:tc>
        <w:tc>
          <w:tcPr>
            <w:tcW w:w="0" w:type="dxa"/>
            <w:vAlign w:val="bottom"/>
          </w:tcPr>
          <w:p>
            <w:pPr>
              <w:spacing w:after="0"/>
              <w:rPr>
                <w:sz w:val="1"/>
                <w:szCs w:val="1"/>
                <w:color w:val="auto"/>
              </w:rPr>
            </w:pPr>
          </w:p>
        </w:tc>
      </w:tr>
      <w:tr>
        <w:trPr>
          <w:trHeight w:val="186"/>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20,688</w:t>
            </w:r>
          </w:p>
        </w:tc>
        <w:tc>
          <w:tcPr>
            <w:tcW w:w="0" w:type="dxa"/>
            <w:vAlign w:val="bottom"/>
          </w:tcPr>
          <w:p>
            <w:pPr>
              <w:spacing w:after="0"/>
              <w:rPr>
                <w:sz w:val="1"/>
                <w:szCs w:val="1"/>
                <w:color w:val="auto"/>
              </w:rPr>
            </w:pPr>
          </w:p>
        </w:tc>
      </w:tr>
      <w:tr>
        <w:trPr>
          <w:trHeight w:val="192"/>
        </w:trPr>
        <w:tc>
          <w:tcPr>
            <w:tcW w:w="854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119,338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80,415</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208,464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252,481</w:t>
            </w:r>
          </w:p>
        </w:tc>
        <w:tc>
          <w:tcPr>
            <w:tcW w:w="0" w:type="dxa"/>
            <w:vAlign w:val="bottom"/>
          </w:tcPr>
          <w:p>
            <w:pPr>
              <w:spacing w:after="0"/>
              <w:rPr>
                <w:sz w:val="1"/>
                <w:szCs w:val="1"/>
                <w:color w:val="auto"/>
              </w:rPr>
            </w:pPr>
          </w:p>
        </w:tc>
      </w:tr>
      <w:tr>
        <w:trPr>
          <w:trHeight w:val="185"/>
        </w:trPr>
        <w:tc>
          <w:tcPr>
            <w:tcW w:w="8540" w:type="dxa"/>
            <w:vAlign w:val="bottom"/>
          </w:tcPr>
          <w:p>
            <w:pPr>
              <w:ind w:left="2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7,362</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7,416</w:t>
            </w:r>
          </w:p>
        </w:tc>
        <w:tc>
          <w:tcPr>
            <w:tcW w:w="0" w:type="dxa"/>
            <w:vAlign w:val="bottom"/>
          </w:tcPr>
          <w:p>
            <w:pPr>
              <w:spacing w:after="0"/>
              <w:rPr>
                <w:sz w:val="1"/>
                <w:szCs w:val="1"/>
                <w:color w:val="auto"/>
              </w:rPr>
            </w:pPr>
          </w:p>
        </w:tc>
      </w:tr>
      <w:tr>
        <w:trPr>
          <w:trHeight w:val="198"/>
        </w:trPr>
        <w:tc>
          <w:tcPr>
            <w:tcW w:w="8540" w:type="dxa"/>
            <w:vAlign w:val="bottom"/>
          </w:tcPr>
          <w:p>
            <w:pPr>
              <w:ind w:left="20"/>
              <w:spacing w:after="0"/>
              <w:rPr>
                <w:sz w:val="20"/>
                <w:szCs w:val="20"/>
                <w:color w:val="auto"/>
              </w:rPr>
            </w:pPr>
            <w:r>
              <w:rPr>
                <w:rFonts w:ascii="Arial" w:cs="Arial" w:eastAsia="Arial" w:hAnsi="Arial"/>
                <w:sz w:val="14"/>
                <w:szCs w:val="14"/>
                <w:color w:val="auto"/>
              </w:rPr>
              <w:t>U.S. Small Business Administration (“SBA”) Payroll Protection Program (“PPP”) loans receivable, net of fees and costs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18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Portfolio loans receivable, net of deferred fees and costs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1,837,041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1,728,592</w:t>
            </w:r>
          </w:p>
        </w:tc>
        <w:tc>
          <w:tcPr>
            <w:tcW w:w="0" w:type="dxa"/>
            <w:vAlign w:val="bottom"/>
          </w:tcPr>
          <w:p>
            <w:pPr>
              <w:spacing w:after="0"/>
              <w:rPr>
                <w:sz w:val="1"/>
                <w:szCs w:val="1"/>
                <w:color w:val="auto"/>
              </w:rPr>
            </w:pPr>
          </w:p>
        </w:tc>
      </w:tr>
      <w:tr>
        <w:trPr>
          <w:trHeight w:val="199"/>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allowance for credit losses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(27,495)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(26,385)</w:t>
            </w: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portfolio loans held for investment, net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1,809,546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1,702,207</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Arial" w:cs="Arial" w:eastAsia="Arial" w:hAnsi="Arial"/>
                <w:sz w:val="14"/>
                <w:szCs w:val="14"/>
                <w:color w:val="auto"/>
              </w:rPr>
              <w:t>Premises and equipment, net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5,494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 receivable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0" w:type="dxa"/>
            <w:vAlign w:val="bottom"/>
          </w:tcPr>
          <w:p>
            <w:pPr>
              <w:spacing w:after="0"/>
              <w:rPr>
                <w:sz w:val="1"/>
                <w:szCs w:val="1"/>
                <w:color w:val="auto"/>
              </w:rPr>
            </w:pPr>
          </w:p>
        </w:tc>
      </w:tr>
      <w:tr>
        <w:trPr>
          <w:trHeight w:val="185"/>
        </w:trPr>
        <w:tc>
          <w:tcPr>
            <w:tcW w:w="854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13,616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13,777</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36,524</w:t>
            </w:r>
          </w:p>
        </w:tc>
        <w:tc>
          <w:tcPr>
            <w:tcW w:w="0" w:type="dxa"/>
            <w:vAlign w:val="bottom"/>
          </w:tcPr>
          <w:p>
            <w:pPr>
              <w:spacing w:after="0"/>
              <w:rPr>
                <w:sz w:val="1"/>
                <w:szCs w:val="1"/>
                <w:color w:val="auto"/>
              </w:rPr>
            </w:pPr>
          </w:p>
        </w:tc>
      </w:tr>
      <w:tr>
        <w:trPr>
          <w:trHeight w:val="19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9,173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8,435</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2,227,866</w:t>
            </w:r>
          </w:p>
        </w:tc>
        <w:tc>
          <w:tcPr>
            <w:tcW w:w="4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2,123,655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693,129</w:t>
            </w:r>
          </w:p>
        </w:tc>
        <w:tc>
          <w:tcPr>
            <w:tcW w:w="4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674,313</w:t>
            </w:r>
          </w:p>
        </w:tc>
        <w:tc>
          <w:tcPr>
            <w:tcW w:w="0" w:type="dxa"/>
            <w:vAlign w:val="bottom"/>
          </w:tcPr>
          <w:p>
            <w:pPr>
              <w:spacing w:after="0"/>
              <w:rPr>
                <w:sz w:val="1"/>
                <w:szCs w:val="1"/>
                <w:color w:val="auto"/>
              </w:rPr>
            </w:pPr>
          </w:p>
        </w:tc>
      </w:tr>
      <w:tr>
        <w:trPr>
          <w:trHeight w:val="199"/>
        </w:trPr>
        <w:tc>
          <w:tcPr>
            <w:tcW w:w="8540" w:type="dxa"/>
            <w:vAlign w:val="bottom"/>
          </w:tcPr>
          <w:p>
            <w:pPr>
              <w:ind w:left="340"/>
              <w:spacing w:after="0"/>
              <w:rPr>
                <w:sz w:val="20"/>
                <w:szCs w:val="20"/>
                <w:color w:val="auto"/>
              </w:rPr>
            </w:pPr>
            <w:r>
              <w:rPr>
                <w:rFonts w:ascii="Arial" w:cs="Arial" w:eastAsia="Arial" w:hAnsi="Arial"/>
                <w:sz w:val="14"/>
                <w:szCs w:val="14"/>
                <w:color w:val="auto"/>
              </w:rPr>
              <w:t>Interest-bearing</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1,241,232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1,083,759</w:t>
            </w: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1,934,361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1,758,072</w:t>
            </w:r>
          </w:p>
        </w:tc>
        <w:tc>
          <w:tcPr>
            <w:tcW w:w="0" w:type="dxa"/>
            <w:vAlign w:val="bottom"/>
          </w:tcPr>
          <w:p>
            <w:pPr>
              <w:spacing w:after="0"/>
              <w:rPr>
                <w:sz w:val="1"/>
                <w:szCs w:val="1"/>
                <w:color w:val="auto"/>
              </w:rPr>
            </w:pPr>
          </w:p>
        </w:tc>
      </w:tr>
      <w:tr>
        <w:trPr>
          <w:trHeight w:val="185"/>
        </w:trPr>
        <w:tc>
          <w:tcPr>
            <w:tcW w:w="854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107,000</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98"/>
        </w:trPr>
        <w:tc>
          <w:tcPr>
            <w:tcW w:w="854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86"/>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18,979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21,475</w:t>
            </w:r>
          </w:p>
        </w:tc>
        <w:tc>
          <w:tcPr>
            <w:tcW w:w="0" w:type="dxa"/>
            <w:vAlign w:val="bottom"/>
          </w:tcPr>
          <w:p>
            <w:pPr>
              <w:spacing w:after="0"/>
              <w:rPr>
                <w:sz w:val="1"/>
                <w:szCs w:val="1"/>
                <w:color w:val="auto"/>
              </w:rPr>
            </w:pPr>
          </w:p>
        </w:tc>
      </w:tr>
      <w:tr>
        <w:trPr>
          <w:trHeight w:val="192"/>
        </w:trPr>
        <w:tc>
          <w:tcPr>
            <w:tcW w:w="85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1,990,431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1,899,640</w:t>
            </w: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540" w:type="dxa"/>
            <w:vAlign w:val="bottom"/>
            <w:shd w:val="clear" w:color="auto" w:fill="CCEEFF"/>
          </w:tcPr>
          <w:p>
            <w:pPr>
              <w:ind w:left="100"/>
              <w:spacing w:after="0" w:line="154" w:lineRule="exact"/>
              <w:rPr>
                <w:sz w:val="20"/>
                <w:szCs w:val="20"/>
                <w:color w:val="auto"/>
              </w:rPr>
            </w:pPr>
            <w:r>
              <w:rPr>
                <w:rFonts w:ascii="Arial" w:cs="Arial" w:eastAsia="Arial" w:hAnsi="Arial"/>
                <w:sz w:val="14"/>
                <w:szCs w:val="14"/>
                <w:color w:val="auto"/>
              </w:rPr>
              <w:t>Common stock, $.01 par value; 49,000,000 shares authorized;</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13,981,414 issued and outstanding at June 30, 2023;</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5"/>
        </w:trPr>
        <w:tc>
          <w:tcPr>
            <w:tcW w:w="8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14,138,829 issued and outstanding at December 31, 2022</w:t>
            </w: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4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55,856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58,190</w:t>
            </w:r>
          </w:p>
        </w:tc>
        <w:tc>
          <w:tcPr>
            <w:tcW w:w="0" w:type="dxa"/>
            <w:vAlign w:val="bottom"/>
          </w:tcPr>
          <w:p>
            <w:pPr>
              <w:spacing w:after="0"/>
              <w:rPr>
                <w:sz w:val="1"/>
                <w:szCs w:val="1"/>
                <w:color w:val="auto"/>
              </w:rPr>
            </w:pPr>
          </w:p>
        </w:tc>
      </w:tr>
      <w:tr>
        <w:trPr>
          <w:trHeight w:val="186"/>
        </w:trPr>
        <w:tc>
          <w:tcPr>
            <w:tcW w:w="8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197,490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182,435</w:t>
            </w:r>
          </w:p>
        </w:tc>
        <w:tc>
          <w:tcPr>
            <w:tcW w:w="0" w:type="dxa"/>
            <w:vAlign w:val="bottom"/>
          </w:tcPr>
          <w:p>
            <w:pPr>
              <w:spacing w:after="0"/>
              <w:rPr>
                <w:sz w:val="1"/>
                <w:szCs w:val="1"/>
                <w:color w:val="auto"/>
              </w:rPr>
            </w:pPr>
          </w:p>
        </w:tc>
      </w:tr>
      <w:tr>
        <w:trPr>
          <w:trHeight w:val="199"/>
        </w:trPr>
        <w:tc>
          <w:tcPr>
            <w:tcW w:w="8540" w:type="dxa"/>
            <w:vAlign w:val="bottom"/>
          </w:tcPr>
          <w:p>
            <w:pPr>
              <w:ind w:left="1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(16,751)</w:t>
            </w: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237,435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224,015</w:t>
            </w:r>
          </w:p>
        </w:tc>
        <w:tc>
          <w:tcPr>
            <w:tcW w:w="0" w:type="dxa"/>
            <w:vAlign w:val="bottom"/>
          </w:tcPr>
          <w:p>
            <w:pPr>
              <w:spacing w:after="0"/>
              <w:rPr>
                <w:sz w:val="1"/>
                <w:szCs w:val="1"/>
                <w:color w:val="auto"/>
              </w:rPr>
            </w:pPr>
          </w:p>
        </w:tc>
      </w:tr>
      <w:tr>
        <w:trPr>
          <w:trHeight w:val="179"/>
        </w:trPr>
        <w:tc>
          <w:tcPr>
            <w:tcW w:w="854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2,227,866</w:t>
            </w:r>
          </w:p>
        </w:tc>
        <w:tc>
          <w:tcPr>
            <w:tcW w:w="460" w:type="dxa"/>
            <w:vAlign w:val="bottom"/>
            <w:gridSpan w:val="2"/>
          </w:tcPr>
          <w:p>
            <w:pPr>
              <w:jc w:val="right"/>
              <w:ind w:right="17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2,123,655</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-180340</wp:posOffset>
            </wp:positionV>
            <wp:extent cx="7000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Consolidated Statements of Income </w:t>
      </w: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700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349"/>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jc w:val="right"/>
              <w:ind w:right="409"/>
              <w:spacing w:after="0"/>
              <w:rPr>
                <w:sz w:val="20"/>
                <w:szCs w:val="20"/>
                <w:color w:val="auto"/>
              </w:rPr>
            </w:pPr>
            <w:r>
              <w:rPr>
                <w:rFonts w:ascii="Arial" w:cs="Arial" w:eastAsia="Arial" w:hAnsi="Arial"/>
                <w:sz w:val="12"/>
                <w:szCs w:val="12"/>
                <w:b w:val="1"/>
                <w:bCs w:val="1"/>
                <w:color w:val="auto"/>
              </w:rPr>
              <w:t>Six Months Ended June 30,</w:t>
            </w:r>
          </w:p>
        </w:tc>
      </w:tr>
      <w:tr>
        <w:trPr>
          <w:trHeight w:val="19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7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42,991</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35,304</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84,266</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69,193</w:t>
            </w:r>
          </w:p>
        </w:tc>
      </w:tr>
      <w:tr>
        <w:trPr>
          <w:trHeight w:val="18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1,149</w:t>
            </w:r>
          </w:p>
        </w:tc>
      </w:tr>
      <w:tr>
        <w:trPr>
          <w:trHeight w:val="199"/>
        </w:trPr>
        <w:tc>
          <w:tcPr>
            <w:tcW w:w="5280" w:type="dxa"/>
            <w:vAlign w:val="bottom"/>
          </w:tcPr>
          <w:p>
            <w:pPr>
              <w:ind w:left="140"/>
              <w:spacing w:after="0"/>
              <w:rPr>
                <w:sz w:val="20"/>
                <w:szCs w:val="20"/>
                <w:color w:val="auto"/>
              </w:rPr>
            </w:pPr>
            <w:r>
              <w:rPr>
                <w:rFonts w:ascii="Arial" w:cs="Arial" w:eastAsia="Arial" w:hAnsi="Arial"/>
                <w:sz w:val="14"/>
                <w:szCs w:val="14"/>
                <w:color w:val="auto"/>
              </w:rPr>
              <w:t>Federal funds sold and other</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615</w:t>
            </w:r>
          </w:p>
        </w:tc>
      </w:tr>
      <w:tr>
        <w:trPr>
          <w:trHeight w:val="192"/>
        </w:trPr>
        <w:tc>
          <w:tcPr>
            <w:tcW w:w="5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45,080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36,556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88,496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70,957</w:t>
            </w:r>
          </w:p>
        </w:tc>
      </w:tr>
      <w:tr>
        <w:trPr>
          <w:trHeight w:val="192"/>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Deposits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9,409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17,163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1,847</w:t>
            </w:r>
          </w:p>
        </w:tc>
      </w:tr>
      <w:tr>
        <w:trPr>
          <w:trHeight w:val="186"/>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379</w:t>
            </w:r>
          </w:p>
        </w:tc>
      </w:tr>
      <w:tr>
        <w:trPr>
          <w:trHeight w:val="192"/>
        </w:trPr>
        <w:tc>
          <w:tcPr>
            <w:tcW w:w="52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interest expense</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9,740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18,669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2,226</w:t>
            </w:r>
          </w:p>
        </w:tc>
      </w:tr>
      <w:tr>
        <w:trPr>
          <w:trHeight w:val="192"/>
        </w:trPr>
        <w:tc>
          <w:tcPr>
            <w:tcW w:w="5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35,340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69,827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68,731</w:t>
            </w:r>
          </w:p>
        </w:tc>
      </w:tr>
      <w:tr>
        <w:trPr>
          <w:trHeight w:val="19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2,987</w:t>
            </w:r>
          </w:p>
        </w:tc>
      </w:tr>
      <w:tr>
        <w:trPr>
          <w:trHeight w:val="186"/>
        </w:trPr>
        <w:tc>
          <w:tcPr>
            <w:tcW w:w="5280" w:type="dxa"/>
            <w:vAlign w:val="bottom"/>
          </w:tcPr>
          <w:p>
            <w:pPr>
              <w:ind w:left="140"/>
              <w:spacing w:after="0"/>
              <w:rPr>
                <w:sz w:val="20"/>
                <w:szCs w:val="20"/>
                <w:color w:val="auto"/>
              </w:rPr>
            </w:pPr>
            <w:r>
              <w:rPr>
                <w:rFonts w:ascii="Arial" w:cs="Arial" w:eastAsia="Arial" w:hAnsi="Arial"/>
                <w:sz w:val="14"/>
                <w:szCs w:val="14"/>
                <w:color w:val="auto"/>
              </w:rPr>
              <w:t>Release of credit losses on unfunded commitments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interest income after provision for credit losses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32,478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65,324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65,744</w:t>
            </w:r>
          </w:p>
        </w:tc>
      </w:tr>
      <w:tr>
        <w:trPr>
          <w:trHeight w:val="205"/>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Service charges on deposits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346</w:t>
            </w:r>
          </w:p>
        </w:tc>
      </w:tr>
      <w:tr>
        <w:trPr>
          <w:trHeight w:val="18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Credit card fees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12,134</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Mortgage banking revenue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3,318</w:t>
            </w:r>
          </w:p>
        </w:tc>
      </w:tr>
      <w:tr>
        <w:trPr>
          <w:trHeight w:val="19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852</w:t>
            </w:r>
          </w:p>
        </w:tc>
      </w:tr>
      <w:tr>
        <w:trPr>
          <w:trHeight w:val="179"/>
        </w:trPr>
        <w:tc>
          <w:tcPr>
            <w:tcW w:w="5280" w:type="dxa"/>
            <w:vAlign w:val="bottom"/>
          </w:tcPr>
          <w:p>
            <w:pPr>
              <w:ind w:left="52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6,687</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12,713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16,650</w:t>
            </w:r>
          </w:p>
        </w:tc>
      </w:tr>
      <w:tr>
        <w:trPr>
          <w:trHeight w:val="205"/>
        </w:trPr>
        <w:tc>
          <w:tcPr>
            <w:tcW w:w="5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Salaries and employee benefits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20,381</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Occupancy and equipment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2,339</w:t>
            </w:r>
          </w:p>
        </w:tc>
      </w:tr>
      <w:tr>
        <w:trPr>
          <w:trHeight w:val="19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4,738</w:t>
            </w:r>
          </w:p>
        </w:tc>
      </w:tr>
      <w:tr>
        <w:trPr>
          <w:trHeight w:val="185"/>
        </w:trPr>
        <w:tc>
          <w:tcPr>
            <w:tcW w:w="5280" w:type="dxa"/>
            <w:vAlign w:val="bottom"/>
          </w:tcPr>
          <w:p>
            <w:pPr>
              <w:ind w:left="140"/>
              <w:spacing w:after="0"/>
              <w:rPr>
                <w:sz w:val="20"/>
                <w:szCs w:val="20"/>
                <w:color w:val="auto"/>
              </w:rPr>
            </w:pPr>
            <w:r>
              <w:rPr>
                <w:rFonts w:ascii="Arial" w:cs="Arial" w:eastAsia="Arial" w:hAnsi="Arial"/>
                <w:sz w:val="14"/>
                <w:szCs w:val="14"/>
                <w:color w:val="auto"/>
              </w:rPr>
              <w:t>Data processing</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6,559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13,089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15,542</w:t>
            </w:r>
          </w:p>
        </w:tc>
      </w:tr>
      <w:tr>
        <w:trPr>
          <w:trHeight w:val="19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3,862</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Loan processing</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727</w:t>
            </w:r>
          </w:p>
        </w:tc>
      </w:tr>
      <w:tr>
        <w:trPr>
          <w:trHeight w:val="186"/>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Foreclosed real estate expenses, net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operating</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6,643</w:t>
            </w:r>
          </w:p>
        </w:tc>
      </w:tr>
      <w:tr>
        <w:trPr>
          <w:trHeight w:val="192"/>
        </w:trPr>
        <w:tc>
          <w:tcPr>
            <w:tcW w:w="5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noninterest expenses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29,592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55,814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54,232</w:t>
            </w:r>
          </w:p>
        </w:tc>
      </w:tr>
      <w:tr>
        <w:trPr>
          <w:trHeight w:val="179"/>
        </w:trPr>
        <w:tc>
          <w:tcPr>
            <w:tcW w:w="52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9,573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22,223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28,162</w:t>
            </w:r>
          </w:p>
        </w:tc>
      </w:tr>
      <w:tr>
        <w:trPr>
          <w:trHeight w:val="19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6,443</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7,318</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17,053</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21,719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52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0.52</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1.52</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5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5"/>
        </w:trPr>
        <w:tc>
          <w:tcPr>
            <w:tcW w:w="528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4"/>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14,024,824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14,007,240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14,091,795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13,997,946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5280" w:type="dxa"/>
            <w:vAlign w:val="bottom"/>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14,058,928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14,312,848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14,209,910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14,323,400</w:t>
            </w: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259715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40"/>
          </w:cols>
          <w:pgMar w:left="660" w:top="614" w:right="699" w:bottom="1440" w:gutter="0" w:footer="0" w:header="0"/>
        </w:sectPr>
      </w:pPr>
    </w:p>
    <w:bookmarkStart w:id="4" w:name="page5"/>
    <w:bookmarkEnd w:id="4"/>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70002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 xml:space="preserve">Consolidated Statements of Comprehensive Income </w:t>
      </w: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155575</wp:posOffset>
            </wp:positionV>
            <wp:extent cx="7000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2"/>
                <w:szCs w:val="12"/>
                <w:b w:val="1"/>
                <w:bCs w:val="1"/>
                <w:color w:val="auto"/>
              </w:rPr>
              <w:t>Six Months Ended June 30,</w:t>
            </w:r>
          </w:p>
        </w:tc>
      </w:tr>
      <w:tr>
        <w:trPr>
          <w:trHeight w:val="19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9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17,053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21,719</w:t>
            </w:r>
          </w:p>
        </w:tc>
      </w:tr>
      <w:tr>
        <w:trPr>
          <w:trHeight w:val="192"/>
        </w:trPr>
        <w:tc>
          <w:tcPr>
            <w:tcW w:w="57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Unrealized gain (loss) on investment securities available for sale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b w:val="1"/>
                <w:bCs w:val="1"/>
                <w:color w:val="auto"/>
              </w:rPr>
              <w:t>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(16,342)</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relating to the items above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w:t>
            </w:r>
          </w:p>
        </w:tc>
      </w:tr>
      <w:tr>
        <w:trPr>
          <w:trHeight w:val="19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700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(12,260)</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5,226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17,753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8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-180340</wp:posOffset>
            </wp:positionV>
            <wp:extent cx="70002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Consolidated Statements of Changes in Stockholders’ Equity </w:t>
      </w: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700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2220" w:type="dxa"/>
            <w:vAlign w:val="bottom"/>
            <w:gridSpan w:val="4"/>
            <w:vMerge w:val="restart"/>
          </w:tcPr>
          <w:p>
            <w:pPr>
              <w:jc w:val="right"/>
              <w:ind w:right="59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5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2"/>
        </w:trPr>
        <w:tc>
          <w:tcPr>
            <w:tcW w:w="3000" w:type="dxa"/>
            <w:vAlign w:val="bottom"/>
          </w:tcPr>
          <w:p>
            <w:pPr>
              <w:spacing w:after="0"/>
              <w:rPr>
                <w:sz w:val="8"/>
                <w:szCs w:val="8"/>
                <w:color w:val="auto"/>
              </w:rPr>
            </w:pPr>
          </w:p>
        </w:tc>
        <w:tc>
          <w:tcPr>
            <w:tcW w:w="22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ind w:right="250"/>
              <w:spacing w:after="0" w:line="106"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restart"/>
          </w:tcPr>
          <w:p>
            <w:pPr>
              <w:jc w:val="right"/>
              <w:ind w:right="190"/>
              <w:spacing w:after="0" w:line="106"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8"/>
                <w:szCs w:val="8"/>
                <w:color w:val="auto"/>
              </w:rPr>
            </w:pPr>
          </w:p>
        </w:tc>
        <w:tc>
          <w:tcPr>
            <w:tcW w:w="1300" w:type="dxa"/>
            <w:vAlign w:val="bottom"/>
            <w:gridSpan w:val="2"/>
            <w:vMerge w:val="restart"/>
          </w:tcPr>
          <w:p>
            <w:pPr>
              <w:jc w:val="right"/>
              <w:ind w:right="9"/>
              <w:spacing w:after="0" w:line="106"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jc w:val="center"/>
              <w:ind w:right="90"/>
              <w:spacing w:after="0" w:line="10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20"/>
                <w:szCs w:val="20"/>
                <w:color w:val="auto"/>
              </w:rPr>
            </w:pPr>
            <w:r>
              <w:rPr>
                <w:rFonts w:ascii="Arial" w:cs="Arial" w:eastAsia="Arial" w:hAnsi="Arial"/>
                <w:sz w:val="11"/>
                <w:szCs w:val="11"/>
                <w:color w:val="auto"/>
              </w:rPr>
              <w:t>(dollars in thousands)</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Comprehensive 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13,962,334</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54,306</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144,533</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197,903</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10,211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10,211</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Unrealized loss on investment securities</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(6,747)</w:t>
            </w: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available for sale, net of income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Stock options exercised, net of shares withheld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27,028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for purchase price</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Shares issued as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Cash dividends to stockholders ($0.05 per</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(700)</w:t>
            </w:r>
          </w:p>
        </w:tc>
        <w:tc>
          <w:tcPr>
            <w:tcW w:w="0" w:type="dxa"/>
            <w:vAlign w:val="bottom"/>
          </w:tcPr>
          <w:p>
            <w:pPr>
              <w:spacing w:after="0"/>
              <w:rPr>
                <w:sz w:val="1"/>
                <w:szCs w:val="1"/>
                <w:color w:val="auto"/>
              </w:rPr>
            </w:pPr>
          </w:p>
        </w:tc>
      </w:tr>
      <w:tr>
        <w:trPr>
          <w:trHeight w:val="178"/>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March 31, 2022</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14,000,520</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55,226</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153,949</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(7,823)</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201,492</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11,508</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Unrealized loss on investment securities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(5,513)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(5,513)</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available for sale, net of income taxes</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Stock options exercised, net of shares withheld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78"/>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for purchase price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Shares issued as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86"/>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w:t>
            </w:r>
          </w:p>
        </w:tc>
        <w:tc>
          <w:tcPr>
            <w:tcW w:w="0" w:type="dxa"/>
            <w:vAlign w:val="bottom"/>
          </w:tcPr>
          <w:p>
            <w:pPr>
              <w:spacing w:after="0"/>
              <w:rPr>
                <w:sz w:val="1"/>
                <w:szCs w:val="1"/>
                <w:color w:val="auto"/>
              </w:rPr>
            </w:pPr>
          </w:p>
        </w:tc>
      </w:tr>
      <w:tr>
        <w:trPr>
          <w:trHeight w:val="154"/>
        </w:trPr>
        <w:tc>
          <w:tcPr>
            <w:tcW w:w="3000" w:type="dxa"/>
            <w:vAlign w:val="bottom"/>
          </w:tcPr>
          <w:p>
            <w:pPr>
              <w:spacing w:after="0" w:line="154" w:lineRule="exact"/>
              <w:rPr>
                <w:sz w:val="20"/>
                <w:szCs w:val="20"/>
                <w:color w:val="auto"/>
              </w:rPr>
            </w:pPr>
            <w:r>
              <w:rPr>
                <w:rFonts w:ascii="Arial" w:cs="Arial" w:eastAsia="Arial" w:hAnsi="Arial"/>
                <w:sz w:val="14"/>
                <w:szCs w:val="14"/>
                <w:color w:val="auto"/>
              </w:rPr>
              <w:t>Cash dividends to stockholders ($0.05 per</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(700)</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20"/>
                <w:szCs w:val="20"/>
                <w:color w:val="auto"/>
              </w:rPr>
            </w:pPr>
            <w:r>
              <w:rPr>
                <w:rFonts w:ascii="Arial" w:cs="Arial" w:eastAsia="Arial" w:hAnsi="Arial"/>
                <w:sz w:val="14"/>
                <w:szCs w:val="14"/>
                <w:color w:val="auto"/>
              </w:rPr>
              <w:t>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30,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14,010,158</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55,762</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164,750</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207,316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3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14,138,829</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58,190</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182,435</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224,015</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Cumulative effect adjustment due to adoption</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of the CECL standard</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9,735</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Unrealized gain on investment securities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2,792</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available for sale, net of income taxes</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Stock options exercised, net of shares withheld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r>
        <w:trPr>
          <w:trHeight w:val="178"/>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for purchase price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Shares issued as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28,081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546</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Cash dividends to stockholders ($0.06 per</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(850)</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share)</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Shares repurchased and retired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(146,937)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(2,719)</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March 31, 2023</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14,083,037</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57,277</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191,058</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(13,959)</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234,517</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7,318</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Unrealized loss on investment securities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(2,092)</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available for sale, net of income taxes</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Stock options exercised, net of shares withheld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423</w:t>
            </w:r>
          </w:p>
        </w:tc>
        <w:tc>
          <w:tcPr>
            <w:tcW w:w="0" w:type="dxa"/>
            <w:vAlign w:val="bottom"/>
          </w:tcPr>
          <w:p>
            <w:pPr>
              <w:spacing w:after="0"/>
              <w:rPr>
                <w:sz w:val="1"/>
                <w:szCs w:val="1"/>
                <w:color w:val="auto"/>
              </w:rPr>
            </w:pPr>
          </w:p>
        </w:tc>
      </w:tr>
      <w:tr>
        <w:trPr>
          <w:trHeight w:val="178"/>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for purchase price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Shares issued as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2,097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color w:val="auto"/>
              </w:rPr>
              <w:t>Cash dividends to stockholders ($0.06 per</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(843)</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share)</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 and retired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(138,407)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(2,315)</w:t>
            </w:r>
          </w:p>
        </w:tc>
        <w:tc>
          <w:tcPr>
            <w:tcW w:w="0" w:type="dxa"/>
            <w:vAlign w:val="bottom"/>
          </w:tcPr>
          <w:p>
            <w:pPr>
              <w:spacing w:after="0"/>
              <w:rPr>
                <w:sz w:val="1"/>
                <w:szCs w:val="1"/>
                <w:color w:val="auto"/>
              </w:rPr>
            </w:pPr>
          </w:p>
        </w:tc>
      </w:tr>
      <w:tr>
        <w:trPr>
          <w:trHeight w:val="179"/>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June 30,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13,981,414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55,856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197,490</w:t>
            </w:r>
          </w:p>
        </w:tc>
        <w:tc>
          <w:tcPr>
            <w:tcW w:w="12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(16,051)</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237,435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259715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80"/>
          </w:cols>
          <w:pgMar w:left="660" w:top="614" w:right="75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-179070</wp:posOffset>
            </wp:positionV>
            <wp:extent cx="70002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Consolidated Statements of Cash Flows </w:t>
      </w: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000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19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2"/>
        </w:trPr>
        <w:tc>
          <w:tcPr>
            <w:tcW w:w="7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17,053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21,719</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4,503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2,987</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mortgage put-back reserve,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Reversal of reserve for unfunded commitments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(accretion) amortization on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Premises and equipment depreciation</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asset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Increase in cash surrender value of BOLI</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Executive long-term incentive plan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876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 and employee compensation paid in Company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Valuation decrease on derivatives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Gain on sale of foreclosed real estate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valuation of loans held for sale carried at fair value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r>
      <w:tr>
        <w:trPr>
          <w:trHeight w:val="212"/>
        </w:trPr>
        <w:tc>
          <w:tcPr>
            <w:tcW w:w="7540" w:type="dxa"/>
            <w:vAlign w:val="bottom"/>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101,985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203,103</w:t>
            </w:r>
          </w:p>
        </w:tc>
      </w:tr>
      <w:tr>
        <w:trPr>
          <w:trHeight w:val="212"/>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Originations of loans held for sale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(104,721)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(195,504)</w:t>
            </w:r>
          </w:p>
        </w:tc>
      </w:tr>
      <w:tr>
        <w:trPr>
          <w:trHeight w:val="209"/>
        </w:trPr>
        <w:tc>
          <w:tcPr>
            <w:tcW w:w="754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accrued interest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12"/>
        </w:trPr>
        <w:tc>
          <w:tcPr>
            <w:tcW w:w="7540" w:type="dxa"/>
            <w:vAlign w:val="bottom"/>
          </w:tcPr>
          <w:p>
            <w:pPr>
              <w:ind w:left="340"/>
              <w:spacing w:after="0"/>
              <w:rPr>
                <w:sz w:val="20"/>
                <w:szCs w:val="20"/>
                <w:color w:val="auto"/>
              </w:rPr>
            </w:pPr>
            <w:r>
              <w:rPr>
                <w:rFonts w:ascii="Arial" w:cs="Arial" w:eastAsia="Arial" w:hAnsi="Arial"/>
                <w:sz w:val="16"/>
                <w:szCs w:val="16"/>
                <w:color w:val="auto"/>
              </w:rPr>
              <w:t>(Decrease) increase in taxes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2"/>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in 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12"/>
        </w:trPr>
        <w:tc>
          <w:tcPr>
            <w:tcW w:w="7540" w:type="dxa"/>
            <w:vAlign w:val="bottom"/>
          </w:tcPr>
          <w:p>
            <w:pPr>
              <w:ind w:left="340"/>
              <w:spacing w:after="0"/>
              <w:rPr>
                <w:sz w:val="20"/>
                <w:szCs w:val="20"/>
                <w:color w:val="auto"/>
              </w:rPr>
            </w:pPr>
            <w:r>
              <w:rPr>
                <w:rFonts w:ascii="Arial" w:cs="Arial" w:eastAsia="Arial" w:hAnsi="Arial"/>
                <w:sz w:val="16"/>
                <w:szCs w:val="16"/>
                <w:color w:val="auto"/>
              </w:rPr>
              <w:t>Increase (decrease) in accrued interest payable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1,998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2"/>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Decrease in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205"/>
        </w:trPr>
        <w:tc>
          <w:tcPr>
            <w:tcW w:w="754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18,759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29,528</w:t>
            </w:r>
          </w:p>
        </w:tc>
      </w:tr>
      <w:tr>
        <w:trPr>
          <w:trHeight w:val="258"/>
        </w:trPr>
        <w:tc>
          <w:tcPr>
            <w:tcW w:w="7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2"/>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(62,542)</w:t>
            </w:r>
          </w:p>
        </w:tc>
      </w:tr>
      <w:tr>
        <w:trPr>
          <w:trHeight w:val="212"/>
        </w:trPr>
        <w:tc>
          <w:tcPr>
            <w:tcW w:w="7540" w:type="dxa"/>
            <w:vAlign w:val="bottom"/>
          </w:tcPr>
          <w:p>
            <w:pPr>
              <w:ind w:left="140"/>
              <w:spacing w:after="0"/>
              <w:rPr>
                <w:sz w:val="20"/>
                <w:szCs w:val="20"/>
                <w:color w:val="auto"/>
              </w:rPr>
            </w:pPr>
            <w:r>
              <w:rPr>
                <w:rFonts w:ascii="Arial" w:cs="Arial" w:eastAsia="Arial" w:hAnsi="Arial"/>
                <w:sz w:val="16"/>
                <w:szCs w:val="16"/>
                <w:color w:val="auto"/>
              </w:rPr>
              <w:t>Proceeds from maturities, calls and paydowns of securities available for sale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44,975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3,614</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sales (purchases) of restricted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2"/>
        </w:trPr>
        <w:tc>
          <w:tcPr>
            <w:tcW w:w="7540" w:type="dxa"/>
            <w:vAlign w:val="bottom"/>
          </w:tcPr>
          <w:p>
            <w:pPr>
              <w:ind w:left="140"/>
              <w:spacing w:after="0"/>
              <w:rPr>
                <w:sz w:val="20"/>
                <w:szCs w:val="20"/>
                <w:color w:val="auto"/>
              </w:rPr>
            </w:pPr>
            <w:r>
              <w:rPr>
                <w:rFonts w:ascii="Arial" w:cs="Arial" w:eastAsia="Arial" w:hAnsi="Arial"/>
                <w:sz w:val="16"/>
                <w:szCs w:val="16"/>
                <w:color w:val="auto"/>
              </w:rPr>
              <w:t>Net decrease in SBA-PPP loans receivable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1,073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92,421</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in portfolio loans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(112,665)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(85,444)</w:t>
            </w:r>
          </w:p>
        </w:tc>
      </w:tr>
      <w:tr>
        <w:trPr>
          <w:trHeight w:val="212"/>
        </w:trPr>
        <w:tc>
          <w:tcPr>
            <w:tcW w:w="7540" w:type="dxa"/>
            <w:vAlign w:val="bottom"/>
          </w:tcPr>
          <w:p>
            <w:pPr>
              <w:ind w:left="140"/>
              <w:spacing w:after="0"/>
              <w:rPr>
                <w:sz w:val="20"/>
                <w:szCs w:val="20"/>
                <w:color w:val="auto"/>
              </w:rPr>
            </w:pPr>
            <w:r>
              <w:rPr>
                <w:rFonts w:ascii="Arial" w:cs="Arial" w:eastAsia="Arial" w:hAnsi="Arial"/>
                <w:sz w:val="16"/>
                <w:szCs w:val="16"/>
                <w:color w:val="auto"/>
              </w:rPr>
              <w:t>Net purchases of premises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7540" w:type="dxa"/>
            <w:vAlign w:val="bottom"/>
          </w:tcPr>
          <w:p>
            <w:pPr>
              <w:ind w:left="460"/>
              <w:spacing w:after="0"/>
              <w:rPr>
                <w:sz w:val="20"/>
                <w:szCs w:val="20"/>
                <w:color w:val="auto"/>
              </w:rPr>
            </w:pPr>
            <w:r>
              <w:rPr>
                <w:rFonts w:ascii="Arial" w:cs="Arial" w:eastAsia="Arial" w:hAnsi="Arial"/>
                <w:sz w:val="16"/>
                <w:szCs w:val="16"/>
                <w:color w:val="auto"/>
              </w:rPr>
              <w:t>Net cash used in by investing activities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(65,410)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(52,744)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259715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60"/>
          </w:cols>
          <w:pgMar w:left="660" w:top="705" w:right="77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Consolidated Statements of Cash Flows </w:t>
      </w:r>
      <w:r>
        <w:rPr>
          <w:rFonts w:ascii="Arial" w:cs="Arial" w:eastAsia="Arial" w:hAnsi="Arial"/>
          <w:sz w:val="14"/>
          <w:szCs w:val="14"/>
          <w:b w:val="1"/>
          <w:bCs w:val="1"/>
          <w:i w:val="1"/>
          <w:iCs w:val="1"/>
          <w:color w:val="auto"/>
        </w:rPr>
        <w:t>(unaudited)</w:t>
      </w:r>
      <w:r>
        <w:rPr>
          <w:rFonts w:ascii="Arial" w:cs="Arial" w:eastAsia="Arial" w:hAnsi="Arial"/>
          <w:sz w:val="14"/>
          <w:szCs w:val="14"/>
          <w:b w:val="1"/>
          <w:bCs w:val="1"/>
          <w:color w:val="auto"/>
        </w:rPr>
        <w:t xml:space="preserv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19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6"/>
                <w:szCs w:val="16"/>
                <w:color w:val="auto"/>
              </w:rPr>
              <w:t>Net increase (decrease) in: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deposits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54,713</w:t>
            </w:r>
          </w:p>
        </w:tc>
      </w:tr>
      <w:tr>
        <w:trPr>
          <w:trHeight w:val="212"/>
        </w:trPr>
        <w:tc>
          <w:tcPr>
            <w:tcW w:w="7560" w:type="dxa"/>
            <w:vAlign w:val="bottom"/>
          </w:tcPr>
          <w:p>
            <w:pPr>
              <w:ind w:left="240"/>
              <w:spacing w:after="0"/>
              <w:rPr>
                <w:sz w:val="20"/>
                <w:szCs w:val="20"/>
                <w:color w:val="auto"/>
              </w:rPr>
            </w:pPr>
            <w:r>
              <w:rPr>
                <w:rFonts w:ascii="Arial" w:cs="Arial" w:eastAsia="Arial" w:hAnsi="Arial"/>
                <w:sz w:val="16"/>
                <w:szCs w:val="16"/>
                <w:color w:val="auto"/>
              </w:rPr>
              <w:t>Interest-bearing deposits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157,473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37,070</w:t>
            </w:r>
          </w:p>
        </w:tc>
      </w:tr>
      <w:tr>
        <w:trPr>
          <w:trHeight w:val="212"/>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Federal Home Loan Bank advances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56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2"/>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proceeds from exercise of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5"/>
        </w:trPr>
        <w:tc>
          <w:tcPr>
            <w:tcW w:w="7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85,574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90,704</w:t>
            </w:r>
          </w:p>
        </w:tc>
      </w:tr>
      <w:tr>
        <w:trPr>
          <w:trHeight w:val="245"/>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38,923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67,488</w:t>
            </w:r>
          </w:p>
        </w:tc>
      </w:tr>
      <w:tr>
        <w:trPr>
          <w:trHeight w:val="265"/>
        </w:trPr>
        <w:tc>
          <w:tcPr>
            <w:tcW w:w="7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80,415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183,396</w:t>
            </w:r>
          </w:p>
        </w:tc>
      </w:tr>
      <w:tr>
        <w:trPr>
          <w:trHeight w:val="258"/>
        </w:trPr>
        <w:tc>
          <w:tcPr>
            <w:tcW w:w="7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119,338</w:t>
            </w:r>
          </w:p>
        </w:tc>
        <w:tc>
          <w:tcPr>
            <w:tcW w:w="4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250,884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7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86"/>
        </w:trPr>
        <w:tc>
          <w:tcPr>
            <w:tcW w:w="7560" w:type="dxa"/>
            <w:vAlign w:val="bottom"/>
          </w:tcPr>
          <w:p>
            <w:pPr>
              <w:ind w:left="140"/>
              <w:spacing w:after="0"/>
              <w:rPr>
                <w:sz w:val="20"/>
                <w:szCs w:val="20"/>
                <w:color w:val="auto"/>
              </w:rPr>
            </w:pPr>
            <w:r>
              <w:rPr>
                <w:rFonts w:ascii="Arial" w:cs="Arial" w:eastAsia="Arial" w:hAnsi="Arial"/>
                <w:sz w:val="16"/>
                <w:szCs w:val="16"/>
                <w:color w:val="auto"/>
              </w:rPr>
              <w:t>Change in unrealized gain (losses) on investments</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42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(16,342)</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7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2"/>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756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16,671</w:t>
            </w:r>
          </w:p>
        </w:tc>
        <w:tc>
          <w:tcPr>
            <w:tcW w:w="42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2,399</w:t>
            </w:r>
          </w:p>
        </w:tc>
      </w:tr>
      <w:tr>
        <w:trPr>
          <w:trHeight w:val="20"/>
        </w:trPr>
        <w:tc>
          <w:tcPr>
            <w:tcW w:w="7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259715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80"/>
          </w:cols>
          <w:pgMar w:left="340" w:top="705" w:right="779" w:bottom="1440" w:gutter="0" w:footer="0" w:header="0"/>
        </w:sectPr>
      </w:pPr>
    </w:p>
    <w:bookmarkStart w:id="8" w:name="page9"/>
    <w:bookmarkEnd w:id="8"/>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70002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70002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 a digitally-driven nationwide credit card platform providing secured, partially secured, and unsecured credit solutions.</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June 30, 2023, Church Street Capital had loans totaling $8.3 million with a collectively assessed allowance for credit losses (“ACL”) of $150 thousand. Refer to Note 5 - Portfolio Loans Receivable to the Unaudited Consolidated Financial Statements for further discussion of the consolidated ACL.</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The results of operations for the three and six months ended June 30, 2023 are not necessarily indicative of the results that may be expected for the full year. These unaudited interim consolidated financial statements should be read in conjunction with the Company’s audited financial statements and the notes thereto as of December 31, 2022, included in the Company’s Annual Report on Form 10-K for the fiscal year ended December 31, 2022.</w:t>
      </w:r>
    </w:p>
    <w:p>
      <w:pPr>
        <w:spacing w:after="0" w:line="20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reports its activities as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value of certain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9" w:name="page10"/>
    <w:bookmarkEnd w:id="9"/>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liabilities that are not readily available from other sources. Estimates are evaluated on an ongoing basis. Actual results may materially differ from these estimates under different assumptions or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w:t>
      </w:r>
    </w:p>
    <w:p>
      <w:pPr>
        <w:spacing w:after="0" w:line="1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If either of the above criteria is not met, the Company evaluates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are compared to the amortized cost basis of the security and any excess is recorded as an ACL, limited by the amount that the fair value is less than the amortized cost basis. Any amount of unrealized loss that has not been recorded through an ACL is recognized in other comprehensive income.</w:t>
      </w:r>
    </w:p>
    <w:p>
      <w:pPr>
        <w:spacing w:after="0" w:line="1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in the ACL are recorded as provision for (or reversal of) credit loss expense. Losses are charged against the ACL when management believes an AFS security is confirmed to be uncollectible or when either of the criteria regarding intent or requirement to sell is met. At June 30, 2023, there was no ACL related to the AFS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Interest on loans held for sale is credited to income based on the principal amounts outstanding.</w:t>
      </w:r>
    </w:p>
    <w:p>
      <w:pPr>
        <w:spacing w:after="0" w:line="194"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loan sales are determined using the specific-identification method and are recognized through mortgage banking activity in the Consolidated Statements of Income.</w:t>
      </w:r>
    </w:p>
    <w:p>
      <w:pPr>
        <w:spacing w:after="0" w:line="1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Company elects to measure loans held for sale at fair value to better align reported results with the underlying economic changes in value of the loans on the Company’s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Small Business Administration Paycheck Protection Program</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global COVID-19 pandemic, pursuant to the CARES Act and the Consolidated Appropriations Act, 2021, the United States Small Business Administration Payroll Protection Program (“SBA-PPP”) provided forgivable loans to small businesses to enable them to maintain payroll, hire back employees who had been laid off, and cover overhead. SBA-PPP loans have an interest rate of 1%, have two or five year terms, and carry a 100% guarantee of the SBA. The program ended on May 31, 2021. SBA-PPP loans are eligible to be forgiven by the SBA.</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The remaining net deferred income is recognized upon forgiveness of the loan.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loans and the allowance for credit losses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ACL. Interest is accrued based on the loan principal balances and stated interest rates. Origination fees and costs are recognized as an adjustment to the related loan yield using approximate interest methods. For credit card loans, loan origination fees and direct loan origination costs are amortized on a straight-line basis over a 12-month period.</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The Company discontinues the accrual of interest at the earlier of the date any portion of the principal and/or interest is 90 days past due, or at such time as we determine that it is probable that not all principal and interest payments will be collected, and that collateral is insufficient to discharge the debt in full. When the interest accrual is discontinued, all unpaid accrued interest is reversed from income. Generally, interest payments on nonaccrual loans are recorded as a reduction of the principal balance. Interest income is subsequently recognized only to the extent cash payments are received in excess of principal due.</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w:t>
      </w:r>
    </w:p>
    <w:p>
      <w:pPr>
        <w:spacing w:after="0" w:line="1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January 1, 2023, we adopted ASU 2016-13 “Financial Instruments – Credit Losses (Topic 326): Measurement of Credit Losses on Financial Instruments” (“ASU 2016-13”), which replaces the incurred loss methodology for determining our provision for credit losses and ACL with an expected loss methodology that is referred to as the Current Expected Credit Loss model (“CECL”). The measurement of expected credit losses under the CECL methodology is applicable to financial assets measured at amortized cost, including loans receivable and held-to-maturity (“HTM”) debt securities. It also applies to off-balance sheet credit exposures not accounted for as insurance (loan commitments, standby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credit, financial guarantees, and other similar instruments) and net investments in leases recognized by a lessor in accordance with ASU 2016-02 “Leases (Topic 842)”.</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ASU 2016-13 made changes to the accounting for AFS debt securities. One such change is to require credit-related impairments to be recognized as an ACL rather than as a write-down of the security’s amortized cost basis when the Company does not intend to sell or believes that the Company will be required to sell the securities prior to recovery of the security’s amortized cost basis. The Company adopted ASU 2016-13 using the modified retrospective method. Results for reporting periods beginning after January 1, 2023 are presented under ASU 2016-13 while prior period amounts continue to be reported in accordance with previously applicable GAAP. The Company does not own HTM debt securities. There was no ACL on available for sale securities at June 30, 2023.</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illustrates the impact of the adoption of ASC 326, or the CECL standard. The adoption of the standard required an $804 thousand increase in the ACL and a $775 thousand reduction to the reserve for unfunded commitments (“RUC”). The improved precision of the calculation of the historical utilization of unfunded commitments gave rise to the reduction. The net impact of the adoption of the CECL standard to retained earnings was $29 thousand.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January 1, 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3"/>
                <w:szCs w:val="13"/>
                <w:color w:val="auto"/>
              </w:rPr>
            </w:pPr>
          </w:p>
        </w:tc>
        <w:tc>
          <w:tcPr>
            <w:tcW w:w="160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Pre-adoption of the</w:t>
            </w:r>
          </w:p>
        </w:tc>
        <w:tc>
          <w:tcPr>
            <w:tcW w:w="100" w:type="dxa"/>
            <w:vAlign w:val="bottom"/>
          </w:tcPr>
          <w:p>
            <w:pPr>
              <w:spacing w:after="0"/>
              <w:rPr>
                <w:sz w:val="13"/>
                <w:szCs w:val="13"/>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As Reported Under</w:t>
            </w:r>
          </w:p>
        </w:tc>
        <w:tc>
          <w:tcPr>
            <w:tcW w:w="120" w:type="dxa"/>
            <w:vAlign w:val="bottom"/>
          </w:tcPr>
          <w:p>
            <w:pPr>
              <w:spacing w:after="0"/>
              <w:rPr>
                <w:sz w:val="13"/>
                <w:szCs w:val="13"/>
                <w:color w:val="auto"/>
              </w:rPr>
            </w:pPr>
          </w:p>
        </w:tc>
        <w:tc>
          <w:tcPr>
            <w:tcW w:w="158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9"/>
              </w:rPr>
              <w:t>Impact of adoption</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Arial" w:cs="Arial" w:eastAsia="Arial" w:hAnsi="Arial"/>
                <w:sz w:val="16"/>
                <w:szCs w:val="16"/>
                <w:b w:val="1"/>
                <w:bCs w:val="1"/>
                <w:color w:val="auto"/>
                <w:w w:val="98"/>
              </w:rPr>
              <w:t>of the CECL</w:t>
            </w:r>
          </w:p>
        </w:tc>
        <w:tc>
          <w:tcPr>
            <w:tcW w:w="0" w:type="dxa"/>
            <w:vAlign w:val="bottom"/>
          </w:tcPr>
          <w:p>
            <w:pPr>
              <w:spacing w:after="0"/>
              <w:rPr>
                <w:sz w:val="1"/>
                <w:szCs w:val="1"/>
                <w:color w:val="auto"/>
              </w:rPr>
            </w:pPr>
          </w:p>
        </w:tc>
      </w:tr>
      <w:tr>
        <w:trPr>
          <w:trHeight w:val="22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CECL standard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8"/>
              </w:rPr>
              <w:t>ASC 326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7"/>
              </w:rPr>
              <w:t>standard</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484,735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484,735</w:t>
            </w:r>
          </w:p>
        </w:tc>
        <w:tc>
          <w:tcPr>
            <w:tcW w:w="3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664,551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664,551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Construction</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238,099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238,099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6"/>
                <w:szCs w:val="16"/>
                <w:color w:val="auto"/>
              </w:rPr>
              <w:t>Commercial and Industrial</w:t>
            </w: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220,221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220,221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Credit card, net of reserve</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128,434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128,434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consumer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loans receivable, gross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1,737,219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1,737,219</w:t>
            </w:r>
          </w:p>
        </w:tc>
        <w:tc>
          <w:tcPr>
            <w:tcW w:w="3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Deferred origination fees,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Arial" w:cs="Arial" w:eastAsia="Arial" w:hAnsi="Arial"/>
                <w:sz w:val="16"/>
                <w:szCs w:val="16"/>
                <w:color w:val="auto"/>
              </w:rPr>
              <w:t>Portfolio loans receivable, net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1,702,207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1,701,403</w:t>
            </w:r>
          </w:p>
        </w:tc>
        <w:tc>
          <w:tcPr>
            <w:tcW w:w="34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tcPr>
          <w:p>
            <w:pPr>
              <w:ind w:left="96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32"/>
        </w:trPr>
        <w:tc>
          <w:tcPr>
            <w:tcW w:w="6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Reserve for unfunded commitments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907</w:t>
            </w:r>
          </w:p>
        </w:tc>
        <w:tc>
          <w:tcPr>
            <w:tcW w:w="3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maintain an ACL that represents management’s estimate of the expected credit losses and risks inherent in our loan portfolio. The amount of the ACL should not be interpreted as an indication that charge-offs in future periods will necessarily occur in those amounts, or at all. The allowance immediately recognizes lifetime expected credit losses when a financial asset is originated or purchased. The ACL is a valuation account that is deducted from the amortized cost basis of loans to present the net amount expected to be collected on the loans. Loans, or portions thereof, are charged-off against the allowance when they are deemed uncollectible. Factors for charge-off that may be considered include: repayments deemed to be extended out beyond reasonable time frames, customer bankruptcy and lack of assets, and/or collateral deficiencies. Expected recoveries do not exceed the aggregate of amounts previously charged-off and expected to be charged-off.</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determining the ACL, we estimate losses collectively based on quantitative analysis of historical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5580"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credit losses adjusted for current conditions and reasonable and supportable forecasts of collectability of future cash flows over the remaining term of each financial instrument. The Company has elected to utilize a discounted cash flow methodology for all segments, except for the other consumer portfolio segment, which applies a simplified, remaining life approach. See further detail regarding our forecasting methodology in the “Discounted Cash Flow Method” section below.</w:t>
      </w:r>
    </w:p>
    <w:p>
      <w:pPr>
        <w:spacing w:after="0" w:line="19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Quarterly, the Company utilizes a Qualitative Scorecard to consider the need to qualitatively adjust expected credit loss estimates for information not already captured in the quantitative loss estimation process, which may impact projected expected credit losses. The Qualitative Scorecard evaluates certain risk environments such as economic conditions, changes in the nature and volume of portfolios, changes in experience, depth, and ability of lending management, changes in volume and severity of past due loans and similar conditions, and changes in the value of underlying collateral. The scorecard results help the Company to analyze directional consistency to risk conditions and circumstances that should be considered for each loan segment and to refine its estimates of expected credit losses. As of June 30, 2023, there have been no significant changes applied through the Qualitative Scorecard subsequent to implementation on January 1, 2023.</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Purchased Credit Deterioration</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adoption of ASU 2016-13, loans which were identified as Purchase Credit Impaired under the incurred loss model are identified as Purchased Credit Deteriorated (“PCD”) loans at January 1, 2023 without reassessment. In future acquisitions, the Company may purchase loans, some of which have experienced more that insignificant credit deterioration since origination. In those cases, the Company will consider certain criteria including days past due, accrual status, risk rating, credit mark, and other relevant factors in assessing whether purchased loans are PCD. PCD loans are recorded at the amount paid and the Company will determine the initial ACL required for PCD assets with no impact to earnings. The loan’s purchase price and ACL is then the initial amortized cost basis for PCD loans.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Discounted Cash Flow Method</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uses the discounted cash flow (“DCF”) method to estimate expected credit losses for each portfolio loan segment, with the exception of other consumer loans. For each of these loan segments, the Company generates cash flow projections at the instrument level. Payment expectations are adjusted for estimated prepayment speed and for probability and severity of a loss. The expected credit losses derived from the DCF are estimated over the contractual term of the loans, adjusted for expected prepayments when appropriate. The modeling of expected prepayment speeds is based on historical internal data. The contractual term excludes expected extensions, renewals and modifications.</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uses regression analysis of historical internal and peer data to determine suitable portfolio segment level loss drivers to utilize when modeling lifetime probability of default and loss. Probability of default primarily leverages a bottom-up historical analysis over the rates produced by the forecast model, adjusted for economic considerations and tested annually for reasonableness.</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For the credit card portfolio, a major consideration in the determination of the ACL is our historical loss experience. The Company calculates the credit card ACL collectively, applying segmentation based on collateral positions: secured, partially secured, and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558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all DCF models, the Company has elected to use a four quarter forecast period across all portfolio segments. After the forecasted period, the models will revert to a long run average of each economic factor over four quarters. The Company leverages economic projections from reputable and independent third parties to inform its loss driver forecast over the forecast period.</w:t>
      </w:r>
    </w:p>
    <w:p>
      <w:pPr>
        <w:spacing w:after="0" w:line="1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combination of adjustments for credit expectations (default and loss) and timing expectations (prepayment, curtailment, and time to recovery) produces an expected cash flow stream at the instrument level. An effective interest rate is calculated by the Company, adjusted for any net deferred fees or costs, premium, or discount existing at the origination or acquisition, to produce an instrument-level net present value of expected cash flows. The ACL reflects the difference between the amortized cost basis and the present value of the expected cash flows.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Individual Evaluation</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evaluate individual instruments for expected credit losses when those instruments do not share similar risk characteristics with instruments evaluated on a collective basis. Instruments may be evaluated whether or not there is an expectation of collectability in place. Instruments evaluated individually are not included in the Company’s collective analysis. Collateral dependent or secured loans with respect to which the Company expects repayment to be provided substantially through the operation or sale of the collateral utilize a collateral-based methodology in which ACL is measured based on the difference between the net realizable value of the collateral and the amortized cost basis of the asset as of the measurement date. If the collateral valuation is equal to or greater than amortized cost, no reserve is applied. If a loan is not collateral dependent, the loan will be analyzed based on a forecast of future cash flows.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Losses on Off-Balance Sheet Credit Exposures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financial instruments include off-balance sheet credit instruments such as unfunded commitments to make loans, commercial letters of credit issued, and commitments to fund other investments. The Company’s maximum exposure to credit loss in the event of nonperformance by the other party to the financial instrument for off-balance sheet loan commitments is represented by the contractual amount of the credit commitment. Loan commitments and lines of credit are generally made on the same terms, including with regard to collateral, as outstanding loans.</w:t>
      </w:r>
    </w:p>
    <w:p>
      <w:pPr>
        <w:spacing w:after="0" w:line="19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maintains an RUC on off-balance sheet credit exposures through a provision reflected in other liabilities. Increases or decreases in the reserve are charged to or released from the provision for credit losses for unfunded commitments in the consolidated statements of income. The provision (credit) for credit losses on off-balance sheet exposures prior to January 1, 2023 was included in other noninterest expense in the consolidated statements of income. The RUC on off-balance credit exposures is estimated by loan segment at each balance sheet date under the current expected credit loss model based on the segment loss factor and the estimated utilization rate of the unfunded commitments. The Company has analyzed its historic funding behavior at the segment level to determine an expected utilization rate.</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above methodology for determining an appropriate ACL is based on a comprehensive analysis of the loan portfolio in accordance ASC</w:t>
      </w:r>
    </w:p>
    <w:p>
      <w:pPr>
        <w:spacing w:after="0" w:line="28" w:lineRule="exact"/>
        <w:rPr>
          <w:sz w:val="20"/>
          <w:szCs w:val="20"/>
          <w:color w:val="auto"/>
        </w:rPr>
      </w:pPr>
    </w:p>
    <w:p>
      <w:pPr>
        <w:jc w:val="both"/>
        <w:ind w:firstLine="6"/>
        <w:spacing w:after="0" w:line="247"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analysis considers all significant factors that affect the expected collectability of the portfolio and supports the expected credit losses estimated by this process. It is important to recognize that the related process, methodology, and underlying assumptions require a substantial degree of judgment. Additional disclosure on the ACL, and qualitative factors can be found in Part II, Item 1A - Risk Factors and Note 5 - Portfolio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Losses on SBA-PPP loans and interest receivable</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ACL for SBA-PPP loans was separately evaluated given the explicit government guarantee. The Company has incorporated historical experience with similar SBA guarantees and underwriting adjusted for reasonable and supportable forecasts and concluded the expected credit loss is zero and, therefore, no allowance has been assigned to these loans.</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Company does not measure an ACL on accrued interest receivable balances because these balances are written off as a reduction to interest income when loans are placed on nonaccrual status.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Loan modifications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Effective January 1, 2023, the Company adopted ASU 2022-02 - Financial Instruments - Credit Losses (Topic 326): Troubled Debt Restructurings and Vintage Disclosures. From time to time, the Company may elect to modify the contractual terms of loans to a borrower experiencing financial difficulties as a way to mitigate loss, to proactively work with borrowers in financial difficulty, or to comply with regulations regarding the treatment of certain bankruptcy filing and discharge situations. These modifications may include reductions in the interest rate, payment extensions, forgiveness of principal, forbearance or other actions. Under ASU 2022-02, modifications to a loan for a borrower experiencing financial difficulty that have occurred in the current reporting period, are disclosed along with the impact of the modifications. During the three and six months ended June 30, 2023, the Company did not have any such modifications.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Premises and equipment are stated at cost less accumulated depreciation and amortization. Depreciation and amortization are computed using the straight-line method over the estimated useful life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 As of June 30, 2023, there were no derivative instruments held which would require recognition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17" w:lineRule="exact"/>
        <w:rPr>
          <w:sz w:val="20"/>
          <w:szCs w:val="20"/>
          <w:color w:val="auto"/>
        </w:rPr>
      </w:pPr>
    </w:p>
    <w:p>
      <w:pPr>
        <w:jc w:val="both"/>
        <w:ind w:right="40" w:firstLine="318"/>
        <w:spacing w:after="0" w:line="24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193"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Note 8 -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Bank-owned life insurance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$37.0 million of bank-owned life insurance at June 30, 2023 and $36.5 million at December 31, 2022.</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recognized income on bank-owned life insurance, which is included in other noninterest income, of $260 thousand for the three months ended June 30, 2023 and $254 thousand for the three months ended June 30, 2022, and recognized $517 thousand for the six months ended June 30, 2023 and $505 thousand for the six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June 30, 2023, there were 291 thousand stock options excluded from the calculation as their effect would have been anti-dilutive, whereas at June 30, 2022 there were 141 thousand such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loss</w:t>
      </w:r>
    </w:p>
    <w:p>
      <w:pPr>
        <w:spacing w:after="0" w:line="217"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The Company reports as comprehensive loss all changes in stockholders' equity during the year from non-stockholder sources. Other comprehensive loss refers to all components (income, expenses, gains, and losses) of comprehensive loss that are excluded from net income.</w:t>
      </w:r>
    </w:p>
    <w:p>
      <w:pPr>
        <w:spacing w:after="0" w:line="15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only component of other comprehensive loss is unrealized losses on investment securities available for sale, net of income taxes. Information concerning the Company's accumulated other comprehensive loss as of June 30, 2023 and December 31, 2022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December 31, 2022</w:t>
            </w:r>
          </w:p>
        </w:tc>
      </w:tr>
      <w:tr>
        <w:trPr>
          <w:trHeight w:val="205"/>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losses on securities available for sale</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(22,416)</w:t>
            </w: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benefit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5,665</w:t>
            </w:r>
          </w:p>
        </w:tc>
      </w:tr>
      <w:tr>
        <w:trPr>
          <w:trHeight w:val="228"/>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loss</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March 2020, the FASB released ASU 2020-04 - Reference Rate Reform, Topic 848, which provides temporary guidance to ease the potential accounting burden in accounting for, or recognizing the effects of,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 2020 and an extended sunset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443865</wp:posOffset>
            </wp:positionV>
            <wp:extent cx="65455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date of December 31, 2024 which was extended by ASU 2022-06 issued by FASB in December 2022. The Company is currently evaluating products and preparing to offer new rates. The adoption of this guidance is not expected to have a material impact on the Company’s financial statements.</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amortized cost and estimated fair value of investment securities at June 30, 2023 and December 31, 2022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5580"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6350</wp:posOffset>
            </wp:positionV>
            <wp:extent cx="65455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46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369"/>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369"/>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349"/>
              <w:spacing w:after="0"/>
              <w:rPr>
                <w:sz w:val="20"/>
                <w:szCs w:val="20"/>
                <w:color w:val="auto"/>
              </w:rPr>
            </w:pPr>
            <w:r>
              <w:rPr>
                <w:rFonts w:ascii="Arial" w:cs="Arial" w:eastAsia="Arial" w:hAnsi="Arial"/>
                <w:sz w:val="14"/>
                <w:szCs w:val="14"/>
                <w:b w:val="1"/>
                <w:bCs w:val="1"/>
                <w:color w:val="auto"/>
              </w:rPr>
              <w:t>Fair</w:t>
            </w: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Value</w:t>
            </w:r>
          </w:p>
        </w:tc>
      </w:tr>
      <w:tr>
        <w:trPr>
          <w:trHeight w:val="159"/>
        </w:trPr>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b w:val="1"/>
                <w:bCs w:val="1"/>
                <w:color w:val="auto"/>
                <w:w w:val="98"/>
              </w:rPr>
              <w:t>June 30, 2023</w:t>
            </w:r>
          </w:p>
        </w:tc>
        <w:tc>
          <w:tcPr>
            <w:tcW w:w="370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9"/>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171,563</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(15,417)</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156,1</w:t>
            </w:r>
          </w:p>
        </w:tc>
      </w:tr>
      <w:tr>
        <w:trPr>
          <w:trHeight w:val="198"/>
        </w:trPr>
        <w:tc>
          <w:tcPr>
            <w:tcW w:w="20" w:type="dxa"/>
            <w:vAlign w:val="bottom"/>
          </w:tcPr>
          <w:p>
            <w:pPr>
              <w:spacing w:after="0"/>
              <w:rPr>
                <w:sz w:val="17"/>
                <w:szCs w:val="17"/>
                <w:color w:val="auto"/>
              </w:rPr>
            </w:pPr>
          </w:p>
        </w:tc>
        <w:tc>
          <w:tcPr>
            <w:tcW w:w="462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b w:val="1"/>
                <w:bCs w:val="1"/>
                <w:color w:val="auto"/>
              </w:rPr>
              <w:t>10,809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(2,459)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186"/>
        </w:trPr>
        <w:tc>
          <w:tcPr>
            <w:tcW w:w="20" w:type="dxa"/>
            <w:vAlign w:val="bottom"/>
            <w:shd w:val="clear" w:color="auto" w:fill="CCEEFF"/>
          </w:tcPr>
          <w:p>
            <w:pPr>
              <w:spacing w:after="0"/>
              <w:rPr>
                <w:sz w:val="16"/>
                <w:szCs w:val="16"/>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r>
      <w:tr>
        <w:trPr>
          <w:trHeight w:val="198"/>
        </w:trPr>
        <w:tc>
          <w:tcPr>
            <w:tcW w:w="20" w:type="dxa"/>
            <w:vAlign w:val="bottom"/>
          </w:tcPr>
          <w:p>
            <w:pPr>
              <w:spacing w:after="0"/>
              <w:rPr>
                <w:sz w:val="17"/>
                <w:szCs w:val="17"/>
                <w:color w:val="auto"/>
              </w:rPr>
            </w:pPr>
          </w:p>
        </w:tc>
        <w:tc>
          <w:tcPr>
            <w:tcW w:w="462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b w:val="1"/>
                <w:bCs w:val="1"/>
                <w:color w:val="auto"/>
              </w:rPr>
              <w:t>7,489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199"/>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35,082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r>
      <w:tr>
        <w:trPr>
          <w:trHeight w:val="179"/>
        </w:trPr>
        <w:tc>
          <w:tcPr>
            <w:tcW w:w="20" w:type="dxa"/>
            <w:vAlign w:val="bottom"/>
          </w:tcPr>
          <w:p>
            <w:pPr>
              <w:spacing w:after="0"/>
              <w:rPr>
                <w:sz w:val="15"/>
                <w:szCs w:val="15"/>
                <w:color w:val="auto"/>
              </w:rPr>
            </w:pPr>
          </w:p>
        </w:tc>
        <w:tc>
          <w:tcPr>
            <w:tcW w:w="462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229,943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(21,479)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2022</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215,486</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(16,037)</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r>
      <w:tr>
        <w:trPr>
          <w:trHeight w:val="186"/>
        </w:trPr>
        <w:tc>
          <w:tcPr>
            <w:tcW w:w="20" w:type="dxa"/>
            <w:vAlign w:val="bottom"/>
          </w:tcPr>
          <w:p>
            <w:pPr>
              <w:spacing w:after="0"/>
              <w:rPr>
                <w:sz w:val="16"/>
                <w:szCs w:val="16"/>
                <w:color w:val="auto"/>
              </w:rPr>
            </w:pPr>
          </w:p>
        </w:tc>
        <w:tc>
          <w:tcPr>
            <w:tcW w:w="462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10,815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ind w:left="1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99"/>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3"/>
        </w:trPr>
        <w:tc>
          <w:tcPr>
            <w:tcW w:w="20" w:type="dxa"/>
            <w:vAlign w:val="bottom"/>
          </w:tcPr>
          <w:p>
            <w:pPr>
              <w:spacing w:after="0"/>
              <w:rPr>
                <w:sz w:val="16"/>
                <w:szCs w:val="16"/>
                <w:color w:val="auto"/>
              </w:rPr>
            </w:pPr>
          </w:p>
        </w:tc>
        <w:tc>
          <w:tcPr>
            <w:tcW w:w="462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7,970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ind w:left="1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35,626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192"/>
        </w:trPr>
        <w:tc>
          <w:tcPr>
            <w:tcW w:w="20" w:type="dxa"/>
            <w:vAlign w:val="bottom"/>
          </w:tcPr>
          <w:p>
            <w:pPr>
              <w:spacing w:after="0"/>
              <w:rPr>
                <w:sz w:val="16"/>
                <w:szCs w:val="16"/>
                <w:color w:val="auto"/>
              </w:rPr>
            </w:pPr>
          </w:p>
        </w:tc>
        <w:tc>
          <w:tcPr>
            <w:tcW w:w="462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274,897</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tcPr>
          <w:p>
            <w:pPr>
              <w:ind w:left="11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(22,416)</w:t>
            </w:r>
          </w:p>
        </w:tc>
        <w:tc>
          <w:tcPr>
            <w:tcW w:w="44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252,4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There were no securities sold during the six months ended June 30, 2023 or the six months ended June 30, 2022. There was no ACL on available for sale securities at June 30, 2023.</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related to unrealized losses in the investment portfolio as of June 30, 2023 and December 31, 2022 is summarized as follows: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09"/>
              <w:spacing w:after="0" w:line="13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69"/>
              <w:spacing w:after="0" w:line="13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69"/>
              <w:spacing w:after="0" w:line="139"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9"/>
              <w:spacing w:after="0" w:line="13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840" w:type="dxa"/>
            <w:vAlign w:val="bottom"/>
          </w:tcPr>
          <w:p>
            <w:pPr>
              <w:jc w:val="right"/>
              <w:ind w:right="26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0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6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8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r>
      <w:tr>
        <w:trPr>
          <w:trHeight w:val="140"/>
        </w:trPr>
        <w:tc>
          <w:tcPr>
            <w:tcW w:w="20" w:type="dxa"/>
            <w:vAlign w:val="bottom"/>
          </w:tcPr>
          <w:p>
            <w:pPr>
              <w:spacing w:after="0"/>
              <w:rPr>
                <w:sz w:val="12"/>
                <w:szCs w:val="12"/>
                <w:color w:val="auto"/>
              </w:rPr>
            </w:pPr>
          </w:p>
        </w:tc>
        <w:tc>
          <w:tcPr>
            <w:tcW w:w="920" w:type="dxa"/>
            <w:vAlign w:val="bottom"/>
            <w:tcBorders>
              <w:bottom w:val="single" w:sz="8" w:color="auto"/>
            </w:tcBorders>
          </w:tcPr>
          <w:p>
            <w:pPr>
              <w:spacing w:after="0" w:line="140" w:lineRule="exact"/>
              <w:rPr>
                <w:sz w:val="20"/>
                <w:szCs w:val="20"/>
                <w:color w:val="auto"/>
              </w:rPr>
            </w:pPr>
            <w:r>
              <w:rPr>
                <w:rFonts w:ascii="Arial" w:cs="Arial" w:eastAsia="Arial" w:hAnsi="Arial"/>
                <w:sz w:val="14"/>
                <w:szCs w:val="14"/>
                <w:b w:val="1"/>
                <w:bCs w:val="1"/>
                <w:color w:val="auto"/>
                <w:w w:val="98"/>
              </w:rPr>
              <w:t>June 30, 2023</w:t>
            </w:r>
          </w:p>
        </w:tc>
        <w:tc>
          <w:tcPr>
            <w:tcW w:w="2800" w:type="dxa"/>
            <w:vAlign w:val="bottom"/>
            <w:gridSpan w:val="2"/>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Treasuries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156,146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156,146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(15,41</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Municipal</w:t>
            </w:r>
          </w:p>
        </w:tc>
        <w:tc>
          <w:tcPr>
            <w:tcW w:w="2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1,032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7,318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8,350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20" w:type="dxa"/>
            <w:vAlign w:val="bottom"/>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7,297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7,297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6"/>
                <w:szCs w:val="16"/>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32,316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32,316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372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1,032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207,432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(21,361)</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208,464</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(21,47</w:t>
            </w:r>
          </w:p>
        </w:tc>
        <w:tc>
          <w:tcPr>
            <w:tcW w:w="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2022</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Treasuries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82,102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199,449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Municipal</w:t>
            </w:r>
          </w:p>
        </w:tc>
        <w:tc>
          <w:tcPr>
            <w:tcW w:w="2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8,012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(2,80</w:t>
            </w:r>
          </w:p>
        </w:tc>
      </w:tr>
      <w:tr>
        <w:trPr>
          <w:trHeight w:val="191"/>
        </w:trPr>
        <w:tc>
          <w:tcPr>
            <w:tcW w:w="20" w:type="dxa"/>
            <w:vAlign w:val="bottom"/>
            <w:shd w:val="clear" w:color="auto" w:fill="CCEEFF"/>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7,711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r>
      <w:tr>
        <w:trPr>
          <w:trHeight w:val="204"/>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22,067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372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111,777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(3,724)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140,704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(18,692)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252,481</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(22,41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At June 30, 2023, there were twenty-four treasury securities, eight municipal securities, five corporate securities, nine mortgage-backed securities, and three asset-backed securities that had been in an unrealized loss position for greater than twelve months. At December 31, 2022 there were sixteen treasury securities, seven municipal securities, five corporate securities, one asset-backed security, and three mortgage-backed securities that had been in an unrealized loss position for greater than twelve months. Management believes that all unrealized losses at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5" w:right="239" w:bottom="1440" w:gutter="0" w:footer="0" w:header="0"/>
        </w:sectPr>
      </w:pPr>
    </w:p>
    <w:bookmarkStart w:id="19" w:name="page20"/>
    <w:bookmarkEnd w:id="19"/>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6350</wp:posOffset>
            </wp:positionV>
            <wp:extent cx="654558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5580" cy="16510"/>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resulted from temporary changes in interest rates and current market conditions and not as a result of credit deterioration. Management has the ability and the intent to hold these investment securities until maturity or until they recover in value. Pledged securities totaled $150.0 million at June 30, 2023 and $0 at December 31, 2022.</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Contractual maturities of U.S. government and government-sponsored agencies, asset-backed, municipal, corporate and mortgage-backed securities at June 30, 2023 and December 31, 2022 are shown below. Actual maturities may differ from contractual maturities because issuers may have the right to call or prepay obligations with or without call premiums or prepayment penalties.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December 31, 2022</w:t>
            </w:r>
          </w:p>
        </w:tc>
      </w:tr>
      <w:tr>
        <w:trPr>
          <w:trHeight w:val="140"/>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69"/>
              <w:spacing w:after="0" w:line="13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ind w:right="38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89"/>
              <w:spacing w:after="0" w:line="13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09"/>
              <w:spacing w:after="0" w:line="139" w:lineRule="exact"/>
              <w:rPr>
                <w:sz w:val="20"/>
                <w:szCs w:val="20"/>
                <w:color w:val="auto"/>
              </w:rPr>
            </w:pPr>
            <w:r>
              <w:rPr>
                <w:rFonts w:ascii="Arial" w:cs="Arial" w:eastAsia="Arial" w:hAnsi="Arial"/>
                <w:sz w:val="14"/>
                <w:szCs w:val="14"/>
                <w:b w:val="1"/>
                <w:bCs w:val="1"/>
                <w:color w:val="auto"/>
              </w:rPr>
              <w:t>Fair</w:t>
            </w:r>
          </w:p>
        </w:tc>
      </w:tr>
      <w:tr>
        <w:trPr>
          <w:trHeight w:val="185"/>
        </w:trPr>
        <w:tc>
          <w:tcPr>
            <w:tcW w:w="58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r>
      <w:tr>
        <w:trPr>
          <w:trHeight w:val="192"/>
        </w:trPr>
        <w:tc>
          <w:tcPr>
            <w:tcW w:w="5800" w:type="dxa"/>
            <w:vAlign w:val="bottom"/>
          </w:tcPr>
          <w:p>
            <w:pPr>
              <w:ind w:left="20"/>
              <w:spacing w:after="0"/>
              <w:rPr>
                <w:sz w:val="20"/>
                <w:szCs w:val="20"/>
                <w:color w:val="auto"/>
              </w:rPr>
            </w:pPr>
            <w:r>
              <w:rPr>
                <w:rFonts w:ascii="Arial" w:cs="Arial" w:eastAsia="Arial" w:hAnsi="Arial"/>
                <w:sz w:val="14"/>
                <w:szCs w:val="14"/>
                <w:color w:val="auto"/>
              </w:rPr>
              <w:t>Within one year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30,030</w:t>
            </w:r>
          </w:p>
        </w:tc>
        <w:tc>
          <w:tcPr>
            <w:tcW w:w="12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29,353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53,739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53,204</w:t>
            </w:r>
          </w:p>
        </w:tc>
      </w:tr>
      <w:tr>
        <w:trPr>
          <w:trHeight w:val="186"/>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one to five years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105,657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96,118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82,538</w:t>
            </w:r>
          </w:p>
        </w:tc>
      </w:tr>
      <w:tr>
        <w:trPr>
          <w:trHeight w:val="198"/>
        </w:trPr>
        <w:tc>
          <w:tcPr>
            <w:tcW w:w="5800" w:type="dxa"/>
            <w:vAlign w:val="bottom"/>
          </w:tcPr>
          <w:p>
            <w:pPr>
              <w:ind w:left="20"/>
              <w:spacing w:after="0"/>
              <w:rPr>
                <w:sz w:val="20"/>
                <w:szCs w:val="20"/>
                <w:color w:val="auto"/>
              </w:rPr>
            </w:pPr>
            <w:r>
              <w:rPr>
                <w:rFonts w:ascii="Arial" w:cs="Arial" w:eastAsia="Arial" w:hAnsi="Arial"/>
                <w:sz w:val="14"/>
                <w:szCs w:val="14"/>
                <w:color w:val="auto"/>
              </w:rPr>
              <w:t>Over five to ten years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41,383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35,512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79,090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68,805</w:t>
            </w:r>
          </w:p>
        </w:tc>
      </w:tr>
      <w:tr>
        <w:trPr>
          <w:trHeight w:val="19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ten years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10,302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7,514</w:t>
            </w:r>
          </w:p>
        </w:tc>
      </w:tr>
      <w:tr>
        <w:trPr>
          <w:trHeight w:val="199"/>
        </w:trPr>
        <w:tc>
          <w:tcPr>
            <w:tcW w:w="5800" w:type="dxa"/>
            <w:vAlign w:val="bottom"/>
          </w:tcPr>
          <w:p>
            <w:pPr>
              <w:ind w:left="20"/>
              <w:spacing w:after="0" w:line="199" w:lineRule="exact"/>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7,489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7,711</w:t>
            </w:r>
          </w:p>
        </w:tc>
      </w:tr>
      <w:tr>
        <w:trPr>
          <w:trHeight w:val="186"/>
        </w:trPr>
        <w:tc>
          <w:tcPr>
            <w:tcW w:w="580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4"/>
                <w:szCs w:val="14"/>
                <w:color w:val="auto"/>
              </w:rPr>
              <w:t>Mortgage-backed securities</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35,082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32,316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32,709</w:t>
            </w:r>
          </w:p>
        </w:tc>
      </w:tr>
      <w:tr>
        <w:trPr>
          <w:trHeight w:val="192"/>
        </w:trPr>
        <w:tc>
          <w:tcPr>
            <w:tcW w:w="5800" w:type="dxa"/>
            <w:vAlign w:val="bottom"/>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229,943</w:t>
            </w:r>
          </w:p>
        </w:tc>
        <w:tc>
          <w:tcPr>
            <w:tcW w:w="52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208,464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274,897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252,481</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10" w:lineRule="auto"/>
        <w:tabs>
          <w:tab w:leader="none" w:pos="160"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Asset-backed and Mortgage-backed securities are due in monthly installments.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0" w:name="page21"/>
    <w:bookmarkEnd w:id="20"/>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-180340</wp:posOffset>
            </wp:positionV>
            <wp:extent cx="65455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6350</wp:posOffset>
            </wp:positionV>
            <wp:extent cx="65455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SBA-PPP gross loans receivable totaled $1.1 million at June 30, 2023, and $2.2 million at December 31, 2022, and were all rated as pass credits and were not past due, nonaccrual or otherwise impaired. Unearned net fees associated with the SBA-PPP loans amounted to $28 thousand at June 30, 2023 and $31 thousand at December 31, 2022.</w:t>
      </w:r>
    </w:p>
    <w:p>
      <w:pPr>
        <w:spacing w:after="0" w:line="1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SBA-PPP loans generated income of $7 thousand for the three months ended June 30, 2023 and $1.1 million for the three months ended June 30, 2022, of which, earned fees, primarily on loans forgiven by the SBA, represented $2 thousand and $1.0 million of the income, respectively. SBA-PPP loans generated income of $15 thousand for the six months ended June 30, 2023 and $3.2 million for the six months ended June 30, 2022, of which, earned fees, primarily on loans forgiven by the SBA, represented $2 thousand and $2.9 million of the income,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receivable are as follows: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 Categories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 2023</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4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9"/>
        </w:trPr>
        <w:tc>
          <w:tcPr>
            <w:tcW w:w="47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5"/>
                <w:szCs w:val="15"/>
                <w:color w:val="auto"/>
              </w:rPr>
            </w:pP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441"/>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44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555,133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xml:space="preserve">30 %  </w:t>
            </w: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484,735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2"/>
        </w:trPr>
        <w:tc>
          <w:tcPr>
            <w:tcW w:w="4780" w:type="dxa"/>
            <w:vAlign w:val="bottom"/>
          </w:tcPr>
          <w:p>
            <w:pPr>
              <w:ind w:left="1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674,141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664,551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258,400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238,099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233,598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220,221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Credit card, net of reserve</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122,925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128,434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1,187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1,845,384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1,737,219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Deferred origination fees, net</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rPr>
              <w:t>(8,343)</w:t>
            </w: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(8,627)</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ind w:left="140"/>
              <w:spacing w:after="0"/>
              <w:rPr>
                <w:sz w:val="20"/>
                <w:szCs w:val="20"/>
                <w:color w:val="auto"/>
              </w:rPr>
            </w:pPr>
            <w:r>
              <w:rPr>
                <w:rFonts w:ascii="Arial" w:cs="Arial" w:eastAsia="Arial" w:hAnsi="Arial"/>
                <w:sz w:val="16"/>
                <w:szCs w:val="16"/>
                <w:color w:val="auto"/>
              </w:rPr>
              <w:t>Portfolio loans receivable, net</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1,809,546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1,702,207</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(1) Credit card loans are presented net of reserve for interest and fees.</w:t>
      </w:r>
    </w:p>
    <w:p>
      <w:pPr>
        <w:spacing w:after="0" w:line="2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8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real estate and primarily collateralized by operating cash flows are also included in this category of loans. As of June 30, 2023, there were approximately $312.0 million of owner-occupied commercial real estate loans, representing approximately 16.9% of the loan portfolio. In prior reporting periods, the Company classified certain commercial real estate loans as owner-occupied that should have been classified as non owner-occupied. For instance, for the two most recent reporting periods ended December 31, 2022 and March 31, 2023, the Company disclosed owner-occupied commercial real estate loans of $387.7 million and $377.4 million, respectively. Based on the revised classification metrics, the correct amount of owner-occupied commercial real estate loans at December 31, 2022 and March 31, 2023 was $300.8 million and $300.0 million, respectively.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9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Semi-annual stress testing of the construction loan portfolio is conducted, and underlying real estate conditions are monitored as well as trends in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5"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the Company offers secured, partially secured, and unsecured credit cards on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$97.7 million and $109.4 million in secured and partially secured credit card balances were protected by savings deposits held by the Company as of June 30, 2023 and December 31, 2022, respectively. Unsecured balances were $25.3 million and $26.8 million, respectively, for the same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79"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and boat loans are offered.</w:t>
      </w:r>
    </w:p>
    <w:p>
      <w:pPr>
        <w:spacing w:after="0" w:line="167"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i w:val="1"/>
          <w:iCs w:val="1"/>
          <w:color w:val="auto"/>
        </w:rPr>
        <w:t xml:space="preserve">Purchased Credit Deterioration. </w:t>
      </w:r>
      <w:r>
        <w:rPr>
          <w:rFonts w:ascii="Arial" w:cs="Arial" w:eastAsia="Arial" w:hAnsi="Arial"/>
          <w:sz w:val="18"/>
          <w:szCs w:val="18"/>
          <w:color w:val="auto"/>
        </w:rPr>
        <w:t>There were no loans purchased with credit deterioration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173" w:lineRule="exact"/>
        <w:rPr>
          <w:sz w:val="20"/>
          <w:szCs w:val="20"/>
          <w:color w:val="auto"/>
        </w:rPr>
      </w:pPr>
    </w:p>
    <w:p>
      <w:pPr>
        <w:ind w:right="100" w:firstLine="318"/>
        <w:spacing w:after="0" w:line="265" w:lineRule="auto"/>
        <w:rPr>
          <w:sz w:val="20"/>
          <w:szCs w:val="20"/>
          <w:color w:val="auto"/>
        </w:rPr>
      </w:pPr>
      <w:r>
        <w:rPr>
          <w:rFonts w:ascii="Arial" w:cs="Arial" w:eastAsia="Arial" w:hAnsi="Arial"/>
          <w:sz w:val="18"/>
          <w:szCs w:val="18"/>
          <w:color w:val="auto"/>
        </w:rPr>
        <w:t>The following tables set forth the changes in the ACL and an allocation of the ACL by loan segment class for the three and six months ended June 30, 2023 and June 30, 2022.</w:t>
      </w:r>
    </w:p>
    <w:p>
      <w:pPr>
        <w:sectPr>
          <w:pgSz w:w="11900" w:h="16838" w:orient="portrait"/>
          <w:cols w:equalWidth="0" w:num="1">
            <w:col w:w="11340"/>
          </w:cols>
          <w:pgMar w:left="320" w:top="6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Three Months Ended June 30, 2023</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Beginning</w:t>
            </w: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Impact of</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Balance, Prior to</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(Release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6"/>
        </w:trPr>
        <w:tc>
          <w:tcPr>
            <w:tcW w:w="11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Adoption of the</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9"/>
              </w:rPr>
              <w:t>Adopting the</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Provision) for</w:t>
            </w:r>
          </w:p>
        </w:tc>
        <w:tc>
          <w:tcPr>
            <w:tcW w:w="10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Charge-Offs</w:t>
            </w:r>
          </w:p>
        </w:tc>
        <w:tc>
          <w:tcPr>
            <w:tcW w:w="120" w:type="dxa"/>
            <w:vAlign w:val="bottom"/>
          </w:tcPr>
          <w:p>
            <w:pPr>
              <w:spacing w:after="0"/>
              <w:rPr>
                <w:sz w:val="12"/>
                <w:szCs w:val="12"/>
                <w:color w:val="auto"/>
              </w:rPr>
            </w:pP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CECL Standard</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CECL Standard</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Credit Losses</w:t>
            </w: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0</wp:posOffset>
            </wp:positionV>
            <wp:extent cx="7000240" cy="118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0240" cy="11811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480" w:space="720"/>
            <w:col w:w="7140"/>
          </w:cols>
          <w:pgMar w:left="320" w:top="614" w:right="239" w:bottom="1440" w:gutter="0" w:footer="0" w:header="0"/>
          <w:type w:val="continuous"/>
        </w:sectPr>
      </w:pPr>
    </w:p>
    <w:tbl>
      <w:tblPr>
        <w:tblLayout w:type="fixed"/>
        <w:tblInd w:w="32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860" w:type="dxa"/>
            <w:vAlign w:val="bottom"/>
            <w:gridSpan w:val="2"/>
          </w:tcPr>
          <w:p>
            <w:pPr>
              <w:ind w:left="120"/>
              <w:spacing w:after="0"/>
              <w:rPr>
                <w:sz w:val="20"/>
                <w:szCs w:val="20"/>
                <w:color w:val="auto"/>
              </w:rPr>
            </w:pPr>
            <w:r>
              <w:rPr>
                <w:rFonts w:ascii="Arial" w:cs="Arial" w:eastAsia="Arial" w:hAnsi="Arial"/>
                <w:sz w:val="14"/>
                <w:szCs w:val="14"/>
                <w:color w:val="auto"/>
              </w:rPr>
              <w:t>Residential</w:t>
            </w:r>
          </w:p>
        </w:tc>
        <w:tc>
          <w:tcPr>
            <w:tcW w:w="380" w:type="dxa"/>
            <w:vAlign w:val="bottom"/>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5,408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r>
        <w:trPr>
          <w:trHeight w:val="199"/>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r>
      <w:tr>
        <w:trPr>
          <w:trHeight w:val="186"/>
        </w:trPr>
        <w:tc>
          <w:tcPr>
            <w:tcW w:w="20" w:type="dxa"/>
            <w:vAlign w:val="bottom"/>
          </w:tcPr>
          <w:p>
            <w:pPr>
              <w:spacing w:after="0"/>
              <w:rPr>
                <w:sz w:val="16"/>
                <w:szCs w:val="16"/>
                <w:color w:val="auto"/>
              </w:rPr>
            </w:pPr>
          </w:p>
        </w:tc>
        <w:tc>
          <w:tcPr>
            <w:tcW w:w="3860" w:type="dxa"/>
            <w:vAlign w:val="bottom"/>
            <w:gridSpan w:val="2"/>
          </w:tcPr>
          <w:p>
            <w:pPr>
              <w:ind w:left="120"/>
              <w:spacing w:after="0"/>
              <w:rPr>
                <w:sz w:val="20"/>
                <w:szCs w:val="20"/>
                <w:color w:val="auto"/>
              </w:rPr>
            </w:pPr>
            <w:r>
              <w:rPr>
                <w:rFonts w:ascii="Arial" w:cs="Arial" w:eastAsia="Arial" w:hAnsi="Arial"/>
                <w:sz w:val="14"/>
                <w:szCs w:val="14"/>
                <w:color w:val="auto"/>
              </w:rPr>
              <w:t>Construction</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1,753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199"/>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r>
      <w:tr>
        <w:trPr>
          <w:trHeight w:val="198"/>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Credit card</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5,151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2,139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(1,589)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3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8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380" w:type="dxa"/>
            <w:vAlign w:val="bottom"/>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26,216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2,862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(1,589)</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Six Months Ended June 30, 2023</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95"/>
        </w:trPr>
        <w:tc>
          <w:tcPr>
            <w:tcW w:w="20" w:type="dxa"/>
            <w:vAlign w:val="bottom"/>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1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tcPr>
          <w:p>
            <w:pPr>
              <w:ind w:left="120"/>
              <w:spacing w:after="0"/>
              <w:rPr>
                <w:sz w:val="20"/>
                <w:szCs w:val="20"/>
                <w:color w:val="auto"/>
              </w:rPr>
            </w:pPr>
            <w:r>
              <w:rPr>
                <w:rFonts w:ascii="Arial" w:cs="Arial" w:eastAsia="Arial" w:hAnsi="Arial"/>
                <w:sz w:val="14"/>
                <w:szCs w:val="14"/>
                <w:color w:val="auto"/>
              </w:rPr>
              <w:t>Residential</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5,481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(1,198)</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1,136</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4"/>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5"/>
        </w:trPr>
        <w:tc>
          <w:tcPr>
            <w:tcW w:w="20" w:type="dxa"/>
            <w:vAlign w:val="bottom"/>
          </w:tcPr>
          <w:p>
            <w:pPr>
              <w:spacing w:after="0"/>
              <w:rPr>
                <w:sz w:val="16"/>
                <w:szCs w:val="16"/>
                <w:color w:val="auto"/>
              </w:rPr>
            </w:pPr>
          </w:p>
        </w:tc>
        <w:tc>
          <w:tcPr>
            <w:tcW w:w="3860" w:type="dxa"/>
            <w:vAlign w:val="bottom"/>
            <w:gridSpan w:val="2"/>
          </w:tcPr>
          <w:p>
            <w:pPr>
              <w:ind w:left="120"/>
              <w:spacing w:after="0"/>
              <w:rPr>
                <w:sz w:val="20"/>
                <w:szCs w:val="20"/>
                <w:color w:val="auto"/>
              </w:rPr>
            </w:pPr>
            <w:r>
              <w:rPr>
                <w:rFonts w:ascii="Arial" w:cs="Arial" w:eastAsia="Arial" w:hAnsi="Arial"/>
                <w:sz w:val="14"/>
                <w:szCs w:val="14"/>
                <w:color w:val="auto"/>
              </w:rPr>
              <w:t>Construction</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3"/>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Credit card</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3,957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3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8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26,385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804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4,522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(4,234)</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type w:val="continuous"/>
        </w:sectPr>
      </w:pPr>
    </w:p>
    <w:bookmarkStart w:id="23" w:name="page24"/>
    <w:bookmarkEnd w:id="23"/>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9"/>
              <w:spacing w:after="0"/>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00" w:type="dxa"/>
            <w:vAlign w:val="bottom"/>
            <w:gridSpan w:val="3"/>
            <w:vMerge w:val="restart"/>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2"/>
                <w:szCs w:val="12"/>
                <w:color w:val="auto"/>
              </w:rPr>
            </w:pPr>
          </w:p>
        </w:tc>
        <w:tc>
          <w:tcPr>
            <w:tcW w:w="104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9"/>
              <w:spacing w:after="0" w:line="146" w:lineRule="exact"/>
              <w:rPr>
                <w:sz w:val="20"/>
                <w:szCs w:val="20"/>
                <w:color w:val="auto"/>
              </w:rPr>
            </w:pPr>
            <w:r>
              <w:rPr>
                <w:rFonts w:ascii="Arial" w:cs="Arial" w:eastAsia="Arial" w:hAnsi="Arial"/>
                <w:sz w:val="14"/>
                <w:szCs w:val="14"/>
                <w:b w:val="1"/>
                <w:bCs w:val="1"/>
                <w:color w:val="auto"/>
              </w:rPr>
              <w:t>(Release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Provision)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Charge-Offs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Three Months Ended June 30, 2022</w:t>
            </w:r>
          </w:p>
        </w:tc>
        <w:tc>
          <w:tcPr>
            <w:tcW w:w="180" w:type="dxa"/>
            <w:vAlign w:val="bottom"/>
          </w:tcPr>
          <w:p>
            <w:pPr>
              <w:spacing w:after="0"/>
              <w:rPr>
                <w:sz w:val="13"/>
                <w:szCs w:val="13"/>
                <w:color w:val="auto"/>
              </w:rPr>
            </w:pPr>
          </w:p>
        </w:tc>
        <w:tc>
          <w:tcPr>
            <w:tcW w:w="1040" w:type="dxa"/>
            <w:vAlign w:val="bottom"/>
          </w:tcPr>
          <w:p>
            <w:pPr>
              <w:jc w:val="right"/>
              <w:ind w:right="269"/>
              <w:spacing w:after="0" w:line="159" w:lineRule="exact"/>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auto"/>
              </w:rPr>
              <w:t>Loan Losses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0" w:type="dxa"/>
            <w:vAlign w:val="bottom"/>
            <w:gridSpan w:val="3"/>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5,832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gridSpan w:val="3"/>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4,607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3,735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25,252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2,035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Six Months Ended June 30, 2022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2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0" w:type="dxa"/>
            <w:vAlign w:val="bottom"/>
            <w:gridSpan w:val="3"/>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5,612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251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gridSpan w:val="3"/>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4,699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3,655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25,181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2,987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60" w:firstLine="318"/>
        <w:spacing w:after="0" w:line="265" w:lineRule="auto"/>
        <w:rPr>
          <w:sz w:val="20"/>
          <w:szCs w:val="20"/>
          <w:color w:val="auto"/>
        </w:rPr>
      </w:pPr>
      <w:r>
        <w:rPr>
          <w:rFonts w:ascii="Arial" w:cs="Arial" w:eastAsia="Arial" w:hAnsi="Arial"/>
          <w:sz w:val="18"/>
          <w:szCs w:val="18"/>
          <w:color w:val="auto"/>
        </w:rPr>
        <w:t>The following tables present a summary of loan balances and the related allowance for loan losses summarized by loan category for each impairment method used as of 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4"/>
          </w:tcPr>
          <w:p>
            <w:pPr>
              <w:jc w:val="center"/>
              <w:ind w:right="150"/>
              <w:spacing w:after="0"/>
              <w:rPr>
                <w:sz w:val="20"/>
                <w:szCs w:val="20"/>
                <w:color w:val="auto"/>
              </w:rPr>
            </w:pPr>
            <w:r>
              <w:rPr>
                <w:rFonts w:ascii="Arial" w:cs="Arial" w:eastAsia="Arial" w:hAnsi="Arial"/>
                <w:sz w:val="12"/>
                <w:szCs w:val="12"/>
                <w:b w:val="1"/>
                <w:bCs w:val="1"/>
                <w:color w:val="auto"/>
              </w:rPr>
              <w:t>Allowance for Loan Losses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4"/>
          </w:tcPr>
          <w:p>
            <w:pPr>
              <w:jc w:val="center"/>
              <w:ind w:right="150"/>
              <w:spacing w:after="0"/>
              <w:rPr>
                <w:sz w:val="20"/>
                <w:szCs w:val="20"/>
                <w:color w:val="auto"/>
              </w:rPr>
            </w:pPr>
            <w:r>
              <w:rPr>
                <w:rFonts w:ascii="Arial" w:cs="Arial" w:eastAsia="Arial" w:hAnsi="Arial"/>
                <w:sz w:val="12"/>
                <w:szCs w:val="12"/>
                <w:b w:val="1"/>
                <w:bCs w:val="1"/>
                <w:color w:val="auto"/>
              </w:rPr>
              <w:t>Outstanding Portfolio</w:t>
            </w:r>
          </w:p>
        </w:tc>
      </w:tr>
      <w:tr>
        <w:trPr>
          <w:trHeight w:val="119"/>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40" w:type="dxa"/>
            <w:vAlign w:val="bottom"/>
            <w:gridSpan w:val="4"/>
          </w:tcPr>
          <w:p>
            <w:pPr>
              <w:jc w:val="center"/>
              <w:ind w:right="170"/>
              <w:spacing w:after="0" w:line="120" w:lineRule="exact"/>
              <w:rPr>
                <w:sz w:val="20"/>
                <w:szCs w:val="20"/>
                <w:color w:val="auto"/>
              </w:rPr>
            </w:pPr>
            <w:r>
              <w:rPr>
                <w:rFonts w:ascii="Arial" w:cs="Arial" w:eastAsia="Arial" w:hAnsi="Arial"/>
                <w:sz w:val="12"/>
                <w:szCs w:val="12"/>
                <w:b w:val="1"/>
                <w:bCs w:val="1"/>
                <w:color w:val="auto"/>
              </w:rPr>
              <w:t>Ending Balance Evaluated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60" w:type="dxa"/>
            <w:vAlign w:val="bottom"/>
            <w:gridSpan w:val="4"/>
          </w:tcPr>
          <w:p>
            <w:pPr>
              <w:jc w:val="center"/>
              <w:ind w:right="150"/>
              <w:spacing w:after="0" w:line="120" w:lineRule="exact"/>
              <w:rPr>
                <w:sz w:val="20"/>
                <w:szCs w:val="20"/>
                <w:color w:val="auto"/>
              </w:rPr>
            </w:pPr>
            <w:r>
              <w:rPr>
                <w:rFonts w:ascii="Arial" w:cs="Arial" w:eastAsia="Arial" w:hAnsi="Arial"/>
                <w:sz w:val="12"/>
                <w:szCs w:val="12"/>
                <w:b w:val="1"/>
                <w:bCs w:val="1"/>
                <w:color w:val="auto"/>
              </w:rPr>
              <w:t>Loan Balances Evaluated</w:t>
            </w:r>
          </w:p>
        </w:tc>
      </w:tr>
      <w:tr>
        <w:trPr>
          <w:trHeight w:val="172"/>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2"/>
                <w:szCs w:val="12"/>
                <w:b w:val="1"/>
                <w:bCs w:val="1"/>
                <w:color w:val="auto"/>
              </w:rPr>
              <w:t>for Impairment: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2"/>
                <w:szCs w:val="12"/>
                <w:b w:val="1"/>
                <w:bCs w:val="1"/>
                <w:color w:val="auto"/>
              </w:rPr>
              <w:t>for Impairment:</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w w:val="99"/>
              </w:rPr>
              <w:t>December 31, 2022</w:t>
            </w:r>
          </w:p>
        </w:tc>
        <w:tc>
          <w:tcPr>
            <w:tcW w:w="3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2"/>
                <w:szCs w:val="12"/>
                <w:b w:val="1"/>
                <w:bCs w:val="1"/>
                <w:color w:val="auto"/>
              </w:rPr>
              <w:t>Individually</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2"/>
                <w:szCs w:val="12"/>
                <w:b w:val="1"/>
                <w:bCs w:val="1"/>
                <w:color w:val="auto"/>
              </w:rPr>
              <w:t>Collectively</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2"/>
                <w:szCs w:val="12"/>
                <w:b w:val="1"/>
                <w:bCs w:val="1"/>
                <w:color w:val="auto"/>
              </w:rPr>
              <w:t>Individually</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2"/>
                <w:szCs w:val="12"/>
                <w:b w:val="1"/>
                <w:bCs w:val="1"/>
                <w:color w:val="auto"/>
              </w:rPr>
              <w:t>Collectively</w:t>
            </w:r>
          </w:p>
        </w:tc>
      </w:tr>
      <w:tr>
        <w:trPr>
          <w:trHeight w:val="160"/>
        </w:trPr>
        <w:tc>
          <w:tcPr>
            <w:tcW w:w="20" w:type="dxa"/>
            <w:vAlign w:val="bottom"/>
          </w:tcPr>
          <w:p>
            <w:pPr>
              <w:spacing w:after="0"/>
              <w:rPr>
                <w:sz w:val="13"/>
                <w:szCs w:val="13"/>
                <w:color w:val="auto"/>
              </w:rPr>
            </w:pPr>
          </w:p>
        </w:tc>
        <w:tc>
          <w:tcPr>
            <w:tcW w:w="5120" w:type="dxa"/>
            <w:vAlign w:val="bottom"/>
            <w:gridSpan w:val="2"/>
          </w:tcPr>
          <w:p>
            <w:pPr>
              <w:spacing w:after="0" w:line="160" w:lineRule="exact"/>
              <w:rPr>
                <w:sz w:val="20"/>
                <w:szCs w:val="20"/>
                <w:color w:val="auto"/>
              </w:rPr>
            </w:pPr>
            <w:r>
              <w:rPr>
                <w:rFonts w:ascii="Arial" w:cs="Arial" w:eastAsia="Arial" w:hAnsi="Arial"/>
                <w:sz w:val="14"/>
                <w:szCs w:val="14"/>
                <w:color w:val="auto"/>
              </w:rPr>
              <w:t>Real estate:</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4,288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480,447</w:t>
            </w:r>
          </w:p>
        </w:tc>
      </w:tr>
      <w:tr>
        <w:trPr>
          <w:trHeight w:val="185"/>
        </w:trPr>
        <w:tc>
          <w:tcPr>
            <w:tcW w:w="20" w:type="dxa"/>
            <w:vAlign w:val="bottom"/>
          </w:tcPr>
          <w:p>
            <w:pPr>
              <w:spacing w:after="0"/>
              <w:rPr>
                <w:sz w:val="16"/>
                <w:szCs w:val="16"/>
                <w:color w:val="auto"/>
              </w:rPr>
            </w:pPr>
          </w:p>
        </w:tc>
        <w:tc>
          <w:tcPr>
            <w:tcW w:w="512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2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3"/>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662,988</w:t>
            </w:r>
          </w:p>
        </w:tc>
      </w:tr>
      <w:tr>
        <w:trPr>
          <w:trHeight w:val="199"/>
        </w:trPr>
        <w:tc>
          <w:tcPr>
            <w:tcW w:w="2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235,262</w:t>
            </w:r>
          </w:p>
        </w:tc>
      </w:tr>
      <w:tr>
        <w:trPr>
          <w:trHeight w:val="193"/>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6"/>
                <w:szCs w:val="16"/>
                <w:color w:val="auto"/>
              </w:rPr>
            </w:pPr>
          </w:p>
        </w:tc>
        <w:tc>
          <w:tcPr>
            <w:tcW w:w="1200" w:type="dxa"/>
            <w:vAlign w:val="bottom"/>
          </w:tcPr>
          <w:p>
            <w:pPr>
              <w:jc w:val="right"/>
              <w:ind w:right="13"/>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3"/>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219,516</w:t>
            </w:r>
          </w:p>
        </w:tc>
      </w:tr>
      <w:tr>
        <w:trPr>
          <w:trHeight w:val="191"/>
        </w:trPr>
        <w:tc>
          <w:tcPr>
            <w:tcW w:w="20" w:type="dxa"/>
            <w:vAlign w:val="bottom"/>
            <w:shd w:val="clear" w:color="auto" w:fill="CCEEFF"/>
          </w:tcPr>
          <w:p>
            <w:pPr>
              <w:spacing w:after="0"/>
              <w:rPr>
                <w:sz w:val="16"/>
                <w:szCs w:val="16"/>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128,434</w:t>
            </w:r>
          </w:p>
        </w:tc>
      </w:tr>
      <w:tr>
        <w:trPr>
          <w:trHeight w:val="199"/>
        </w:trPr>
        <w:tc>
          <w:tcPr>
            <w:tcW w:w="2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r>
      <w:tr>
        <w:trPr>
          <w:trHeight w:val="212"/>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372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9,393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1,727,826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June 30, 2023 and December 31, 2022 were as follows: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Loans Past Due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420" w:type="dxa"/>
            <w:vAlign w:val="bottom"/>
            <w:gridSpan w:val="4"/>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3"/>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3"/>
              <w:spacing w:after="0"/>
              <w:rPr>
                <w:sz w:val="20"/>
                <w:szCs w:val="20"/>
                <w:color w:val="auto"/>
              </w:rPr>
            </w:pPr>
            <w:r>
              <w:rPr>
                <w:rFonts w:ascii="Arial" w:cs="Arial" w:eastAsia="Arial" w:hAnsi="Arial"/>
                <w:sz w:val="12"/>
                <w:szCs w:val="12"/>
                <w:b w:val="1"/>
                <w:bCs w:val="1"/>
                <w:color w:val="auto"/>
              </w:rPr>
              <w:t>Accruing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center"/>
              <w:ind w:right="151"/>
              <w:spacing w:after="0"/>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Loans 90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8"/>
              </w:rPr>
              <w:t>June 30, 2023</w:t>
            </w:r>
          </w:p>
        </w:tc>
        <w:tc>
          <w:tcPr>
            <w:tcW w:w="148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72"/>
              <w:spacing w:after="0" w:line="126" w:lineRule="exact"/>
              <w:rPr>
                <w:sz w:val="20"/>
                <w:szCs w:val="20"/>
                <w:color w:val="auto"/>
              </w:rPr>
            </w:pPr>
            <w:r>
              <w:rPr>
                <w:rFonts w:ascii="Arial" w:cs="Arial" w:eastAsia="Arial" w:hAnsi="Arial"/>
                <w:sz w:val="12"/>
                <w:szCs w:val="12"/>
                <w:b w:val="1"/>
                <w:bCs w:val="1"/>
                <w:color w:val="auto"/>
              </w:rPr>
              <w:t>30-59 Days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72"/>
              <w:spacing w:after="0" w:line="126" w:lineRule="exact"/>
              <w:rPr>
                <w:sz w:val="20"/>
                <w:szCs w:val="20"/>
                <w:color w:val="auto"/>
              </w:rPr>
            </w:pPr>
            <w:r>
              <w:rPr>
                <w:rFonts w:ascii="Arial" w:cs="Arial" w:eastAsia="Arial" w:hAnsi="Arial"/>
                <w:sz w:val="12"/>
                <w:szCs w:val="12"/>
                <w:b w:val="1"/>
                <w:bCs w:val="1"/>
                <w:color w:val="auto"/>
              </w:rPr>
              <w:t>60-89 Days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132"/>
              <w:spacing w:after="0" w:line="126" w:lineRule="exact"/>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More Days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2"/>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2"/>
              <w:spacing w:after="0"/>
              <w:rPr>
                <w:sz w:val="20"/>
                <w:szCs w:val="20"/>
                <w:color w:val="auto"/>
              </w:rPr>
            </w:pPr>
            <w:r>
              <w:rPr>
                <w:rFonts w:ascii="Arial" w:cs="Arial" w:eastAsia="Arial" w:hAnsi="Arial"/>
                <w:sz w:val="12"/>
                <w:szCs w:val="12"/>
                <w:b w:val="1"/>
                <w:bCs w:val="1"/>
                <w:color w:val="auto"/>
              </w:rPr>
              <w:t>Past Due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3"/>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1"/>
              <w:spacing w:after="0"/>
              <w:rPr>
                <w:sz w:val="20"/>
                <w:szCs w:val="20"/>
                <w:color w:val="auto"/>
              </w:rPr>
            </w:pPr>
            <w:r>
              <w:rPr>
                <w:rFonts w:ascii="Arial" w:cs="Arial" w:eastAsia="Arial" w:hAnsi="Arial"/>
                <w:sz w:val="12"/>
                <w:szCs w:val="12"/>
                <w:b w:val="1"/>
                <w:bCs w:val="1"/>
                <w:color w:val="auto"/>
              </w:rPr>
              <w:t>Due Loans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51"/>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32"/>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3"/>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1"/>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4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1,723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541,029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555,133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329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673,230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674,141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256,367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258,400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c>
          <w:tcPr>
            <w:tcW w:w="0" w:type="dxa"/>
            <w:vAlign w:val="bottom"/>
          </w:tcPr>
          <w:p>
            <w:pPr>
              <w:spacing w:after="0"/>
              <w:rPr>
                <w:sz w:val="1"/>
                <w:szCs w:val="1"/>
                <w:color w:val="auto"/>
              </w:rPr>
            </w:pPr>
          </w:p>
        </w:tc>
      </w:tr>
      <w:tr>
        <w:trPr>
          <w:trHeight w:val="198"/>
        </w:trPr>
        <w:tc>
          <w:tcPr>
            <w:tcW w:w="242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564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232,534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233,598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0" w:type="dxa"/>
            <w:vAlign w:val="bottom"/>
          </w:tcPr>
          <w:p>
            <w:pPr>
              <w:spacing w:after="0"/>
              <w:rPr>
                <w:sz w:val="1"/>
                <w:szCs w:val="1"/>
                <w:color w:val="auto"/>
              </w:rPr>
            </w:pPr>
          </w:p>
        </w:tc>
      </w:tr>
      <w:tr>
        <w:trPr>
          <w:trHeight w:val="199"/>
        </w:trPr>
        <w:tc>
          <w:tcPr>
            <w:tcW w:w="24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14,070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108,504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122,925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420" w:type="dxa"/>
            <w:vAlign w:val="bottom"/>
            <w:gridSpan w:val="4"/>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1,187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1,187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16,686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1,812,851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1,845,384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53"/>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53"/>
              <w:spacing w:after="0"/>
              <w:rPr>
                <w:sz w:val="20"/>
                <w:szCs w:val="20"/>
                <w:color w:val="auto"/>
              </w:rPr>
            </w:pPr>
            <w:r>
              <w:rPr>
                <w:rFonts w:ascii="Arial" w:cs="Arial" w:eastAsia="Arial" w:hAnsi="Arial"/>
                <w:sz w:val="12"/>
                <w:szCs w:val="12"/>
                <w:b w:val="1"/>
                <w:bCs w:val="1"/>
                <w:color w:val="auto"/>
              </w:rPr>
              <w:t>Accruing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3"/>
              <w:spacing w:after="0" w:line="12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center"/>
              <w:ind w:right="151"/>
              <w:spacing w:after="0"/>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3"/>
              <w:spacing w:after="0" w:line="120" w:lineRule="exact"/>
              <w:rPr>
                <w:sz w:val="20"/>
                <w:szCs w:val="20"/>
                <w:color w:val="auto"/>
              </w:rPr>
            </w:pPr>
            <w:r>
              <w:rPr>
                <w:rFonts w:ascii="Arial" w:cs="Arial" w:eastAsia="Arial" w:hAnsi="Arial"/>
                <w:sz w:val="12"/>
                <w:szCs w:val="12"/>
                <w:b w:val="1"/>
                <w:bCs w:val="1"/>
                <w:color w:val="auto"/>
              </w:rPr>
              <w:t>Loans 90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72"/>
              <w:spacing w:after="0" w:line="126" w:lineRule="exact"/>
              <w:rPr>
                <w:sz w:val="20"/>
                <w:szCs w:val="20"/>
                <w:color w:val="auto"/>
              </w:rPr>
            </w:pPr>
            <w:r>
              <w:rPr>
                <w:rFonts w:ascii="Arial" w:cs="Arial" w:eastAsia="Arial" w:hAnsi="Arial"/>
                <w:sz w:val="12"/>
                <w:szCs w:val="12"/>
                <w:b w:val="1"/>
                <w:bCs w:val="1"/>
                <w:color w:val="auto"/>
              </w:rPr>
              <w:t>30-59 Days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72"/>
              <w:spacing w:after="0" w:line="126" w:lineRule="exact"/>
              <w:rPr>
                <w:sz w:val="20"/>
                <w:szCs w:val="20"/>
                <w:color w:val="auto"/>
              </w:rPr>
            </w:pPr>
            <w:r>
              <w:rPr>
                <w:rFonts w:ascii="Arial" w:cs="Arial" w:eastAsia="Arial" w:hAnsi="Arial"/>
                <w:sz w:val="12"/>
                <w:szCs w:val="12"/>
                <w:b w:val="1"/>
                <w:bCs w:val="1"/>
                <w:color w:val="auto"/>
              </w:rPr>
              <w:t>60-89 Days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132"/>
              <w:spacing w:after="0" w:line="126" w:lineRule="exact"/>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3"/>
              <w:spacing w:after="0" w:line="126" w:lineRule="exact"/>
              <w:rPr>
                <w:sz w:val="20"/>
                <w:szCs w:val="20"/>
                <w:color w:val="auto"/>
              </w:rPr>
            </w:pPr>
            <w:r>
              <w:rPr>
                <w:rFonts w:ascii="Arial" w:cs="Arial" w:eastAsia="Arial" w:hAnsi="Arial"/>
                <w:sz w:val="12"/>
                <w:szCs w:val="12"/>
                <w:b w:val="1"/>
                <w:bCs w:val="1"/>
                <w:color w:val="auto"/>
              </w:rPr>
              <w:t>More Days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rPr>
              <w:t>Past Due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Due Loans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rPr>
              <w:t>Loans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w w:val="99"/>
              </w:rPr>
              <w:t>December 31, 2022</w:t>
            </w: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20" w:type="dxa"/>
            <w:vAlign w:val="bottom"/>
            <w:gridSpan w:val="4"/>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480,305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484,735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662,988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664,551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233,458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238,099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93"/>
        </w:trPr>
        <w:tc>
          <w:tcPr>
            <w:tcW w:w="242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219,149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220,221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91"/>
        </w:trPr>
        <w:tc>
          <w:tcPr>
            <w:tcW w:w="24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8,473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7,455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112,143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128,434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9,758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8,623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1,709,222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1,737,219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There were $0.4 million and $1.3 million of loans secured by one-to-four family residential properties in the process of foreclosure as of June 30, 2023 and December 31, 2022,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presents the nonaccrual loans as of June 30, 2023 and December 31,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345"/>
        </w:trPr>
        <w:tc>
          <w:tcPr>
            <w:tcW w:w="38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260" w:type="dxa"/>
            <w:vAlign w:val="bottom"/>
            <w:gridSpan w:val="2"/>
          </w:tcPr>
          <w:p>
            <w:pPr>
              <w:jc w:val="right"/>
              <w:spacing w:after="0"/>
              <w:rPr>
                <w:sz w:val="20"/>
                <w:szCs w:val="20"/>
                <w:color w:val="auto"/>
              </w:rPr>
            </w:pPr>
            <w:r>
              <w:rPr>
                <w:rFonts w:ascii="Arial" w:cs="Arial" w:eastAsia="Arial" w:hAnsi="Arial"/>
                <w:sz w:val="12"/>
                <w:szCs w:val="12"/>
                <w:b w:val="1"/>
                <w:bCs w:val="1"/>
                <w:color w:val="auto"/>
              </w:rPr>
              <w:t>Nonaccrual with No</w:t>
            </w: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Nonaccrual with an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Interest Recognized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840" w:type="dxa"/>
            <w:vAlign w:val="bottom"/>
            <w:vMerge w:val="continue"/>
          </w:tcPr>
          <w:p>
            <w:pPr>
              <w:spacing w:after="0"/>
              <w:rPr>
                <w:sz w:val="6"/>
                <w:szCs w:val="6"/>
                <w:color w:val="auto"/>
              </w:rPr>
            </w:pPr>
          </w:p>
        </w:tc>
        <w:tc>
          <w:tcPr>
            <w:tcW w:w="1260" w:type="dxa"/>
            <w:vAlign w:val="bottom"/>
            <w:gridSpan w:val="2"/>
            <w:vMerge w:val="restart"/>
          </w:tcPr>
          <w:p>
            <w:pPr>
              <w:ind w:left="40"/>
              <w:spacing w:after="0" w:line="126" w:lineRule="exact"/>
              <w:rPr>
                <w:sz w:val="20"/>
                <w:szCs w:val="20"/>
                <w:color w:val="auto"/>
              </w:rPr>
            </w:pPr>
            <w:r>
              <w:rPr>
                <w:rFonts w:ascii="Arial" w:cs="Arial" w:eastAsia="Arial" w:hAnsi="Arial"/>
                <w:sz w:val="12"/>
                <w:szCs w:val="12"/>
                <w:b w:val="1"/>
                <w:bCs w:val="1"/>
                <w:color w:val="auto"/>
              </w:rPr>
              <w:t>Allowance for Credit</w:t>
            </w:r>
          </w:p>
        </w:tc>
        <w:tc>
          <w:tcPr>
            <w:tcW w:w="120" w:type="dxa"/>
            <w:vAlign w:val="bottom"/>
          </w:tcPr>
          <w:p>
            <w:pPr>
              <w:spacing w:after="0"/>
              <w:rPr>
                <w:sz w:val="6"/>
                <w:szCs w:val="6"/>
                <w:color w:val="auto"/>
              </w:rPr>
            </w:pPr>
          </w:p>
        </w:tc>
        <w:tc>
          <w:tcPr>
            <w:tcW w:w="1300" w:type="dxa"/>
            <w:vAlign w:val="bottom"/>
            <w:gridSpan w:val="2"/>
            <w:vMerge w:val="restart"/>
          </w:tcPr>
          <w:p>
            <w:pPr>
              <w:jc w:val="center"/>
              <w:spacing w:after="0" w:line="126" w:lineRule="exact"/>
              <w:rPr>
                <w:sz w:val="20"/>
                <w:szCs w:val="20"/>
                <w:color w:val="auto"/>
              </w:rPr>
            </w:pPr>
            <w:r>
              <w:rPr>
                <w:rFonts w:ascii="Arial" w:cs="Arial" w:eastAsia="Arial" w:hAnsi="Arial"/>
                <w:sz w:val="12"/>
                <w:szCs w:val="12"/>
                <w:b w:val="1"/>
                <w:bCs w:val="1"/>
                <w:color w:val="auto"/>
              </w:rPr>
              <w:t>Allowance for Credit</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restart"/>
          </w:tcPr>
          <w:p>
            <w:pPr>
              <w:jc w:val="right"/>
              <w:ind w:right="52"/>
              <w:spacing w:after="0" w:line="126" w:lineRule="exact"/>
              <w:rPr>
                <w:sz w:val="20"/>
                <w:szCs w:val="20"/>
                <w:color w:val="auto"/>
              </w:rPr>
            </w:pPr>
            <w:r>
              <w:rPr>
                <w:rFonts w:ascii="Arial" w:cs="Arial" w:eastAsia="Arial" w:hAnsi="Arial"/>
                <w:sz w:val="12"/>
                <w:szCs w:val="12"/>
                <w:b w:val="1"/>
                <w:bCs w:val="1"/>
                <w:color w:val="auto"/>
              </w:rPr>
              <w:t>Total Nonaccrual</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restart"/>
          </w:tcPr>
          <w:p>
            <w:pPr>
              <w:jc w:val="center"/>
              <w:ind w:right="92"/>
              <w:spacing w:after="0" w:line="126" w:lineRule="exact"/>
              <w:rPr>
                <w:sz w:val="20"/>
                <w:szCs w:val="20"/>
                <w:color w:val="auto"/>
              </w:rPr>
            </w:pPr>
            <w:r>
              <w:rPr>
                <w:rFonts w:ascii="Arial" w:cs="Arial" w:eastAsia="Arial" w:hAnsi="Arial"/>
                <w:sz w:val="12"/>
                <w:szCs w:val="12"/>
                <w:b w:val="1"/>
                <w:bCs w:val="1"/>
                <w:color w:val="auto"/>
              </w:rPr>
              <w:t>on Nonaccrual</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8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Total Nonaccrual Loans</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12,353</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4,288</w:t>
            </w:r>
          </w:p>
        </w:tc>
        <w:tc>
          <w:tcPr>
            <w:tcW w:w="0" w:type="dxa"/>
            <w:vAlign w:val="bottom"/>
          </w:tcPr>
          <w:p>
            <w:pPr>
              <w:spacing w:after="0"/>
              <w:rPr>
                <w:sz w:val="1"/>
                <w:szCs w:val="1"/>
                <w:color w:val="auto"/>
              </w:rPr>
            </w:pPr>
          </w:p>
        </w:tc>
      </w:tr>
      <w:tr>
        <w:trPr>
          <w:trHeight w:val="198"/>
        </w:trPr>
        <w:tc>
          <w:tcPr>
            <w:tcW w:w="384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1,563</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2,837</w:t>
            </w:r>
          </w:p>
        </w:tc>
        <w:tc>
          <w:tcPr>
            <w:tcW w:w="0" w:type="dxa"/>
            <w:vAlign w:val="bottom"/>
          </w:tcPr>
          <w:p>
            <w:pPr>
              <w:spacing w:after="0"/>
              <w:rPr>
                <w:sz w:val="1"/>
                <w:szCs w:val="1"/>
                <w:color w:val="auto"/>
              </w:rPr>
            </w:pPr>
          </w:p>
        </w:tc>
      </w:tr>
      <w:tr>
        <w:trPr>
          <w:trHeight w:val="185"/>
        </w:trPr>
        <w:tc>
          <w:tcPr>
            <w:tcW w:w="384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40" w:type="dxa"/>
            <w:vAlign w:val="bottom"/>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15,432</w:t>
            </w:r>
          </w:p>
        </w:tc>
        <w:tc>
          <w:tcPr>
            <w:tcW w:w="42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267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15,699</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9,393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Company has certain loans for which repayment is dependent upon the operation or sale of collateral, as the borrower is experiencing financial difficulty. The underlying collateral can vary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upon the type of loan. The following provides more detail about the types of collateral that secure collateral dependent loans:</w:t>
      </w:r>
    </w:p>
    <w:p>
      <w:pPr>
        <w:spacing w:after="0" w:line="217" w:lineRule="exact"/>
        <w:rPr>
          <w:sz w:val="20"/>
          <w:szCs w:val="20"/>
          <w:color w:val="auto"/>
        </w:rPr>
      </w:pPr>
    </w:p>
    <w:p>
      <w:pPr>
        <w:ind w:left="640" w:hanging="316"/>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real estate loans are primarily secured by owner-occupied primary residences and, to a lesser extent, investor-owned residences.</w:t>
      </w:r>
    </w:p>
    <w:p>
      <w:pPr>
        <w:spacing w:after="0" w:line="178"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real estate loans can be secured by either owner-occupied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193"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loans are typically secured by owner occupied commercial real estate or non-owner occupied investment real estate. Typically, owner occupied construction loans are secured by office buildings, warehouses, manufacturing facilities, and other commercial and industrial properties that are in process of construction. Non-owner occupied commercial construction loans are generally secured by office buildings and complexes, multi-family complexes, land under development, and other commercial and industrial real estate in process of construction.</w:t>
      </w:r>
    </w:p>
    <w:p>
      <w:pPr>
        <w:spacing w:after="0" w:line="19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and industrial loans are generally secured by equipment, inventory, accounts receivable, and other commercial property.</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Collateral dependent loans amortized cost</w:t>
      </w:r>
    </w:p>
    <w:p>
      <w:pPr>
        <w:spacing w:after="0" w:line="38"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95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June 30, 2023</w:t>
            </w:r>
          </w:p>
        </w:tc>
      </w:tr>
      <w:tr>
        <w:trPr>
          <w:trHeight w:val="173"/>
        </w:trPr>
        <w:tc>
          <w:tcPr>
            <w:tcW w:w="952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12,353</w:t>
            </w:r>
          </w:p>
        </w:tc>
      </w:tr>
      <w:tr>
        <w:trPr>
          <w:trHeight w:val="198"/>
        </w:trPr>
        <w:tc>
          <w:tcPr>
            <w:tcW w:w="952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582</w:t>
            </w:r>
          </w:p>
        </w:tc>
      </w:tr>
      <w:tr>
        <w:trPr>
          <w:trHeight w:val="199"/>
        </w:trPr>
        <w:tc>
          <w:tcPr>
            <w:tcW w:w="9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w:t>
            </w:r>
          </w:p>
        </w:tc>
      </w:tr>
      <w:tr>
        <w:trPr>
          <w:trHeight w:val="185"/>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and Industrial</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416</w:t>
            </w:r>
          </w:p>
        </w:tc>
      </w:tr>
      <w:tr>
        <w:trPr>
          <w:trHeight w:val="217"/>
        </w:trPr>
        <w:tc>
          <w:tcPr>
            <w:tcW w:w="9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15,384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Of the collateral dependent loans as of June 30, 2023, a specific reserve of $10 thousand was assessed for commercial and industrial loans.</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Prior to the adoption of the CECL standard, loans were considered impaired when, based on current information, management believed the Company would not collect all principal and interest payments according to contractual terms. Generally, loans were reviewed for impairment when the risk grade for a loan was downgraded to a classified asset category. For loans that were classified as impaired, an allowance was established when the collateral value, if the loan was collateral dependent, or the discounted cash flows of the impaired loan was lower than the carrying value of the loan. Loans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generally charged-off in part or in full when management determined the loan to be uncollectible.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portfolio loans for the period ended December 31, 2022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rPr>
                <w:sz w:val="20"/>
                <w:szCs w:val="20"/>
                <w:color w:val="auto"/>
              </w:rPr>
            </w:pPr>
            <w:r>
              <w:rPr>
                <w:rFonts w:ascii="Arial" w:cs="Arial" w:eastAsia="Arial" w:hAnsi="Arial"/>
                <w:sz w:val="12"/>
                <w:szCs w:val="12"/>
                <w:b w:val="1"/>
                <w:bCs w:val="1"/>
                <w:color w:val="auto"/>
              </w:rPr>
              <w:t>Unpaid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5"/>
              <w:spacing w:after="0"/>
              <w:rPr>
                <w:sz w:val="20"/>
                <w:szCs w:val="20"/>
                <w:color w:val="auto"/>
              </w:rPr>
            </w:pPr>
            <w:r>
              <w:rPr>
                <w:rFonts w:ascii="Arial" w:cs="Arial" w:eastAsia="Arial" w:hAnsi="Arial"/>
                <w:sz w:val="12"/>
                <w:szCs w:val="12"/>
                <w:b w:val="1"/>
                <w:bCs w:val="1"/>
                <w:color w:val="auto"/>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5"/>
              <w:spacing w:after="0"/>
              <w:rPr>
                <w:sz w:val="20"/>
                <w:szCs w:val="20"/>
                <w:color w:val="auto"/>
              </w:rPr>
            </w:pPr>
            <w:r>
              <w:rPr>
                <w:rFonts w:ascii="Arial" w:cs="Arial" w:eastAsia="Arial" w:hAnsi="Arial"/>
                <w:sz w:val="12"/>
                <w:szCs w:val="12"/>
                <w:b w:val="1"/>
                <w:bCs w:val="1"/>
                <w:color w:val="auto"/>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5"/>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Arial" w:cs="Arial" w:eastAsia="Arial" w:hAnsi="Arial"/>
                <w:sz w:val="12"/>
                <w:szCs w:val="12"/>
                <w:b w:val="1"/>
                <w:bCs w:val="1"/>
                <w:color w:val="auto"/>
              </w:rPr>
              <w:t>Contractual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15"/>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5"/>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292"/>
              <w:spacing w:after="0"/>
              <w:rPr>
                <w:sz w:val="20"/>
                <w:szCs w:val="20"/>
                <w:color w:val="auto"/>
              </w:rPr>
            </w:pPr>
            <w:r>
              <w:rPr>
                <w:rFonts w:ascii="Arial" w:cs="Arial" w:eastAsia="Arial" w:hAnsi="Arial"/>
                <w:sz w:val="12"/>
                <w:szCs w:val="12"/>
                <w:b w:val="1"/>
                <w:bCs w:val="1"/>
                <w:color w:val="auto"/>
              </w:rPr>
              <w:t>Related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5"/>
              <w:spacing w:after="0"/>
              <w:rPr>
                <w:sz w:val="20"/>
                <w:szCs w:val="20"/>
                <w:color w:val="auto"/>
              </w:rPr>
            </w:pPr>
            <w:r>
              <w:rPr>
                <w:rFonts w:ascii="Arial" w:cs="Arial" w:eastAsia="Arial" w:hAnsi="Arial"/>
                <w:sz w:val="12"/>
                <w:szCs w:val="12"/>
                <w:b w:val="1"/>
                <w:bCs w:val="1"/>
                <w:color w:val="auto"/>
              </w:rPr>
              <w:t>Recorded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5"/>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6"/>
                <w:szCs w:val="6"/>
                <w:color w:val="auto"/>
              </w:rPr>
            </w:pPr>
          </w:p>
        </w:tc>
        <w:tc>
          <w:tcPr>
            <w:tcW w:w="980" w:type="dxa"/>
            <w:vAlign w:val="bottom"/>
          </w:tcPr>
          <w:p>
            <w:pPr>
              <w:jc w:val="center"/>
              <w:ind w:right="75"/>
              <w:spacing w:after="0" w:line="80" w:lineRule="exact"/>
              <w:rPr>
                <w:sz w:val="20"/>
                <w:szCs w:val="20"/>
                <w:color w:val="auto"/>
              </w:rPr>
            </w:pPr>
            <w:r>
              <w:rPr>
                <w:rFonts w:ascii="Arial" w:cs="Arial" w:eastAsia="Arial" w:hAnsi="Arial"/>
                <w:sz w:val="9"/>
                <w:szCs w:val="9"/>
                <w:b w:val="1"/>
                <w:bCs w:val="1"/>
                <w:color w:val="auto"/>
              </w:rPr>
              <w:t>Principal</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jc w:val="center"/>
              <w:ind w:right="95"/>
              <w:spacing w:after="0" w:line="80" w:lineRule="exact"/>
              <w:rPr>
                <w:sz w:val="20"/>
                <w:szCs w:val="20"/>
                <w:color w:val="auto"/>
              </w:rPr>
            </w:pPr>
            <w:r>
              <w:rPr>
                <w:rFonts w:ascii="Arial" w:cs="Arial" w:eastAsia="Arial" w:hAnsi="Arial"/>
                <w:sz w:val="9"/>
                <w:szCs w:val="9"/>
                <w:b w:val="1"/>
                <w:bCs w:val="1"/>
                <w:color w:val="auto"/>
              </w:rPr>
              <w:t>With No</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jc w:val="center"/>
              <w:ind w:right="115"/>
              <w:spacing w:after="0" w:line="80" w:lineRule="exact"/>
              <w:rPr>
                <w:sz w:val="20"/>
                <w:szCs w:val="20"/>
                <w:color w:val="auto"/>
              </w:rPr>
            </w:pPr>
            <w:r>
              <w:rPr>
                <w:rFonts w:ascii="Arial" w:cs="Arial" w:eastAsia="Arial" w:hAnsi="Arial"/>
                <w:sz w:val="9"/>
                <w:szCs w:val="9"/>
                <w:b w:val="1"/>
                <w:bCs w:val="1"/>
                <w:color w:val="auto"/>
              </w:rPr>
              <w:t>With</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95"/>
              <w:spacing w:after="0" w:line="80" w:lineRule="exact"/>
              <w:rPr>
                <w:sz w:val="20"/>
                <w:szCs w:val="20"/>
                <w:color w:val="auto"/>
              </w:rPr>
            </w:pPr>
            <w:r>
              <w:rPr>
                <w:rFonts w:ascii="Arial" w:cs="Arial" w:eastAsia="Arial" w:hAnsi="Arial"/>
                <w:sz w:val="9"/>
                <w:szCs w:val="9"/>
                <w:b w:val="1"/>
                <w:bCs w:val="1"/>
                <w:color w:val="auto"/>
              </w:rPr>
              <w:t>Recorded</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jc w:val="center"/>
              <w:ind w:right="55"/>
              <w:spacing w:after="0" w:line="80" w:lineRule="exact"/>
              <w:rPr>
                <w:sz w:val="20"/>
                <w:szCs w:val="20"/>
                <w:color w:val="auto"/>
              </w:rPr>
            </w:pPr>
            <w:r>
              <w:rPr>
                <w:rFonts w:ascii="Arial" w:cs="Arial" w:eastAsia="Arial" w:hAnsi="Arial"/>
                <w:sz w:val="9"/>
                <w:szCs w:val="9"/>
                <w:b w:val="1"/>
                <w:bCs w:val="1"/>
                <w:color w:val="auto"/>
              </w:rPr>
              <w:t>Investment</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jc w:val="center"/>
              <w:ind w:right="75"/>
              <w:spacing w:after="0" w:line="80" w:lineRule="exact"/>
              <w:rPr>
                <w:sz w:val="20"/>
                <w:szCs w:val="20"/>
                <w:color w:val="auto"/>
              </w:rPr>
            </w:pPr>
            <w:r>
              <w:rPr>
                <w:rFonts w:ascii="Arial" w:cs="Arial" w:eastAsia="Arial" w:hAnsi="Arial"/>
                <w:sz w:val="9"/>
                <w:szCs w:val="9"/>
                <w:b w:val="1"/>
                <w:bCs w:val="1"/>
                <w:color w:val="auto"/>
              </w:rPr>
              <w:t>Recognized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15"/>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95"/>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12"/>
              <w:spacing w:after="0"/>
              <w:rPr>
                <w:sz w:val="20"/>
                <w:szCs w:val="20"/>
                <w:color w:val="auto"/>
              </w:rPr>
            </w:pPr>
            <w:r>
              <w:rPr>
                <w:rFonts w:ascii="Arial" w:cs="Arial" w:eastAsia="Arial" w:hAnsi="Arial"/>
                <w:sz w:val="12"/>
                <w:szCs w:val="12"/>
                <w:b w:val="1"/>
                <w:bCs w:val="1"/>
                <w:color w:val="auto"/>
              </w:rPr>
              <w:t>Allowance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5"/>
              <w:spacing w:after="0"/>
              <w:rPr>
                <w:sz w:val="20"/>
                <w:szCs w:val="20"/>
                <w:color w:val="auto"/>
              </w:rPr>
            </w:pPr>
            <w:r>
              <w:rPr>
                <w:rFonts w:ascii="Arial" w:cs="Arial" w:eastAsia="Arial" w:hAnsi="Arial"/>
                <w:sz w:val="12"/>
                <w:szCs w:val="12"/>
                <w:b w:val="1"/>
                <w:bCs w:val="1"/>
                <w:color w:val="auto"/>
              </w:rPr>
              <w:t>Year to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5"/>
              <w:spacing w:after="0"/>
              <w:rPr>
                <w:sz w:val="20"/>
                <w:szCs w:val="20"/>
                <w:color w:val="auto"/>
              </w:rPr>
            </w:pPr>
            <w:r>
              <w:rPr>
                <w:rFonts w:ascii="Arial" w:cs="Arial" w:eastAsia="Arial" w:hAnsi="Arial"/>
                <w:sz w:val="12"/>
                <w:szCs w:val="12"/>
                <w:b w:val="1"/>
                <w:bCs w:val="1"/>
                <w:color w:val="auto"/>
              </w:rPr>
              <w:t>Year to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4,476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4,629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372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9,961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8,935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
              <w:spacing w:after="0"/>
              <w:rPr>
                <w:sz w:val="20"/>
                <w:szCs w:val="20"/>
                <w:color w:val="auto"/>
              </w:rPr>
            </w:pPr>
            <w:r>
              <w:rPr>
                <w:rFonts w:ascii="Arial" w:cs="Arial" w:eastAsia="Arial" w:hAnsi="Arial"/>
                <w:sz w:val="14"/>
                <w:szCs w:val="14"/>
                <w:color w:val="auto"/>
              </w:rPr>
              <w:t>458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9,393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372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10,422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interest recognized on impaired loans for the period ended June 30, 2022:</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For the Three Months Ended June 30, 2022</w:t>
            </w:r>
          </w:p>
        </w:tc>
        <w:tc>
          <w:tcPr>
            <w:tcW w:w="120" w:type="dxa"/>
            <w:vAlign w:val="bottom"/>
          </w:tcPr>
          <w:p>
            <w:pPr>
              <w:spacing w:after="0"/>
              <w:rPr>
                <w:sz w:val="16"/>
                <w:szCs w:val="16"/>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Six Months Ended June 30, 2022</w:t>
            </w: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140" w:type="dxa"/>
            <w:vAlign w:val="bottom"/>
          </w:tcPr>
          <w:p>
            <w:pPr>
              <w:jc w:val="center"/>
              <w:ind w:left="374"/>
              <w:spacing w:after="0" w:line="113" w:lineRule="exact"/>
              <w:rPr>
                <w:sz w:val="20"/>
                <w:szCs w:val="20"/>
                <w:color w:val="auto"/>
              </w:rPr>
            </w:pPr>
            <w:r>
              <w:rPr>
                <w:rFonts w:ascii="Arial" w:cs="Arial" w:eastAsia="Arial" w:hAnsi="Arial"/>
                <w:sz w:val="12"/>
                <w:szCs w:val="12"/>
                <w:b w:val="1"/>
                <w:bCs w:val="1"/>
                <w:color w:val="auto"/>
              </w:rPr>
              <w:t>Average</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ind w:right="492"/>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center"/>
              <w:ind w:right="153"/>
              <w:spacing w:after="0" w:line="113"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1140" w:type="dxa"/>
            <w:vAlign w:val="bottom"/>
          </w:tcPr>
          <w:p>
            <w:pPr>
              <w:jc w:val="center"/>
              <w:ind w:left="374"/>
              <w:spacing w:after="0" w:line="126" w:lineRule="exact"/>
              <w:rPr>
                <w:sz w:val="20"/>
                <w:szCs w:val="20"/>
                <w:color w:val="auto"/>
              </w:rPr>
            </w:pPr>
            <w:r>
              <w:rPr>
                <w:rFonts w:ascii="Arial" w:cs="Arial" w:eastAsia="Arial" w:hAnsi="Arial"/>
                <w:sz w:val="12"/>
                <w:szCs w:val="12"/>
                <w:b w:val="1"/>
                <w:bCs w:val="1"/>
                <w:color w:val="auto"/>
              </w:rPr>
              <w:t>Recorded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53"/>
              <w:spacing w:after="0" w:line="126" w:lineRule="exact"/>
              <w:rPr>
                <w:sz w:val="20"/>
                <w:szCs w:val="20"/>
                <w:color w:val="auto"/>
              </w:rPr>
            </w:pPr>
            <w:r>
              <w:rPr>
                <w:rFonts w:ascii="Arial" w:cs="Arial" w:eastAsia="Arial" w:hAnsi="Arial"/>
                <w:sz w:val="12"/>
                <w:szCs w:val="12"/>
                <w:b w:val="1"/>
                <w:bCs w:val="1"/>
                <w:color w:val="auto"/>
              </w:rPr>
              <w:t>Recorded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0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tcBorders>
              <w:bottom w:val="single" w:sz="8" w:color="auto"/>
            </w:tcBorders>
          </w:tcPr>
          <w:p>
            <w:pPr>
              <w:jc w:val="center"/>
              <w:ind w:left="374"/>
              <w:spacing w:after="0"/>
              <w:rPr>
                <w:sz w:val="20"/>
                <w:szCs w:val="20"/>
                <w:color w:val="auto"/>
              </w:rPr>
            </w:pPr>
            <w:r>
              <w:rPr>
                <w:rFonts w:ascii="Arial" w:cs="Arial" w:eastAsia="Arial" w:hAnsi="Arial"/>
                <w:sz w:val="12"/>
                <w:szCs w:val="12"/>
                <w:b w:val="1"/>
                <w:bCs w:val="1"/>
                <w:color w:val="auto"/>
              </w:rPr>
              <w:t>Investment</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Recognized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2"/>
                <w:szCs w:val="12"/>
                <w:b w:val="1"/>
                <w:bCs w:val="1"/>
                <w:color w:val="auto"/>
              </w:rPr>
              <w:t>Investment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85"/>
        </w:trPr>
        <w:tc>
          <w:tcPr>
            <w:tcW w:w="506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3,342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3,344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140" w:type="dxa"/>
            <w:vAlign w:val="bottom"/>
          </w:tcPr>
          <w:p>
            <w:pPr>
              <w:spacing w:after="0"/>
              <w:rPr>
                <w:sz w:val="17"/>
                <w:szCs w:val="17"/>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b w:val="1"/>
                <w:bCs w:val="1"/>
                <w:color w:val="auto"/>
                <w:w w:val="96"/>
              </w:rPr>
              <w:t>1,030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1,031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2,123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2,123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6"/>
              </w:rPr>
              <w:t>1,266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1,277</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7,761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7,775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description of the general characteristics of loans characterized as classified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w:t>
      </w:r>
    </w:p>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Loans characterized as pass includes loans graded exceptional, very good, good, satisfactory and pass/watch. The Company believes that there is a low likelihood of credit deterioration related to those loans that are considered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-180340</wp:posOffset>
            </wp:positionV>
            <wp:extent cx="666369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6350</wp:posOffset>
            </wp:positionV>
            <wp:extent cx="66636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color w:val="auto"/>
                <w:w w:val="99"/>
              </w:rPr>
              <w:t>Term Loans by Origination Year</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Revolving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 Real estate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Arial" w:cs="Arial" w:eastAsia="Arial" w:hAnsi="Arial"/>
                <w:sz w:val="14"/>
                <w:szCs w:val="14"/>
                <w:color w:val="auto"/>
              </w:rPr>
              <w:t>Pass</w:t>
            </w:r>
          </w:p>
        </w:tc>
        <w:tc>
          <w:tcPr>
            <w:tcW w:w="2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83,840</w:t>
            </w:r>
          </w:p>
        </w:tc>
        <w:tc>
          <w:tcPr>
            <w:tcW w:w="320" w:type="dxa"/>
            <w:vAlign w:val="bottom"/>
            <w:gridSpan w:val="4"/>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148,312</w:t>
            </w:r>
          </w:p>
        </w:tc>
        <w:tc>
          <w:tcPr>
            <w:tcW w:w="320" w:type="dxa"/>
            <w:vAlign w:val="bottom"/>
            <w:gridSpan w:val="4"/>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87,164</w:t>
            </w:r>
          </w:p>
        </w:tc>
        <w:tc>
          <w:tcPr>
            <w:tcW w:w="320" w:type="dxa"/>
            <w:vAlign w:val="bottom"/>
            <w:gridSpan w:val="4"/>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79,332</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41,230</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97,108</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536,986</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Special Mention</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3,710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4,366</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Substandard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13,781</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Doubtful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83,840</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148,312</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87,787</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83,042</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41,256</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110,896</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555,133</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 Real estate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Pass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23,048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191,053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169,711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70,201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118,823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670,215</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Special Mention</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Substandard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Doubtful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23,048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192,578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169,711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70,201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98,772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119,831</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674,141</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Construction – Real estate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Pass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61,244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73,437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29,812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255,745</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Mention</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Substandard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Doubtful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61,244</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81,187</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73,437</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29,812</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7,767</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4,953</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258,400</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Pass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40,876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83,961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11,141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211,664</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Special Mention</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18,100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2,449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20,892</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Substandard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Doubtful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40,876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13,590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19,730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25,400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233,598</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consumer</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Pass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Special Mention</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Substandard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Doubtful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Credit card</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Ungraded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122,925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122,925</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Portfolio loans receivable, gross</w:t>
            </w:r>
          </w:p>
        </w:tc>
        <w:tc>
          <w:tcPr>
            <w:tcW w:w="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209,038</w:t>
            </w:r>
          </w:p>
        </w:tc>
        <w:tc>
          <w:tcPr>
            <w:tcW w:w="320" w:type="dxa"/>
            <w:vAlign w:val="bottom"/>
            <w:gridSpan w:val="4"/>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506,541</w:t>
            </w:r>
          </w:p>
        </w:tc>
        <w:tc>
          <w:tcPr>
            <w:tcW w:w="3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381,152</w:t>
            </w:r>
          </w:p>
        </w:tc>
        <w:tc>
          <w:tcPr>
            <w:tcW w:w="320" w:type="dxa"/>
            <w:vAlign w:val="bottom"/>
            <w:gridSpan w:val="4"/>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196,817</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167,525</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261,386</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122,925</w:t>
            </w:r>
          </w:p>
        </w:tc>
        <w:tc>
          <w:tcPr>
            <w:tcW w:w="32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1,845,384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Revolving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Charge-offs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4"/>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4"/>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943</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1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3,291</w:t>
            </w:r>
          </w:p>
        </w:tc>
        <w:tc>
          <w:tcPr>
            <w:tcW w:w="100" w:type="dxa"/>
            <w:vAlign w:val="bottom"/>
            <w:gridSpan w:val="2"/>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61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266700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240" w:top="614" w:right="419" w:bottom="1440" w:gutter="0" w:footer="0" w:header="0"/>
          <w:type w:val="continuous"/>
        </w:sectPr>
      </w:pPr>
    </w:p>
    <w:bookmarkStart w:id="29" w:name="page30"/>
    <w:bookmarkEnd w:id="29"/>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balances of classified loans based on credit quality indicator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Special Mention</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Substandard</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Doubtful</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Ungraded</w:t>
            </w:r>
            <w:r>
              <w:rPr>
                <w:rFonts w:ascii="Arial" w:cs="Arial" w:eastAsia="Arial" w:hAnsi="Arial"/>
                <w:sz w:val="18"/>
                <w:szCs w:val="18"/>
                <w:b w:val="1"/>
                <w:bCs w:val="1"/>
                <w:color w:val="auto"/>
                <w:vertAlign w:val="superscript"/>
              </w:rPr>
              <w:t>(2)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9"/>
              </w:rPr>
              <w:t>December 31, 2022</w:t>
            </w:r>
          </w:p>
        </w:tc>
        <w:tc>
          <w:tcPr>
            <w:tcW w:w="12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9"/>
        </w:trPr>
        <w:tc>
          <w:tcPr>
            <w:tcW w:w="2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469,304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5,465</w:t>
            </w:r>
          </w:p>
        </w:tc>
        <w:tc>
          <w:tcPr>
            <w:tcW w:w="1160" w:type="dxa"/>
            <w:vAlign w:val="bottom"/>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484,735</w:t>
            </w:r>
          </w:p>
        </w:tc>
      </w:tr>
      <w:tr>
        <w:trPr>
          <w:trHeight w:val="193"/>
        </w:trPr>
        <w:tc>
          <w:tcPr>
            <w:tcW w:w="20" w:type="dxa"/>
            <w:vAlign w:val="bottom"/>
          </w:tcPr>
          <w:p>
            <w:pPr>
              <w:spacing w:after="0"/>
              <w:rPr>
                <w:sz w:val="16"/>
                <w:szCs w:val="16"/>
                <w:color w:val="auto"/>
              </w:rPr>
            </w:pP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657,411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664,551</w:t>
            </w:r>
          </w:p>
        </w:tc>
      </w:tr>
      <w:tr>
        <w:trPr>
          <w:trHeight w:val="191"/>
        </w:trPr>
        <w:tc>
          <w:tcPr>
            <w:tcW w:w="2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235,262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238,099</w:t>
            </w:r>
          </w:p>
        </w:tc>
      </w:tr>
      <w:tr>
        <w:trPr>
          <w:trHeight w:val="193"/>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196,381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220,221</w:t>
            </w:r>
          </w:p>
        </w:tc>
      </w:tr>
      <w:tr>
        <w:trPr>
          <w:trHeight w:val="204"/>
        </w:trPr>
        <w:tc>
          <w:tcPr>
            <w:tcW w:w="2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128,434</w:t>
            </w:r>
          </w:p>
        </w:tc>
      </w:tr>
      <w:tr>
        <w:trPr>
          <w:trHeight w:val="186"/>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r>
      <w:tr>
        <w:trPr>
          <w:trHeight w:val="212"/>
        </w:trPr>
        <w:tc>
          <w:tcPr>
            <w:tcW w:w="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1,559,537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11,236</w:t>
            </w:r>
          </w:p>
        </w:tc>
        <w:tc>
          <w:tcPr>
            <w:tcW w:w="1160" w:type="dxa"/>
            <w:vAlign w:val="bottom"/>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128,434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1,737,219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25"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1"/>
          <w:szCs w:val="11"/>
          <w:color w:val="auto"/>
        </w:rPr>
        <w:t>Pass includes loans graded exceptional, very good, good, satisfactory and pass/watch, in addition to credit cards and consumer credits that are not individually graded.</w:t>
      </w:r>
    </w:p>
    <w:p>
      <w:pPr>
        <w:spacing w:after="0" w:line="4" w:lineRule="exact"/>
        <w:rPr>
          <w:rFonts w:ascii="Arial" w:cs="Arial" w:eastAsia="Arial" w:hAnsi="Arial"/>
          <w:sz w:val="18"/>
          <w:szCs w:val="18"/>
          <w:color w:val="auto"/>
          <w:vertAlign w:val="superscript"/>
        </w:rPr>
      </w:pPr>
    </w:p>
    <w:p>
      <w:pPr>
        <w:ind w:left="140" w:hanging="134"/>
        <w:spacing w:after="0" w:line="190" w:lineRule="auto"/>
        <w:tabs>
          <w:tab w:leader="none" w:pos="140" w:val="left"/>
        </w:tabs>
        <w:numPr>
          <w:ilvl w:val="0"/>
          <w:numId w:val="6"/>
        </w:numPr>
        <w:rPr>
          <w:rFonts w:ascii="Arial" w:cs="Arial" w:eastAsia="Arial" w:hAnsi="Arial"/>
          <w:sz w:val="14"/>
          <w:szCs w:val="14"/>
          <w:color w:val="auto"/>
          <w:vertAlign w:val="superscript"/>
        </w:rPr>
      </w:pPr>
      <w:r>
        <w:rPr>
          <w:rFonts w:ascii="Arial" w:cs="Arial" w:eastAsia="Arial" w:hAnsi="Arial"/>
          <w:sz w:val="9"/>
          <w:szCs w:val="9"/>
          <w:color w:val="auto"/>
        </w:rPr>
        <w:t>Credit card loans are not individually graded.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Outstanding loan commitments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Unused lines of credit</w:t>
            </w: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3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4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17,786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14,336</w:t>
            </w:r>
          </w:p>
        </w:tc>
        <w:tc>
          <w:tcPr>
            <w:tcW w:w="0" w:type="dxa"/>
            <w:vAlign w:val="bottom"/>
          </w:tcPr>
          <w:p>
            <w:pPr>
              <w:spacing w:after="0"/>
              <w:rPr>
                <w:sz w:val="1"/>
                <w:szCs w:val="1"/>
                <w:color w:val="auto"/>
              </w:rPr>
            </w:pPr>
          </w:p>
        </w:tc>
      </w:tr>
      <w:tr>
        <w:trPr>
          <w:trHeight w:val="186"/>
        </w:trPr>
        <w:tc>
          <w:tcPr>
            <w:tcW w:w="7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Home Equity</w:t>
            </w:r>
          </w:p>
        </w:tc>
        <w:tc>
          <w:tcPr>
            <w:tcW w:w="36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198"/>
        </w:trPr>
        <w:tc>
          <w:tcPr>
            <w:tcW w:w="704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3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20,008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36,609</w:t>
            </w:r>
          </w:p>
        </w:tc>
        <w:tc>
          <w:tcPr>
            <w:tcW w:w="0" w:type="dxa"/>
            <w:vAlign w:val="bottom"/>
          </w:tcPr>
          <w:p>
            <w:pPr>
              <w:spacing w:after="0"/>
              <w:rPr>
                <w:sz w:val="1"/>
                <w:szCs w:val="1"/>
                <w:color w:val="auto"/>
              </w:rPr>
            </w:pPr>
          </w:p>
        </w:tc>
      </w:tr>
      <w:tr>
        <w:trPr>
          <w:trHeight w:val="199"/>
        </w:trPr>
        <w:tc>
          <w:tcPr>
            <w:tcW w:w="7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Construction</w:t>
            </w:r>
          </w:p>
        </w:tc>
        <w:tc>
          <w:tcPr>
            <w:tcW w:w="3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93,913</w:t>
            </w:r>
          </w:p>
        </w:tc>
        <w:tc>
          <w:tcPr>
            <w:tcW w:w="0" w:type="dxa"/>
            <w:vAlign w:val="bottom"/>
          </w:tcPr>
          <w:p>
            <w:pPr>
              <w:spacing w:after="0"/>
              <w:rPr>
                <w:sz w:val="1"/>
                <w:szCs w:val="1"/>
                <w:color w:val="auto"/>
              </w:rPr>
            </w:pPr>
          </w:p>
        </w:tc>
      </w:tr>
      <w:tr>
        <w:trPr>
          <w:trHeight w:val="185"/>
        </w:trPr>
        <w:tc>
          <w:tcPr>
            <w:tcW w:w="7040" w:type="dxa"/>
            <w:vAlign w:val="bottom"/>
          </w:tcPr>
          <w:p>
            <w:pPr>
              <w:ind w:left="140"/>
              <w:spacing w:after="0"/>
              <w:rPr>
                <w:sz w:val="20"/>
                <w:szCs w:val="20"/>
                <w:color w:val="auto"/>
              </w:rPr>
            </w:pPr>
            <w:r>
              <w:rPr>
                <w:rFonts w:ascii="Arial" w:cs="Arial" w:eastAsia="Arial" w:hAnsi="Arial"/>
                <w:sz w:val="14"/>
                <w:szCs w:val="14"/>
                <w:color w:val="auto"/>
              </w:rPr>
              <w:t>Commercial and Industrial</w:t>
            </w:r>
          </w:p>
        </w:tc>
        <w:tc>
          <w:tcPr>
            <w:tcW w:w="3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38,733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45,747</w:t>
            </w:r>
          </w:p>
        </w:tc>
        <w:tc>
          <w:tcPr>
            <w:tcW w:w="0" w:type="dxa"/>
            <w:vAlign w:val="bottom"/>
          </w:tcPr>
          <w:p>
            <w:pPr>
              <w:spacing w:after="0"/>
              <w:rPr>
                <w:sz w:val="1"/>
                <w:szCs w:val="1"/>
                <w:color w:val="auto"/>
              </w:rPr>
            </w:pPr>
          </w:p>
        </w:tc>
      </w:tr>
      <w:tr>
        <w:trPr>
          <w:trHeight w:val="199"/>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Credit card</w:t>
            </w:r>
            <w:r>
              <w:rPr>
                <w:rFonts w:ascii="Arial" w:cs="Arial" w:eastAsia="Arial" w:hAnsi="Arial"/>
                <w:sz w:val="9"/>
                <w:szCs w:val="9"/>
                <w:color w:val="auto"/>
              </w:rPr>
              <w:t>(1)</w:t>
            </w:r>
          </w:p>
        </w:tc>
        <w:tc>
          <w:tcPr>
            <w:tcW w:w="3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120,748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111,227</w:t>
            </w:r>
          </w:p>
        </w:tc>
        <w:tc>
          <w:tcPr>
            <w:tcW w:w="0" w:type="dxa"/>
            <w:vAlign w:val="bottom"/>
          </w:tcPr>
          <w:p>
            <w:pPr>
              <w:spacing w:after="0"/>
              <w:rPr>
                <w:sz w:val="1"/>
                <w:szCs w:val="1"/>
                <w:color w:val="auto"/>
              </w:rPr>
            </w:pPr>
          </w:p>
        </w:tc>
      </w:tr>
      <w:tr>
        <w:trPr>
          <w:trHeight w:val="199"/>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consumer</w:t>
            </w: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2"/>
        </w:trPr>
        <w:tc>
          <w:tcPr>
            <w:tcW w:w="704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Total</w:t>
            </w:r>
          </w:p>
        </w:tc>
        <w:tc>
          <w:tcPr>
            <w:tcW w:w="360" w:type="dxa"/>
            <w:vAlign w:val="bottom"/>
            <w:shd w:val="clear" w:color="auto" w:fill="CCEEFF"/>
          </w:tcPr>
          <w:p>
            <w:pPr>
              <w:jc w:val="right"/>
              <w:ind w:right="189"/>
              <w:spacing w:after="0" w:line="152" w:lineRule="exact"/>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321,354</w:t>
            </w:r>
          </w:p>
        </w:tc>
        <w:tc>
          <w:tcPr>
            <w:tcW w:w="34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345,062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4"/>
        <w:spacing w:after="0" w:line="202" w:lineRule="auto"/>
        <w:tabs>
          <w:tab w:leader="none" w:pos="22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Outstanding loan commitments in the credit card portfolio include $111.5 million and $106.9 million in secured and partially secured balances as of June 30, 2023 and December 31, 2022, respectively.</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2022</w:t>
            </w:r>
          </w:p>
        </w:tc>
      </w:tr>
      <w:tr>
        <w:trPr>
          <w:trHeight w:val="19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3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r>
      <w:tr>
        <w:trPr>
          <w:trHeight w:val="198"/>
        </w:trPr>
        <w:tc>
          <w:tcPr>
            <w:tcW w:w="5100" w:type="dxa"/>
            <w:vAlign w:val="bottom"/>
          </w:tcPr>
          <w:p>
            <w:pPr>
              <w:ind w:left="20"/>
              <w:spacing w:after="0"/>
              <w:rPr>
                <w:sz w:val="20"/>
                <w:szCs w:val="20"/>
                <w:color w:val="auto"/>
              </w:rPr>
            </w:pPr>
            <w:r>
              <w:rPr>
                <w:rFonts w:ascii="Arial" w:cs="Arial" w:eastAsia="Arial" w:hAnsi="Arial"/>
                <w:sz w:val="14"/>
                <w:szCs w:val="14"/>
                <w:color w:val="auto"/>
              </w:rPr>
              <w:t>Impact of adopting the CECL standard on January 1, 2023</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(reversal of) reserve for unfunded commitments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79"/>
        </w:trPr>
        <w:tc>
          <w:tcPr>
            <w:tcW w:w="510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1,631</w:t>
            </w:r>
          </w:p>
        </w:tc>
        <w:tc>
          <w:tcPr>
            <w:tcW w:w="16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b w:val="1"/>
                <w:bCs w:val="1"/>
                <w:color w:val="auto"/>
              </w:rPr>
              <w:t>888</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1,631</w:t>
            </w: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Company maintains a reserve for potential losses on mortgage loans sold, which is reflected in other liabilities, with changes being charged to or released from operating expense. Activity in this reserve is as follows for the periods presented: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4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49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2022</w:t>
            </w: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r>
      <w:tr>
        <w:trPr>
          <w:trHeight w:val="185"/>
        </w:trPr>
        <w:tc>
          <w:tcPr>
            <w:tcW w:w="4980" w:type="dxa"/>
            <w:vAlign w:val="bottom"/>
          </w:tcPr>
          <w:p>
            <w:pPr>
              <w:ind w:left="20"/>
              <w:spacing w:after="0"/>
              <w:rPr>
                <w:sz w:val="20"/>
                <w:szCs w:val="20"/>
                <w:color w:val="auto"/>
              </w:rPr>
            </w:pPr>
            <w:r>
              <w:rPr>
                <w:rFonts w:ascii="Arial" w:cs="Arial" w:eastAsia="Arial" w:hAnsi="Arial"/>
                <w:sz w:val="14"/>
                <w:szCs w:val="14"/>
                <w:color w:val="auto"/>
              </w:rPr>
              <w:t>Provision for mortgage loan put-back reserve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70002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700024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June 30, 2023</w:t>
            </w:r>
          </w:p>
        </w:tc>
        <w:tc>
          <w:tcPr>
            <w:tcW w:w="17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December 31, 2022</w:t>
            </w:r>
          </w:p>
        </w:tc>
      </w:tr>
      <w:tr>
        <w:trPr>
          <w:trHeight w:val="17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open forward sales agreements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940" w:type="dxa"/>
            <w:vAlign w:val="bottom"/>
            <w:shd w:val="clear" w:color="auto" w:fill="CCEEFF"/>
          </w:tcPr>
          <w:p>
            <w:pPr>
              <w:ind w:left="1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Fair value of open forward delivery sales agreements</w:t>
            </w:r>
          </w:p>
        </w:tc>
        <w:tc>
          <w:tcPr>
            <w:tcW w:w="320" w:type="dxa"/>
            <w:vAlign w:val="bottom"/>
          </w:tcPr>
          <w:p>
            <w:pPr>
              <w:spacing w:after="0"/>
              <w:rPr>
                <w:sz w:val="17"/>
                <w:szCs w:val="17"/>
                <w:color w:val="auto"/>
              </w:rPr>
            </w:pPr>
          </w:p>
        </w:tc>
        <w:tc>
          <w:tcPr>
            <w:tcW w:w="1940" w:type="dxa"/>
            <w:vAlign w:val="bottom"/>
          </w:tcPr>
          <w:p>
            <w:pPr>
              <w:ind w:left="1500"/>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interest rate lock commitments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ind w:left="1500"/>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Fair value of interest rate lock commitments</w:t>
            </w:r>
          </w:p>
        </w:tc>
        <w:tc>
          <w:tcPr>
            <w:tcW w:w="320" w:type="dxa"/>
            <w:vAlign w:val="bottom"/>
          </w:tcPr>
          <w:p>
            <w:pPr>
              <w:spacing w:after="0"/>
              <w:rPr>
                <w:sz w:val="17"/>
                <w:szCs w:val="17"/>
                <w:color w:val="auto"/>
              </w:rPr>
            </w:pPr>
          </w:p>
        </w:tc>
        <w:tc>
          <w:tcPr>
            <w:tcW w:w="1940" w:type="dxa"/>
            <w:vAlign w:val="bottom"/>
          </w:tcPr>
          <w:p>
            <w:pPr>
              <w:ind w:left="1500"/>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2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four of its full service branches and three other locations for corporate/administration activities, operations, and loan production. All property leases under lease agreements have been designated as operating leases. The Company does not have leases designated as finance leases.</w:t>
      </w:r>
    </w:p>
    <w:p>
      <w:pPr>
        <w:spacing w:after="0" w:line="19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determines if an arrangement is a lease at inception. Operating lease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3.58% at June 30, 2023 and 1.94% at December 31, 2022.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June 30, 2023, the Company’s net lease ROU assets and related lease liabilities were $4.1 million and $4.3 million, respectively, compared to December 31, 2022 balances of $2.1 million of ROU assets and $2.4 million of lease liabilities, and have remaining terms ranging from one to nine years, including extension options that the Company is reasonably certain will be exercised. As of June 30, 2023, the Company had not entered into any material leases that have not yet commenced. The Company’s lease information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34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34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7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Right of Use Asset: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color w:val="auto"/>
              </w:rPr>
              <w:t>Lease asset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729"/>
              <w:spacing w:after="0"/>
              <w:rPr>
                <w:sz w:val="20"/>
                <w:szCs w:val="20"/>
                <w:color w:val="auto"/>
              </w:rPr>
            </w:pPr>
            <w:r>
              <w:rPr>
                <w:rFonts w:ascii="Arial" w:cs="Arial" w:eastAsia="Arial" w:hAnsi="Arial"/>
                <w:sz w:val="14"/>
                <w:szCs w:val="14"/>
                <w:b w:val="1"/>
                <w:bCs w:val="1"/>
                <w:color w:val="auto"/>
              </w:rPr>
              <w:t>7,229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99"/>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Less: Accumulated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b w:val="1"/>
                <w:bCs w:val="1"/>
                <w:color w:val="auto"/>
              </w:rPr>
              <w:t>(3,179)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165"/>
        </w:trPr>
        <w:tc>
          <w:tcPr>
            <w:tcW w:w="7940" w:type="dxa"/>
            <w:vAlign w:val="bottom"/>
          </w:tcPr>
          <w:p>
            <w:pPr>
              <w:ind w:left="20"/>
              <w:spacing w:after="0"/>
              <w:rPr>
                <w:sz w:val="20"/>
                <w:szCs w:val="20"/>
                <w:color w:val="auto"/>
              </w:rPr>
            </w:pPr>
            <w:r>
              <w:rPr>
                <w:rFonts w:ascii="Arial" w:cs="Arial" w:eastAsia="Arial" w:hAnsi="Arial"/>
                <w:sz w:val="14"/>
                <w:szCs w:val="14"/>
                <w:color w:val="auto"/>
              </w:rPr>
              <w:t>Net lease asset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729"/>
              <w:spacing w:after="0"/>
              <w:rPr>
                <w:sz w:val="20"/>
                <w:szCs w:val="20"/>
                <w:color w:val="auto"/>
              </w:rPr>
            </w:pPr>
            <w:r>
              <w:rPr>
                <w:rFonts w:ascii="Arial" w:cs="Arial" w:eastAsia="Arial" w:hAnsi="Arial"/>
                <w:sz w:val="14"/>
                <w:szCs w:val="14"/>
                <w:b w:val="1"/>
                <w:bCs w:val="1"/>
                <w:color w:val="auto"/>
              </w:rPr>
              <w:t>4,050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7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Lease Liability:</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center"/>
              <w:ind w:left="709"/>
              <w:spacing w:after="0"/>
              <w:rPr>
                <w:sz w:val="20"/>
                <w:szCs w:val="20"/>
                <w:color w:val="auto"/>
              </w:rPr>
            </w:pPr>
            <w:r>
              <w:rPr>
                <w:rFonts w:ascii="Arial" w:cs="Arial" w:eastAsia="Arial" w:hAnsi="Arial"/>
                <w:sz w:val="14"/>
                <w:szCs w:val="14"/>
                <w:b w:val="1"/>
                <w:bCs w:val="1"/>
                <w:color w:val="auto"/>
              </w:rPr>
              <w:t>(7,379)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r>
      <w:tr>
        <w:trPr>
          <w:trHeight w:val="199"/>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Accumulated amortization</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729"/>
              <w:spacing w:after="0"/>
              <w:rPr>
                <w:sz w:val="20"/>
                <w:szCs w:val="20"/>
                <w:color w:val="auto"/>
              </w:rPr>
            </w:pPr>
            <w:r>
              <w:rPr>
                <w:rFonts w:ascii="Arial" w:cs="Arial" w:eastAsia="Arial" w:hAnsi="Arial"/>
                <w:sz w:val="14"/>
                <w:szCs w:val="14"/>
                <w:b w:val="1"/>
                <w:bCs w:val="1"/>
                <w:color w:val="auto"/>
              </w:rPr>
              <w:t>3,102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lease liability</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center"/>
              <w:ind w:left="709"/>
              <w:spacing w:after="0"/>
              <w:rPr>
                <w:sz w:val="20"/>
                <w:szCs w:val="20"/>
                <w:color w:val="auto"/>
              </w:rPr>
            </w:pPr>
            <w:r>
              <w:rPr>
                <w:rFonts w:ascii="Arial" w:cs="Arial" w:eastAsia="Arial" w:hAnsi="Arial"/>
                <w:sz w:val="14"/>
                <w:szCs w:val="14"/>
                <w:b w:val="1"/>
                <w:bCs w:val="1"/>
                <w:color w:val="auto"/>
              </w:rPr>
              <w:t>(4,277)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June 30, 2023</w:t>
            </w:r>
          </w:p>
        </w:tc>
      </w:tr>
      <w:tr>
        <w:trPr>
          <w:trHeight w:val="17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due in:</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3"/>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3"/>
        </w:trPr>
        <w:tc>
          <w:tcPr>
            <w:tcW w:w="9260" w:type="dxa"/>
            <w:vAlign w:val="bottom"/>
          </w:tcPr>
          <w:p>
            <w:pPr>
              <w:ind w:left="20"/>
              <w:spacing w:after="0"/>
              <w:rPr>
                <w:sz w:val="20"/>
                <w:szCs w:val="20"/>
                <w:color w:val="auto"/>
              </w:rPr>
            </w:pPr>
            <w:r>
              <w:rPr>
                <w:rFonts w:ascii="Arial" w:cs="Arial" w:eastAsia="Arial" w:hAnsi="Arial"/>
                <w:sz w:val="14"/>
                <w:szCs w:val="14"/>
                <w:color w:val="auto"/>
              </w:rPr>
              <w:t>2025</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4"/>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9260" w:type="dxa"/>
            <w:vAlign w:val="bottom"/>
          </w:tcPr>
          <w:p>
            <w:pPr>
              <w:ind w:left="20"/>
              <w:spacing w:after="0"/>
              <w:rPr>
                <w:sz w:val="20"/>
                <w:szCs w:val="20"/>
                <w:color w:val="auto"/>
              </w:rPr>
            </w:pPr>
            <w:r>
              <w:rPr>
                <w:rFonts w:ascii="Arial" w:cs="Arial" w:eastAsia="Arial" w:hAnsi="Arial"/>
                <w:sz w:val="14"/>
                <w:szCs w:val="14"/>
                <w:color w:val="auto"/>
              </w:rPr>
              <w:t>2027 and thereafter</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2"/>
        </w:trPr>
        <w:tc>
          <w:tcPr>
            <w:tcW w:w="9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future lease payments</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color w:val="auto"/>
              </w:rPr>
              <w:t>Discount of cash flows</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17"/>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Present value of net future lease payments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2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88"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 This also includes certain U.S. Treasury and other U.S. Government and government agency securities actively traded in over-the-counter markets;</w:t>
      </w:r>
    </w:p>
    <w:p>
      <w:pPr>
        <w:spacing w:after="0" w:line="179"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1 or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-180340</wp:posOffset>
            </wp:positionV>
            <wp:extent cx="65455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65455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379"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190"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June 30, 2023 and December 31, 2022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60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3"/>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6040" w:type="dxa"/>
            <w:vAlign w:val="bottom"/>
            <w:gridSpan w:val="3"/>
            <w:shd w:val="clear" w:color="auto" w:fill="CCEEFF"/>
          </w:tcPr>
          <w:p>
            <w:pPr>
              <w:spacing w:after="0" w:line="160" w:lineRule="exact"/>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156,146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156,146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r>
      <w:tr>
        <w:trPr>
          <w:trHeight w:val="199"/>
        </w:trPr>
        <w:tc>
          <w:tcPr>
            <w:tcW w:w="2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6040" w:type="dxa"/>
            <w:vAlign w:val="bottom"/>
            <w:tcBorders>
              <w:bottom w:val="single" w:sz="8" w:color="CCEEFF"/>
            </w:tcBorders>
            <w:gridSpan w:val="3"/>
            <w:shd w:val="clear" w:color="auto" w:fill="CCEEFF"/>
          </w:tcPr>
          <w:p>
            <w:pPr>
              <w:ind w:left="200"/>
              <w:spacing w:after="0" w:line="152"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line="15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208,464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b w:val="1"/>
                <w:bCs w:val="1"/>
                <w:color w:val="auto"/>
              </w:rPr>
              <w:t>156,146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52,318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gridSpan w:val="3"/>
          </w:tcPr>
          <w:p>
            <w:pPr>
              <w:spacing w:after="0" w:line="132" w:lineRule="exact"/>
              <w:rPr>
                <w:sz w:val="20"/>
                <w:szCs w:val="20"/>
                <w:color w:val="auto"/>
              </w:rPr>
            </w:pPr>
            <w:r>
              <w:rPr>
                <w:rFonts w:ascii="Arial" w:cs="Arial" w:eastAsia="Arial" w:hAnsi="Arial"/>
                <w:sz w:val="14"/>
                <w:szCs w:val="14"/>
                <w:color w:val="auto"/>
              </w:rPr>
              <w:t>Derivative liabilities</w:t>
            </w:r>
          </w:p>
        </w:tc>
        <w:tc>
          <w:tcPr>
            <w:tcW w:w="260" w:type="dxa"/>
            <w:vAlign w:val="bottom"/>
            <w:tcBorders>
              <w:top w:val="single" w:sz="8" w:color="auto"/>
              <w:bottom w:val="single" w:sz="8" w:color="auto"/>
            </w:tcBorders>
          </w:tcPr>
          <w:p>
            <w:pPr>
              <w:jc w:val="right"/>
              <w:ind w:right="89"/>
              <w:spacing w:after="0" w:line="132"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line="13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2022</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199,449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199,449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1"/>
        </w:trPr>
        <w:tc>
          <w:tcPr>
            <w:tcW w:w="20" w:type="dxa"/>
            <w:vAlign w:val="bottom"/>
            <w:shd w:val="clear" w:color="auto" w:fill="CCEEFF"/>
          </w:tcPr>
          <w:p>
            <w:pPr>
              <w:spacing w:after="0"/>
              <w:rPr>
                <w:sz w:val="20"/>
                <w:szCs w:val="20"/>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r>
      <w:tr>
        <w:trPr>
          <w:trHeight w:val="199"/>
        </w:trPr>
        <w:tc>
          <w:tcPr>
            <w:tcW w:w="2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040" w:type="dxa"/>
            <w:vAlign w:val="bottom"/>
            <w:tcBorders>
              <w:bottom w:val="single" w:sz="8" w:color="CCEEFF"/>
            </w:tcBorders>
            <w:gridSpan w:val="3"/>
            <w:shd w:val="clear" w:color="auto" w:fill="CCEEFF"/>
          </w:tcPr>
          <w:p>
            <w:pPr>
              <w:ind w:left="200"/>
              <w:spacing w:after="0" w:line="152"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252,481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color w:val="auto"/>
              </w:rPr>
              <w:t>199,449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53,032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liabilities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2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-180340</wp:posOffset>
            </wp:positionV>
            <wp:extent cx="65455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65455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Company is contractually entitled to receive at maturity:</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December 31, 2022</w:t>
            </w:r>
          </w:p>
        </w:tc>
      </w:tr>
      <w:tr>
        <w:trPr>
          <w:trHeight w:val="17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10,146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7,416</w:t>
            </w:r>
          </w:p>
        </w:tc>
      </w:tr>
      <w:tr>
        <w:trPr>
          <w:trHeight w:val="19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8,928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6,808</w:t>
            </w:r>
          </w:p>
        </w:tc>
      </w:tr>
      <w:tr>
        <w:trPr>
          <w:trHeight w:val="21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June 30, 2023 and December 31, 2022, there were no held for sale loans which were classified as nonaccrual.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1"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i w:val="1"/>
          <w:iCs w:val="1"/>
          <w:color w:val="auto"/>
        </w:rPr>
        <w:t xml:space="preserve">Individually evaluated loans </w:t>
      </w:r>
      <w:r>
        <w:rPr>
          <w:rFonts w:ascii="Arial" w:cs="Arial" w:eastAsia="Arial" w:hAnsi="Arial"/>
          <w:sz w:val="18"/>
          <w:szCs w:val="18"/>
          <w:color w:val="auto"/>
        </w:rPr>
        <w:t>- The Company has measured expected credit losses based on the fair value of the loan's collateral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cash flow analysis, where appropriate. Fair value of the collateral is generally determined based upon independent third-party appraisals of the properties, or discounted cash flows based upon the expected proceeds. These assets are included as Level 3 fair values. As of June 30, 2023 and December 31, 2022, the fair values consist of loan receivables of $15.7 million and $9.4 million, with specific reserves of $267 thousand and $372 thousand, respectively.</w:t>
      </w:r>
    </w:p>
    <w:p>
      <w:pPr>
        <w:spacing w:after="0" w:line="185"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is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offers and/or appraisals. Cost to sell the real estate is based on standard market factors. The Company categorizes its foreclosed real estate as Level 3. As of June 30, 2023 and December 31, 2022, there was no foreclosed real estate held by the Company.</w:t>
      </w:r>
    </w:p>
    <w:p>
      <w:pPr>
        <w:spacing w:after="0" w:line="18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The Company has categorized its financial instruments measured at fair value on a nonrecurring basis as of June 30, 2023 and December 31, 2022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8"/>
                <w:szCs w:val="18"/>
                <w:color w:val="auto"/>
              </w:rPr>
            </w:pPr>
          </w:p>
        </w:tc>
        <w:tc>
          <w:tcPr>
            <w:tcW w:w="19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Individually evaluated loans for credit loss, net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4"/>
                <w:szCs w:val="14"/>
                <w:color w:val="auto"/>
              </w:rPr>
              <w:t>Level 3 inputs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15,432</w:t>
            </w:r>
          </w:p>
        </w:tc>
        <w:tc>
          <w:tcPr>
            <w:tcW w:w="120" w:type="dxa"/>
            <w:vAlign w:val="bottom"/>
          </w:tcPr>
          <w:p>
            <w:pPr>
              <w:spacing w:after="0"/>
              <w:rPr>
                <w:sz w:val="19"/>
                <w:szCs w:val="19"/>
                <w:color w:val="auto"/>
              </w:rPr>
            </w:pPr>
          </w:p>
        </w:tc>
        <w:tc>
          <w:tcPr>
            <w:tcW w:w="1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9,021</w:t>
            </w:r>
          </w:p>
        </w:tc>
      </w:tr>
      <w:tr>
        <w:trPr>
          <w:trHeight w:val="212"/>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15,432</w:t>
            </w:r>
          </w:p>
        </w:tc>
        <w:tc>
          <w:tcPr>
            <w:tcW w:w="21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9,021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describing the unobservable inputs used in Level 3 fair value measurements at June 30, 2023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Unobservable Inputs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2240" w:type="dxa"/>
            <w:vAlign w:val="bottom"/>
            <w:tcBorders>
              <w:bottom w:val="single" w:sz="8" w:color="CCEEFF"/>
            </w:tcBorders>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17"/>
                <w:szCs w:val="17"/>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Unobservable Inputs</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rPr>
              <w:t>Range of Inputs</w:t>
            </w:r>
          </w:p>
        </w:tc>
      </w:tr>
      <w:tr>
        <w:trPr>
          <w:trHeight w:val="147"/>
        </w:trPr>
        <w:tc>
          <w:tcPr>
            <w:tcW w:w="22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Discounts to appraisals or cash flows for estimated holding</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2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Appraised Value/Discounted Cash Flows</w:t>
            </w:r>
          </w:p>
        </w:tc>
        <w:tc>
          <w:tcPr>
            <w:tcW w:w="120" w:type="dxa"/>
            <w:vAlign w:val="bottom"/>
            <w:shd w:val="clear" w:color="auto" w:fill="CCEEFF"/>
          </w:tcPr>
          <w:p>
            <w:pPr>
              <w:spacing w:after="0"/>
              <w:rPr>
                <w:sz w:val="15"/>
                <w:szCs w:val="15"/>
                <w:color w:val="auto"/>
              </w:rPr>
            </w:pPr>
          </w:p>
        </w:tc>
        <w:tc>
          <w:tcPr>
            <w:tcW w:w="4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and/or selling costs</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rPr>
              <w:t>0 to 25%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-180340</wp:posOffset>
            </wp:positionV>
            <wp:extent cx="65455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65455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that convey or impose on an entity the contractual right or obligation to either receive or deliver cash for another financial instrument.</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9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investments includes equity of the Federal Reserve and other banker’s banks.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noninterest-bearing deposits and securities sold under agreements to repurchase is the carrying amount.</w:t>
      </w:r>
    </w:p>
    <w:p>
      <w:pPr>
        <w:spacing w:after="0" w:line="217"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5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-180340</wp:posOffset>
            </wp:positionV>
            <wp:extent cx="65455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65455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4558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b w:val="1"/>
                <w:bCs w:val="1"/>
                <w:color w:val="auto"/>
              </w:rPr>
              <w:t>December 31, 2022</w:t>
            </w:r>
          </w:p>
        </w:tc>
      </w:tr>
      <w:tr>
        <w:trPr>
          <w:trHeight w:val="179"/>
        </w:trPr>
        <w:tc>
          <w:tcPr>
            <w:tcW w:w="53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Carrying Amount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Fair Value</w:t>
            </w:r>
          </w:p>
        </w:tc>
      </w:tr>
      <w:tr>
        <w:trPr>
          <w:trHeight w:val="20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18,619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19,963</w:t>
            </w:r>
          </w:p>
        </w:tc>
      </w:tr>
      <w:tr>
        <w:trPr>
          <w:trHeight w:val="198"/>
        </w:trPr>
        <w:tc>
          <w:tcPr>
            <w:tcW w:w="5380" w:type="dxa"/>
            <w:vAlign w:val="bottom"/>
          </w:tcPr>
          <w:p>
            <w:pPr>
              <w:ind w:left="180"/>
              <w:spacing w:after="0"/>
              <w:rPr>
                <w:sz w:val="20"/>
                <w:szCs w:val="20"/>
                <w:color w:val="auto"/>
              </w:rPr>
            </w:pPr>
            <w:r>
              <w:rPr>
                <w:rFonts w:ascii="Arial" w:cs="Arial" w:eastAsia="Arial" w:hAnsi="Arial"/>
                <w:sz w:val="14"/>
                <w:szCs w:val="14"/>
                <w:color w:val="auto"/>
              </w:rPr>
              <w:t>Interest-bearing deposits at other financial institutions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100,343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100,343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39,764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39,764</w:t>
            </w:r>
          </w:p>
        </w:tc>
      </w:tr>
      <w:tr>
        <w:trPr>
          <w:trHeight w:val="18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20,688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20,688</w:t>
            </w:r>
          </w:p>
        </w:tc>
      </w:tr>
      <w:tr>
        <w:trPr>
          <w:trHeight w:val="193"/>
        </w:trPr>
        <w:tc>
          <w:tcPr>
            <w:tcW w:w="5380" w:type="dxa"/>
            <w:vAlign w:val="bottom"/>
          </w:tcPr>
          <w:p>
            <w:pPr>
              <w:ind w:left="2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5380" w:type="dxa"/>
            <w:vAlign w:val="bottom"/>
            <w:shd w:val="clear" w:color="auto" w:fill="CCEEFF"/>
          </w:tcPr>
          <w:p>
            <w:pPr>
              <w:ind w:left="180"/>
              <w:spacing w:after="0" w:line="204" w:lineRule="exact"/>
              <w:rPr>
                <w:sz w:val="20"/>
                <w:szCs w:val="20"/>
                <w:color w:val="auto"/>
              </w:rPr>
            </w:pPr>
            <w:r>
              <w:rPr>
                <w:rFonts w:ascii="Arial" w:cs="Arial" w:eastAsia="Arial" w:hAnsi="Arial"/>
                <w:sz w:val="14"/>
                <w:szCs w:val="14"/>
                <w:color w:val="auto"/>
              </w:rPr>
              <w:t xml:space="preserve">Portfolio loans receivable, net </w:t>
            </w:r>
            <w:r>
              <w:rPr>
                <w:rFonts w:ascii="Arial" w:cs="Arial" w:eastAsia="Arial" w:hAnsi="Arial"/>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1,810,636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1,800,999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1,704,370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1,659,283</w:t>
            </w:r>
          </w:p>
        </w:tc>
      </w:tr>
      <w:tr>
        <w:trPr>
          <w:trHeight w:val="198"/>
        </w:trPr>
        <w:tc>
          <w:tcPr>
            <w:tcW w:w="538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3,803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7,362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7,362</w:t>
            </w:r>
          </w:p>
        </w:tc>
      </w:tr>
      <w:tr>
        <w:trPr>
          <w:trHeight w:val="212"/>
        </w:trPr>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8"/>
        </w:trPr>
        <w:tc>
          <w:tcPr>
            <w:tcW w:w="5380" w:type="dxa"/>
            <w:vAlign w:val="bottom"/>
          </w:tcPr>
          <w:p>
            <w:pPr>
              <w:ind w:left="180"/>
              <w:spacing w:after="0"/>
              <w:rPr>
                <w:sz w:val="20"/>
                <w:szCs w:val="20"/>
                <w:color w:val="auto"/>
              </w:rPr>
            </w:pPr>
            <w:r>
              <w:rPr>
                <w:rFonts w:ascii="Arial" w:cs="Arial" w:eastAsia="Arial" w:hAnsi="Arial"/>
                <w:sz w:val="14"/>
                <w:szCs w:val="14"/>
                <w:color w:val="auto"/>
              </w:rPr>
              <w:t>Noninterest-bearing deposits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693,129</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693,161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674,313</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674,313</w:t>
            </w:r>
          </w:p>
        </w:tc>
      </w:tr>
      <w:tr>
        <w:trPr>
          <w:trHeight w:val="19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3</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6"/>
        </w:trPr>
        <w:tc>
          <w:tcPr>
            <w:tcW w:w="5380" w:type="dxa"/>
            <w:vAlign w:val="bottom"/>
          </w:tcPr>
          <w:p>
            <w:pPr>
              <w:ind w:left="180"/>
              <w:spacing w:after="0"/>
              <w:rPr>
                <w:sz w:val="20"/>
                <w:szCs w:val="20"/>
                <w:color w:val="auto"/>
              </w:rPr>
            </w:pPr>
            <w:r>
              <w:rPr>
                <w:rFonts w:ascii="Arial" w:cs="Arial" w:eastAsia="Arial" w:hAnsi="Arial"/>
                <w:sz w:val="14"/>
                <w:szCs w:val="14"/>
                <w:color w:val="auto"/>
              </w:rPr>
              <w:t>Interest-bearing deposits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1,241,232</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1,248,404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1,083,759</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1,090,553</w:t>
            </w:r>
          </w:p>
        </w:tc>
      </w:tr>
      <w:tr>
        <w:trPr>
          <w:trHeight w:val="199"/>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116,544</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193" w:lineRule="auto"/>
        <w:tabs>
          <w:tab w:leader="none" w:pos="22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14" w:right="359" w:bottom="1440" w:gutter="0" w:footer="0" w:header="0"/>
        </w:sectPr>
      </w:pPr>
    </w:p>
    <w:bookmarkStart w:id="37" w:name="page38"/>
    <w:bookmarkEnd w:id="37"/>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70002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70002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June 30,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 30, 2023</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CBHL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Bank</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9,537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9,740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credit losses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1,161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6,687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29,592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5,696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2,047,400</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10,605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116,123</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260,309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(206,571)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2,227,866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b w:val="1"/>
                <w:bCs w:val="1"/>
                <w:color w:val="auto"/>
              </w:rPr>
              <w:t>For the Three Months Ended June 30,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36,556</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5,627</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(521)</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9,015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476</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1,958,893</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12,257</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137,180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226,950</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(180,434)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2,154,846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70002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70002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Borders>
              <w:bottom w:val="single" w:sz="8" w:color="CCEEFF"/>
            </w:tcBorders>
          </w:tcPr>
          <w:p>
            <w:pPr>
              <w:spacing w:after="0"/>
              <w:rPr>
                <w:sz w:val="3"/>
                <w:szCs w:val="3"/>
                <w:color w:val="auto"/>
              </w:rPr>
            </w:pPr>
          </w:p>
        </w:tc>
        <w:tc>
          <w:tcPr>
            <w:tcW w:w="27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Six Months Ended June 30, 2023</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CCEEFF"/>
            </w:tcBorders>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Commercial</w:t>
            </w:r>
          </w:p>
        </w:tc>
        <w:tc>
          <w:tcPr>
            <w:tcW w:w="26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vMerge w:val="restart"/>
          </w:tcPr>
          <w:p>
            <w:pPr>
              <w:jc w:val="right"/>
              <w:ind w:right="348"/>
              <w:spacing w:after="0"/>
              <w:rPr>
                <w:sz w:val="20"/>
                <w:szCs w:val="20"/>
                <w:color w:val="auto"/>
              </w:rPr>
            </w:pPr>
            <w:r>
              <w:rPr>
                <w:rFonts w:ascii="Arial" w:cs="Arial" w:eastAsia="Arial" w:hAnsi="Arial"/>
                <w:sz w:val="14"/>
                <w:szCs w:val="14"/>
                <w:b w:val="1"/>
                <w:bCs w:val="1"/>
                <w:color w:val="auto"/>
              </w:rPr>
              <w:t>CBHL</w:t>
            </w: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vMerge w:val="restart"/>
          </w:tcPr>
          <w:p>
            <w:pPr>
              <w:jc w:val="right"/>
              <w:ind w:right="189"/>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vMerge w:val="restart"/>
          </w:tcPr>
          <w:p>
            <w:pPr>
              <w:jc w:val="right"/>
              <w:ind w:right="149"/>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vMerge w:val="restart"/>
          </w:tcPr>
          <w:p>
            <w:pPr>
              <w:jc w:val="right"/>
              <w:ind w:right="189"/>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vMerge w:val="restart"/>
          </w:tcPr>
          <w:p>
            <w:pPr>
              <w:jc w:val="right"/>
              <w:ind w:right="16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Bank</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55,042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31,298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18,276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18,669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69,827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(release of provision) for credit losses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4,522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2,488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8,924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12,713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(3)</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21,509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55,795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6,593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14,765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2,047,400</w:t>
            </w:r>
          </w:p>
        </w:tc>
        <w:tc>
          <w:tcPr>
            <w:tcW w:w="10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10,605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116,123</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260,309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(206,571)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2,227,866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Six Months Ended June 30, 2022</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70,957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Provision for credit losses</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31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16,650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r>
              <w:rPr>
                <w:rFonts w:ascii="Arial" w:cs="Arial" w:eastAsia="Arial" w:hAnsi="Arial"/>
                <w:sz w:val="9"/>
                <w:szCs w:val="9"/>
                <w:color w:val="auto"/>
              </w:rPr>
              <w:t>(3)</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54,232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(783)</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16,045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1,132</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28,162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1,958,893</w:t>
            </w:r>
          </w:p>
        </w:tc>
        <w:tc>
          <w:tcPr>
            <w:tcW w:w="10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12,257</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137,180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226,950</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(180,434)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2,154,846</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________________________</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7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$5.9 million and $6.7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three months ended June 30, 2023 and 2022, respectively.</w:t>
      </w:r>
    </w:p>
    <w:p>
      <w:pPr>
        <w:ind w:left="200" w:hanging="194"/>
        <w:spacing w:after="0" w:line="190" w:lineRule="auto"/>
        <w:tabs>
          <w:tab w:leader="none" w:pos="20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ind w:left="240" w:hanging="234"/>
        <w:spacing w:after="0"/>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$11.9 million and $14.3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“forecast,” “could,” “project,” “seek,” “should,” “will,” or “would,” or the negative of these words and phrases or similar words and phrases.</w:t>
      </w:r>
    </w:p>
    <w:p>
      <w:pPr>
        <w:spacing w:after="0" w:line="19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27" w:lineRule="exact"/>
        <w:rPr>
          <w:sz w:val="20"/>
          <w:szCs w:val="20"/>
          <w:color w:val="auto"/>
        </w:rPr>
      </w:pPr>
    </w:p>
    <w:p>
      <w:pPr>
        <w:ind w:left="640" w:hanging="316"/>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conditions (including the interest rate environment, government economic and monetary policies, the strength of global financial markets and inflation/deflation) that impact the financial services industry as a whole and/or our business;</w:t>
      </w:r>
    </w:p>
    <w:p>
      <w:pPr>
        <w:spacing w:after="0" w:line="125"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adverse developments in the banking industry highlighted by high-profile bank failures and the potential impact of such developments on customer confidence, liquidity, and regulatory responses to these developments;</w:t>
      </w:r>
    </w:p>
    <w:p>
      <w:pPr>
        <w:spacing w:after="0" w:line="125"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25"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interest-bearing liabilities to changes in interest rates, and the impact to our earnings from changes in interest rates;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27"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4"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25"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reserves, including our allowance for credit losses;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0" w:name="page41"/>
    <w:bookmarkEnd w:id="40"/>
    <w:p>
      <w:pPr>
        <w:ind w:left="320" w:hanging="316"/>
        <w:spacing w:after="0" w:line="230"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division, including compliance with applicable consumer finance and fraud prevention regulations;</w:t>
      </w:r>
    </w:p>
    <w:p>
      <w:pPr>
        <w:spacing w:after="0" w:line="148"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credit losses or to write-down assets;</w:t>
      </w:r>
    </w:p>
    <w:p>
      <w:pPr>
        <w:spacing w:after="0" w:line="125"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25"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operations risks associated with our business;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important customer deposit relationships and our reputation;</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4"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25"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64"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25"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4"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transition away from USD London Interbank Offering Rate (“LIBOR”) and related uncertainty and costs regarding migration to potential alternative reference rates, including the Secured Overnight Financing Rate (“SOFR”);</w:t>
      </w:r>
    </w:p>
    <w:p>
      <w:pPr>
        <w:spacing w:after="0" w:line="125"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64" w:lineRule="exact"/>
        <w:rPr>
          <w:rFonts w:ascii="Arial" w:cs="Arial" w:eastAsia="Arial" w:hAnsi="Arial"/>
          <w:sz w:val="18"/>
          <w:szCs w:val="18"/>
          <w:color w:val="auto"/>
        </w:rPr>
      </w:pPr>
    </w:p>
    <w:p>
      <w:pPr>
        <w:ind w:left="320" w:hanging="316"/>
        <w:spacing w:after="0" w:line="26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25" w:lineRule="exact"/>
        <w:rPr>
          <w:rFonts w:ascii="Arial" w:cs="Arial" w:eastAsia="Arial" w:hAnsi="Arial"/>
          <w:sz w:val="18"/>
          <w:szCs w:val="18"/>
          <w:color w:val="auto"/>
        </w:rPr>
      </w:pPr>
    </w:p>
    <w:p>
      <w:pPr>
        <w:ind w:left="320" w:hanging="316"/>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259715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392" w:right="339" w:bottom="1440" w:gutter="0" w:footer="0" w:header="0"/>
        </w:sectPr>
      </w:pPr>
    </w:p>
    <w:bookmarkStart w:id="41" w:name="page42"/>
    <w:bookmarkEnd w:id="41"/>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climate change, including the enhanced regulatory, compliance, credit and reputational risks and costs; and</w:t>
      </w:r>
    </w:p>
    <w:p>
      <w:pPr>
        <w:spacing w:after="0" w:line="164"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events, and other matters beyond our control.</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2022 and those referenced herein and in other reports on file with the SEC.</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accounting and reporting policies of the Company are in accordance with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spacing w:after="0" w:line="1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Annual Report on Form 10-K for the year ended December 31, 2022.</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critical accounting and reporting policies include the Company’s accounting for the ACL. The Company provides additional information on its ACL in Note 1 “Significant Accounting Policies” within Part I, Item 1 of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Capital Bancorp, Inc., a bank holding company and a Maryland corporation incorporated in 1998, operating primarily through our wholly owned subsidiary, Capital Bank, N.A., a commercial-focused community bank based in Washington D.C. and Baltimore metropolitan areas. The Bank is headquartered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in Rockville, Maryland and received its charter in 1999 and began operations in 1999. We serve businesses, not-for-profit associations and entrepreneurs throughout the Washington, D.C. and Baltimore, Maryland metropolitan areas through four commercial bank branches, one mortgage office, and two loan production offices.</w:t>
      </w:r>
    </w:p>
    <w:p>
      <w:pPr>
        <w:spacing w:after="0" w:line="18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The Company currently operates three divisions: Commercial Banking, Capital Bank Home Loans, and OpenSky</w:t>
      </w:r>
      <w:r>
        <w:rPr>
          <w:rFonts w:ascii="Arial" w:cs="Arial" w:eastAsia="Arial" w:hAnsi="Arial"/>
          <w:sz w:val="22"/>
          <w:szCs w:val="22"/>
          <w:color w:val="auto"/>
          <w:vertAlign w:val="superscript"/>
        </w:rPr>
        <w:t>®</w:t>
      </w:r>
      <w:r>
        <w:rPr>
          <w:rFonts w:ascii="Arial" w:cs="Arial" w:eastAsia="Arial" w:hAnsi="Arial"/>
          <w:sz w:val="18"/>
          <w:szCs w:val="18"/>
          <w:color w:val="auto"/>
        </w:rPr>
        <w:t>. 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GAAP, and conform to general practices within the banking industry.</w:t>
      </w:r>
    </w:p>
    <w:p>
      <w:pPr>
        <w:spacing w:after="0" w:line="20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 primarily in the Washington, D.C. and Baltimore metropolitan areas.</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circumstances, for the Bank’s loan portfolio.</w:t>
      </w:r>
    </w:p>
    <w:p>
      <w:pPr>
        <w:spacing w:after="0" w:line="173"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partially secured and unsecured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For the secured credit card, a deposit equal to the full credit limit of the card is made, upon account opening, into a noninterest-bearing demand account with the Bank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supplementary to their secured line of credit.</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June 30, 2023, the Bank was in compliance with all applicable regulatory capital requirements to which it was subject, and the Bank was classified as “well capitalized” for purposes of the prompt corrective action regulations. There are no conditions or events since that notification that management believes would change the Bank’s classification. We closely monitor our capital position and intend to take appropriate steps to ensure that our level of capital remains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66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7"/>
                <w:szCs w:val="17"/>
                <w:color w:val="auto"/>
              </w:rPr>
            </w:pPr>
          </w:p>
        </w:tc>
      </w:tr>
      <w:tr>
        <w:trPr>
          <w:trHeight w:val="179"/>
        </w:trPr>
        <w:tc>
          <w:tcPr>
            <w:tcW w:w="66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 Change</w:t>
            </w:r>
          </w:p>
        </w:tc>
      </w:tr>
      <w:tr>
        <w:trPr>
          <w:trHeight w:val="131"/>
        </w:trPr>
        <w:tc>
          <w:tcPr>
            <w:tcW w:w="66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1"/>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9,740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742.6</w:t>
            </w:r>
          </w:p>
        </w:tc>
      </w:tr>
      <w:tr>
        <w:trPr>
          <w:trHeight w:val="20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35,340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credit losses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40.6</w:t>
            </w:r>
          </w:p>
        </w:tc>
      </w:tr>
      <w:tr>
        <w:trPr>
          <w:trHeight w:val="20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666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6,687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5"/>
        </w:trPr>
        <w:tc>
          <w:tcPr>
            <w:tcW w:w="6660" w:type="dxa"/>
            <w:vAlign w:val="bottom"/>
          </w:tcPr>
          <w:p>
            <w:pPr>
              <w:ind w:left="220"/>
              <w:spacing w:after="0"/>
              <w:rPr>
                <w:sz w:val="20"/>
                <w:szCs w:val="20"/>
                <w:color w:val="auto"/>
              </w:rPr>
            </w:pPr>
            <w:r>
              <w:rPr>
                <w:rFonts w:ascii="Arial" w:cs="Arial" w:eastAsia="Arial" w:hAnsi="Arial"/>
                <w:sz w:val="16"/>
                <w:szCs w:val="16"/>
                <w:b w:val="1"/>
                <w:bCs w:val="1"/>
                <w:color w:val="auto"/>
              </w:rPr>
              <w:t>Net income before income taxes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9,573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05"/>
        </w:trPr>
        <w:tc>
          <w:tcPr>
            <w:tcW w:w="6660" w:type="dxa"/>
            <w:vAlign w:val="bottom"/>
          </w:tcPr>
          <w:p>
            <w:pPr>
              <w:ind w:left="2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Pr>
          <w:p>
            <w:pPr>
              <w:jc w:val="right"/>
              <w:ind w:right="743"/>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7,318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11,508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0"/>
        </w:trPr>
        <w:tc>
          <w:tcPr>
            <w:tcW w:w="6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Net income for the three months ended June 30, 2023 was $7.3 million, compared to net income of $11.5 million for the same period in 2022, a 36.4% decrease. Net interest income decreased slightly by $0.1 million, or 0.2%, to $35.4 million when comparing the three months ended June 30, 2023 to the three months ended June 30, 2022, primarily due to significant increases in the cost of funding, partially offset by increased average balances of $268.1 million in portfolio loans combined with a 64 basis point increase in yield for portfolio loans.</w:t>
      </w:r>
    </w:p>
    <w:p>
      <w:pPr>
        <w:spacing w:after="0" w:line="19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provision for credit losses for the three months ended June 30, 2023 was $2.9 million, an increase of $0.8 million, or 40.6% from the same period in 2022. Contributors to the increase in the provision were loan growth and change in credit card mix from fully secured to partially or fully unsecured.</w:t>
      </w:r>
    </w:p>
    <w:p>
      <w:pPr>
        <w:spacing w:after="0" w:line="18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For the quarter ended June 30, 2023, noninterest income was $6.7 million, a decrease of $1.7 million, or 20.0%, from $8.4 million in the prior year quarter. Credit card fees declined by $1.5 million as the number of open customer accounts declined year over year, which resulted in lower interchange and other fee income compared to the prior year quarter.</w:t>
      </w:r>
    </w:p>
    <w:p>
      <w:pPr>
        <w:spacing w:after="0" w:line="18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Noninterest expense was $29.6 million for the three months ended June 30, 2023, as compared to $27.1 million for the three months ended June 30, 2022, an increase of $2.5 million, or 9.1%. The increase was primarily driven by increased salaries and employee benefits of $2.1 million, or 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8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8"/>
        </w:trPr>
        <w:tc>
          <w:tcPr>
            <w:tcW w:w="66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7"/>
                <w:szCs w:val="17"/>
                <w:color w:val="auto"/>
              </w:rPr>
            </w:pPr>
          </w:p>
        </w:tc>
      </w:tr>
      <w:tr>
        <w:trPr>
          <w:trHeight w:val="179"/>
        </w:trPr>
        <w:tc>
          <w:tcPr>
            <w:tcW w:w="66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131"/>
        </w:trPr>
        <w:tc>
          <w:tcPr>
            <w:tcW w:w="66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1"/>
        </w:trPr>
        <w:tc>
          <w:tcPr>
            <w:tcW w:w="6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88,496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70,957</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1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738.7 %</w:t>
            </w:r>
          </w:p>
        </w:tc>
      </w:tr>
      <w:tr>
        <w:trPr>
          <w:trHeight w:val="20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69,827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68,731</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credit losses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2,987</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51.4 %</w:t>
            </w:r>
          </w:p>
        </w:tc>
      </w:tr>
      <w:tr>
        <w:trPr>
          <w:trHeight w:val="20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65,305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65,744</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12,713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16,650</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55,814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54,232</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5"/>
        </w:trPr>
        <w:tc>
          <w:tcPr>
            <w:tcW w:w="6680" w:type="dxa"/>
            <w:vAlign w:val="bottom"/>
          </w:tcPr>
          <w:p>
            <w:pPr>
              <w:ind w:left="220"/>
              <w:spacing w:after="0"/>
              <w:rPr>
                <w:sz w:val="20"/>
                <w:szCs w:val="20"/>
                <w:color w:val="auto"/>
              </w:rPr>
            </w:pPr>
            <w:r>
              <w:rPr>
                <w:rFonts w:ascii="Arial" w:cs="Arial" w:eastAsia="Arial" w:hAnsi="Arial"/>
                <w:sz w:val="16"/>
                <w:szCs w:val="16"/>
                <w:b w:val="1"/>
                <w:bCs w:val="1"/>
                <w:color w:val="auto"/>
              </w:rPr>
              <w:t>Net income before income taxes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28,162</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6,443</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5"/>
        </w:trPr>
        <w:tc>
          <w:tcPr>
            <w:tcW w:w="6680" w:type="dxa"/>
            <w:vAlign w:val="bottom"/>
          </w:tcPr>
          <w:p>
            <w:pPr>
              <w:ind w:left="2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Pr>
          <w:p>
            <w:pPr>
              <w:jc w:val="right"/>
              <w:ind w:right="743"/>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17,034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21,719</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6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income for the six months ended June 30, 2023 was $17.1 million, compared to net income of $21.7 million for the same period in 2022, a 21.5% decrease. Net interest income increased $1.1 million, or 1.6%, to $69.8 million when comparing the six months ended June 30, 2023 to the six months ended June 30, 2022, primarily due to increased average balances of $256.0 million in portfolio loans, combined with the 82 basis point increase in yield for portfolio loans and offset by significant increases in the cost of funding.</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provision for credit losses for the six months ended June 30, 2023 was $4.5 million, an increase of $1.5 million, or 51.4% from the provision for loan losses for the six months ended June 30, 2022, attributable primarily to the credit card portfolio.</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six months ended June 30, 2023, noninterest income was $12.7 million, a decrease of $3.9 million, or 23.6%, from $16.6 million in the prior year quarter. The decrease was primarily driven by the decline in credit card fees of $3.2 million as the number of open customer accounts declined to 540,058 at June 30, 2023 from 616,435 year over year, which resulted in lower interchange and other fee income recognized compared to the prior year. The elevated interest rate environment continues to put pressure on the mortgage market, resulting in declines in home loan sales and home loan refinances, which has resulted in a $0.8 million decrease in mortgage banking revenue compared to the six months ended June 30, 2022.</w:t>
      </w:r>
    </w:p>
    <w:p>
      <w:pPr>
        <w:spacing w:after="0" w:line="19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Noninterest expense was $55.8 million for the six months ended June 30, 2023, as compared to $54.2 million for the six months ended June 30, 2022, an increase of $1.6 million, or 2.9%. The increase was primarily driven by a $4.3 million, or 21.2%, increase in salaries and employee benefits, partially offset by a $2.5 million, or 15.8%, decrease in data processing expenses. The decrease of $2.5 million in data processing expenses was the result of a contract renegotiation entered into in the first quarter of 2022 in the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as well as fewer average open cards during the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23" w:lineRule="exact"/>
        <w:rPr>
          <w:sz w:val="20"/>
          <w:szCs w:val="20"/>
          <w:color w:val="auto"/>
        </w:rPr>
      </w:pPr>
    </w:p>
    <w:p>
      <w:pPr>
        <w:jc w:val="both"/>
        <w:ind w:right="40" w:firstLine="318"/>
        <w:spacing w:after="0" w:line="252" w:lineRule="auto"/>
        <w:rPr>
          <w:sz w:val="20"/>
          <w:szCs w:val="20"/>
          <w:color w:val="auto"/>
        </w:rPr>
      </w:pPr>
      <w:r>
        <w:rPr>
          <w:rFonts w:ascii="Arial" w:cs="Arial" w:eastAsia="Arial" w:hAnsi="Arial"/>
          <w:sz w:val="18"/>
          <w:szCs w:val="18"/>
          <w:color w:val="auto"/>
        </w:rPr>
        <w:t>Net interest income is the difference between interest income on interest earning assets and the cost of funds supporting those assets. Interest earning assets are composed primarily of loans, loans held for sale, investment securities, and interest-bearing deposits with banks. The cost of funds represents interest expense on deposits and borrowings, which consist of federal funds purchased, advances from the FHLB, and subordinated notes. Noninterest-bearing deposits and capital also provide sources of funding.</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annualized divided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5" w:name="page46"/>
    <w:bookmarkEnd w:id="45"/>
    <w:p>
      <w:pPr>
        <w:spacing w:after="0" w:line="265" w:lineRule="auto"/>
        <w:rPr>
          <w:sz w:val="20"/>
          <w:szCs w:val="20"/>
          <w:color w:val="auto"/>
        </w:rPr>
      </w:pPr>
      <w:r>
        <w:rPr>
          <w:rFonts w:ascii="Arial" w:cs="Arial" w:eastAsia="Arial" w:hAnsi="Arial"/>
          <w:sz w:val="18"/>
          <w:szCs w:val="18"/>
          <w:color w:val="auto"/>
        </w:rPr>
        <w:t>average interest earning assets for the same period. Net interest spread is the difference between average interest rates earned on interest earning assets and average interest rates paid on interest-bearing liabilities.</w:t>
      </w:r>
    </w:p>
    <w:p>
      <w:pPr>
        <w:spacing w:after="0" w:line="179"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interest-bearing liabilities, as well as in the volume and mix of interest earning assets, interest-bearing and noninterest-bearing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spacing w:after="0" w:line="20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table below presents the average balances and weighted average rates of the major categories of the Company’s assets, liabilities, and stockholders’ equity for the three and six months ended June 30, 2023 and 2022.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9"/>
              <w:spacing w:after="0" w:line="152"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Pr>
          <w:p>
            <w:pPr>
              <w:spacing w:after="0"/>
              <w:rPr>
                <w:sz w:val="13"/>
                <w:szCs w:val="13"/>
                <w:color w:val="auto"/>
              </w:rPr>
            </w:pPr>
          </w:p>
        </w:tc>
        <w:tc>
          <w:tcPr>
            <w:tcW w:w="10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09"/>
              <w:spacing w:after="0" w:line="152" w:lineRule="exact"/>
              <w:rPr>
                <w:sz w:val="20"/>
                <w:szCs w:val="20"/>
                <w:color w:val="auto"/>
              </w:rPr>
            </w:pPr>
            <w:r>
              <w:rPr>
                <w:rFonts w:ascii="Arial" w:cs="Arial" w:eastAsia="Arial" w:hAnsi="Arial"/>
                <w:sz w:val="14"/>
                <w:szCs w:val="14"/>
                <w:color w:val="auto"/>
                <w:w w:val="99"/>
              </w:rPr>
              <w:t>Average</w:t>
            </w:r>
          </w:p>
        </w:tc>
        <w:tc>
          <w:tcPr>
            <w:tcW w:w="1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3"/>
                <w:szCs w:val="13"/>
                <w:color w:val="auto"/>
              </w:rPr>
            </w:pPr>
          </w:p>
        </w:tc>
        <w:tc>
          <w:tcPr>
            <w:tcW w:w="1080" w:type="dxa"/>
            <w:vAlign w:val="bottom"/>
          </w:tcPr>
          <w:p>
            <w:pPr>
              <w:jc w:val="center"/>
              <w:spacing w:after="0" w:line="152" w:lineRule="exact"/>
              <w:rPr>
                <w:sz w:val="20"/>
                <w:szCs w:val="20"/>
                <w:color w:val="auto"/>
              </w:rPr>
            </w:pPr>
            <w:r>
              <w:rPr>
                <w:rFonts w:ascii="Arial" w:cs="Arial" w:eastAsia="Arial" w:hAnsi="Arial"/>
                <w:sz w:val="14"/>
                <w:szCs w:val="14"/>
                <w:color w:val="auto"/>
                <w:w w:val="99"/>
              </w:rPr>
              <w:t>Average</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89"/>
              <w:spacing w:after="0" w:line="13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09"/>
              <w:spacing w:after="0" w:line="133" w:lineRule="exact"/>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Yield/</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rPr>
              <w:t>Balance</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color w:val="auto"/>
                <w:w w:val="90"/>
              </w:rPr>
              <w:t>Rate</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r>
        <w:trPr>
          <w:trHeight w:val="118"/>
        </w:trPr>
        <w:tc>
          <w:tcPr>
            <w:tcW w:w="3680" w:type="dxa"/>
            <w:vAlign w:val="bottom"/>
          </w:tcPr>
          <w:p>
            <w:pPr>
              <w:ind w:left="20"/>
              <w:spacing w:after="0" w:line="118" w:lineRule="exact"/>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66,401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733</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4.43 %</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218,251</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0.79 %</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4.90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86"/>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255,057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1.99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4,185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6.80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6.32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5"/>
        </w:trPr>
        <w:tc>
          <w:tcPr>
            <w:tcW w:w="368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1,120</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line="199"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1,800,800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42,872</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b w:val="1"/>
                <w:bCs w:val="1"/>
                <w:color w:val="auto"/>
              </w:rPr>
              <w:t>9.55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1,532,671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34,050</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2,136,936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45,080</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ind w:left="620"/>
              <w:spacing w:after="0"/>
              <w:rPr>
                <w:sz w:val="20"/>
                <w:szCs w:val="20"/>
                <w:color w:val="auto"/>
              </w:rPr>
            </w:pPr>
            <w:r>
              <w:rPr>
                <w:rFonts w:ascii="Arial" w:cs="Arial" w:eastAsia="Arial" w:hAnsi="Arial"/>
                <w:sz w:val="14"/>
                <w:szCs w:val="14"/>
                <w:b w:val="1"/>
                <w:bCs w:val="1"/>
                <w:color w:val="auto"/>
              </w:rPr>
              <w:t>8.46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2,011,920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36,556</w:t>
            </w:r>
          </w:p>
        </w:tc>
        <w:tc>
          <w:tcPr>
            <w:tcW w:w="120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47,415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2,184,351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2,068,218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80" w:type="dxa"/>
            <w:vAlign w:val="bottom"/>
          </w:tcPr>
          <w:p>
            <w:pPr>
              <w:ind w:left="180"/>
              <w:spacing w:after="0"/>
              <w:rPr>
                <w:sz w:val="20"/>
                <w:szCs w:val="20"/>
                <w:color w:val="auto"/>
              </w:rPr>
            </w:pPr>
            <w:r>
              <w:rPr>
                <w:rFonts w:ascii="Arial" w:cs="Arial" w:eastAsia="Arial" w:hAnsi="Arial"/>
                <w:sz w:val="14"/>
                <w:szCs w:val="14"/>
                <w:color w:val="auto"/>
              </w:rPr>
              <w:t>Interest-bearing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207,264</w:t>
            </w:r>
          </w:p>
        </w:tc>
        <w:tc>
          <w:tcPr>
            <w:tcW w:w="30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0.13 %</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259,192</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0.14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625,515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5,411</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3.47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566,303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396</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6"/>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366,421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3,929</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4.30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9"/>
        </w:trPr>
        <w:tc>
          <w:tcPr>
            <w:tcW w:w="3680" w:type="dxa"/>
            <w:vAlign w:val="bottom"/>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43,183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w:t>
            </w:r>
          </w:p>
        </w:tc>
        <w:tc>
          <w:tcPr>
            <w:tcW w:w="120" w:type="dxa"/>
            <w:vAlign w:val="bottom"/>
          </w:tcPr>
          <w:p>
            <w:pPr>
              <w:spacing w:after="0"/>
              <w:rPr>
                <w:sz w:val="17"/>
                <w:szCs w:val="17"/>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3.07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34,062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1,248,205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9,740</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3.13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1,029,749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73"/>
        </w:trPr>
        <w:tc>
          <w:tcPr>
            <w:tcW w:w="3680" w:type="dxa"/>
            <w:vAlign w:val="bottom"/>
          </w:tcPr>
          <w:p>
            <w:pPr>
              <w:ind w:left="20"/>
              <w:spacing w:after="0"/>
              <w:rPr>
                <w:sz w:val="20"/>
                <w:szCs w:val="20"/>
                <w:color w:val="auto"/>
              </w:rPr>
            </w:pPr>
            <w:r>
              <w:rPr>
                <w:rFonts w:ascii="Arial" w:cs="Arial" w:eastAsia="Arial" w:hAnsi="Arial"/>
                <w:sz w:val="14"/>
                <w:szCs w:val="14"/>
                <w:color w:val="auto"/>
              </w:rPr>
              <w:t>Noninterest-bearing liabilities: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676,358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807,558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238,684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2,184,351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2,068,218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5.33 %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6.84 %</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35,400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4"/>
                <w:szCs w:val="14"/>
                <w:b w:val="1"/>
                <w:bCs w:val="1"/>
                <w:color w:val="auto"/>
              </w:rPr>
              <w:t>6.63 %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7.06 %</w:t>
            </w:r>
          </w:p>
        </w:tc>
        <w:tc>
          <w:tcPr>
            <w:tcW w:w="0" w:type="dxa"/>
            <w:vAlign w:val="bottom"/>
          </w:tcPr>
          <w:p>
            <w:pPr>
              <w:spacing w:after="0" w:line="20" w:lineRule="exact"/>
              <w:rPr>
                <w:sz w:val="1"/>
                <w:szCs w:val="1"/>
                <w:color w:val="auto"/>
              </w:rPr>
            </w:pPr>
          </w:p>
        </w:tc>
      </w:tr>
      <w:tr>
        <w:trPr>
          <w:trHeight w:val="132"/>
        </w:trPr>
        <w:tc>
          <w:tcPr>
            <w:tcW w:w="3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12"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spacing w:after="0" w:line="4" w:lineRule="exact"/>
        <w:rPr>
          <w:rFonts w:ascii="Arial" w:cs="Arial" w:eastAsia="Arial" w:hAnsi="Arial"/>
          <w:sz w:val="14"/>
          <w:szCs w:val="14"/>
          <w:color w:val="auto"/>
          <w:vertAlign w:val="superscript"/>
        </w:rPr>
      </w:pPr>
    </w:p>
    <w:p>
      <w:pPr>
        <w:ind w:left="320" w:hanging="314"/>
        <w:spacing w:after="0" w:line="191" w:lineRule="auto"/>
        <w:tabs>
          <w:tab w:leader="none" w:pos="32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June 30, 2023 and 2022, SBA-PPP loans and credit card loans collectively accounted for 257 and 320 basis points of the reported net interest margin, respectively.</w:t>
      </w:r>
    </w:p>
    <w:p>
      <w:pPr>
        <w:spacing w:after="0" w:line="2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net interest margin decreased 43 basis points to 6.63% for the three months ended June 30, 2023 from the same period in 2022 as the increase in the costs of deposits, including money market accounts and time deposits, outpaced the increase in portfolio loan yields, including credit cards. Further, SBA-PPP income totaled $1.1 million for the three months ended June 30, 2022 with no comparable amount in 2023. Net interest margin, excluding credit card and SBA-PPP loans, increased to 4.06% for the three months ended June 30, 2023, compared to 3.86% for the same period in 2022.</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June 30, 2023, average interest earning assets increased $125.0 million, or 6.2%, to $2.1 billion as compared to the same period in 2022, and the average yield on interest earning assets increased 117 basis points. Compared to the same period in the prior year, average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7" w:name="page48"/>
    <w:bookmarkEnd w:id="47"/>
    <w:p>
      <w:pPr>
        <w:spacing w:after="0" w:line="265" w:lineRule="auto"/>
        <w:rPr>
          <w:sz w:val="20"/>
          <w:szCs w:val="20"/>
          <w:color w:val="auto"/>
        </w:rPr>
      </w:pPr>
      <w:r>
        <w:rPr>
          <w:rFonts w:ascii="Arial" w:cs="Arial" w:eastAsia="Arial" w:hAnsi="Arial"/>
          <w:sz w:val="18"/>
          <w:szCs w:val="18"/>
          <w:color w:val="auto"/>
        </w:rPr>
        <w:t>bearing liabilities increased $218.5 million, or 21.2%, and the average cost of interest-bearing liabilities increased to 3.13%, a 268 basis point increase from 0.45%.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9"/>
              <w:spacing w:after="0" w:line="152"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Pr>
          <w:p>
            <w:pPr>
              <w:spacing w:after="0"/>
              <w:rPr>
                <w:sz w:val="13"/>
                <w:szCs w:val="13"/>
                <w:color w:val="auto"/>
              </w:rPr>
            </w:pPr>
          </w:p>
        </w:tc>
        <w:tc>
          <w:tcPr>
            <w:tcW w:w="10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09"/>
              <w:spacing w:after="0" w:line="152" w:lineRule="exact"/>
              <w:rPr>
                <w:sz w:val="20"/>
                <w:szCs w:val="20"/>
                <w:color w:val="auto"/>
              </w:rPr>
            </w:pPr>
            <w:r>
              <w:rPr>
                <w:rFonts w:ascii="Arial" w:cs="Arial" w:eastAsia="Arial" w:hAnsi="Arial"/>
                <w:sz w:val="14"/>
                <w:szCs w:val="14"/>
                <w:color w:val="auto"/>
                <w:w w:val="99"/>
              </w:rPr>
              <w:t>Average</w:t>
            </w:r>
          </w:p>
        </w:tc>
        <w:tc>
          <w:tcPr>
            <w:tcW w:w="1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3"/>
                <w:szCs w:val="13"/>
                <w:color w:val="auto"/>
              </w:rPr>
            </w:pPr>
          </w:p>
        </w:tc>
        <w:tc>
          <w:tcPr>
            <w:tcW w:w="1080" w:type="dxa"/>
            <w:vAlign w:val="bottom"/>
          </w:tcPr>
          <w:p>
            <w:pPr>
              <w:jc w:val="center"/>
              <w:spacing w:after="0" w:line="152" w:lineRule="exact"/>
              <w:rPr>
                <w:sz w:val="20"/>
                <w:szCs w:val="20"/>
                <w:color w:val="auto"/>
              </w:rPr>
            </w:pPr>
            <w:r>
              <w:rPr>
                <w:rFonts w:ascii="Arial" w:cs="Arial" w:eastAsia="Arial" w:hAnsi="Arial"/>
                <w:sz w:val="14"/>
                <w:szCs w:val="14"/>
                <w:color w:val="auto"/>
                <w:w w:val="99"/>
              </w:rPr>
              <w:t>Average</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89"/>
              <w:spacing w:after="0" w:line="13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09"/>
              <w:spacing w:after="0" w:line="133" w:lineRule="exact"/>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Yield/</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rPr>
              <w:t>Balance</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color w:val="auto"/>
                <w:w w:val="90"/>
              </w:rPr>
              <w:t>Rate</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r>
        <w:trPr>
          <w:trHeight w:val="118"/>
        </w:trPr>
        <w:tc>
          <w:tcPr>
            <w:tcW w:w="3680" w:type="dxa"/>
            <w:vAlign w:val="bottom"/>
          </w:tcPr>
          <w:p>
            <w:pPr>
              <w:ind w:left="20"/>
              <w:spacing w:after="0" w:line="118" w:lineRule="exact"/>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64,494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1,348</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4.21 %</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208,043</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6"/>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264,817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2,643</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2.01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7.04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6.45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6"/>
        </w:trPr>
        <w:tc>
          <w:tcPr>
            <w:tcW w:w="368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55,917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3,186</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line="199"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1,775,809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84,063</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b w:val="1"/>
                <w:bCs w:val="1"/>
                <w:color w:val="auto"/>
              </w:rPr>
              <w:t>9.55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1,519,857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65,762</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2,120,553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88,496</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ind w:left="620"/>
              <w:spacing w:after="0"/>
              <w:rPr>
                <w:sz w:val="20"/>
                <w:szCs w:val="20"/>
                <w:color w:val="auto"/>
              </w:rPr>
            </w:pPr>
            <w:r>
              <w:rPr>
                <w:rFonts w:ascii="Arial" w:cs="Arial" w:eastAsia="Arial" w:hAnsi="Arial"/>
                <w:sz w:val="14"/>
                <w:szCs w:val="14"/>
                <w:b w:val="1"/>
                <w:bCs w:val="1"/>
                <w:color w:val="auto"/>
              </w:rPr>
              <w:t>8.42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2,001,207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70,957</w:t>
            </w:r>
          </w:p>
        </w:tc>
        <w:tc>
          <w:tcPr>
            <w:tcW w:w="120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43,858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61,533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2,164,411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2,062,740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80"/>
              <w:spacing w:after="0"/>
              <w:rPr>
                <w:sz w:val="20"/>
                <w:szCs w:val="20"/>
                <w:color w:val="auto"/>
              </w:rPr>
            </w:pPr>
            <w:r>
              <w:rPr>
                <w:rFonts w:ascii="Arial" w:cs="Arial" w:eastAsia="Arial" w:hAnsi="Arial"/>
                <w:sz w:val="14"/>
                <w:szCs w:val="14"/>
                <w:color w:val="auto"/>
              </w:rPr>
              <w:t>Interest-bearing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196,782</w:t>
            </w:r>
          </w:p>
        </w:tc>
        <w:tc>
          <w:tcPr>
            <w:tcW w:w="30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0.14 %</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276,490</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0.10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615,247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9,998</w:t>
            </w: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3.28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552,858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697</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6"/>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343,065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7,025</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4.13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9"/>
        </w:trPr>
        <w:tc>
          <w:tcPr>
            <w:tcW w:w="3680" w:type="dxa"/>
            <w:vAlign w:val="bottom"/>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80,573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1,506</w:t>
            </w:r>
          </w:p>
        </w:tc>
        <w:tc>
          <w:tcPr>
            <w:tcW w:w="120" w:type="dxa"/>
            <w:vAlign w:val="bottom"/>
          </w:tcPr>
          <w:p>
            <w:pPr>
              <w:spacing w:after="0"/>
              <w:rPr>
                <w:sz w:val="17"/>
                <w:szCs w:val="17"/>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3.77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34,062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1,241,827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18,669</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1,037,993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73"/>
        </w:trPr>
        <w:tc>
          <w:tcPr>
            <w:tcW w:w="3680" w:type="dxa"/>
            <w:vAlign w:val="bottom"/>
          </w:tcPr>
          <w:p>
            <w:pPr>
              <w:ind w:left="20"/>
              <w:spacing w:after="0"/>
              <w:rPr>
                <w:sz w:val="20"/>
                <w:szCs w:val="20"/>
                <w:color w:val="auto"/>
              </w:rPr>
            </w:pPr>
            <w:r>
              <w:rPr>
                <w:rFonts w:ascii="Arial" w:cs="Arial" w:eastAsia="Arial" w:hAnsi="Arial"/>
                <w:sz w:val="14"/>
                <w:szCs w:val="14"/>
                <w:color w:val="auto"/>
              </w:rPr>
              <w:t>Noninterest-bearing liabilities: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665,253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795,221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235,605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206,129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2,164,411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2,062,740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ind w:left="740"/>
              <w:spacing w:after="0"/>
              <w:rPr>
                <w:sz w:val="20"/>
                <w:szCs w:val="20"/>
                <w:color w:val="auto"/>
              </w:rPr>
            </w:pPr>
            <w:r>
              <w:rPr>
                <w:rFonts w:ascii="Arial" w:cs="Arial" w:eastAsia="Arial" w:hAnsi="Arial"/>
                <w:sz w:val="14"/>
                <w:szCs w:val="14"/>
                <w:b w:val="1"/>
                <w:bCs w:val="1"/>
                <w:color w:val="auto"/>
              </w:rPr>
              <w:t>5.39 %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6.72 %</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69,827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68,731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4"/>
                <w:szCs w:val="14"/>
                <w:b w:val="1"/>
                <w:bCs w:val="1"/>
                <w:color w:val="auto"/>
              </w:rPr>
              <w:t>6.64 %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line="20" w:lineRule="exact"/>
              <w:rPr>
                <w:sz w:val="1"/>
                <w:szCs w:val="1"/>
                <w:color w:val="auto"/>
              </w:rPr>
            </w:pPr>
          </w:p>
        </w:tc>
      </w:tr>
      <w:tr>
        <w:trPr>
          <w:trHeight w:val="132"/>
        </w:trPr>
        <w:tc>
          <w:tcPr>
            <w:tcW w:w="3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12" w:lineRule="auto"/>
        <w:tabs>
          <w:tab w:leader="none" w:pos="32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spacing w:after="0" w:line="4" w:lineRule="exact"/>
        <w:rPr>
          <w:rFonts w:ascii="Arial" w:cs="Arial" w:eastAsia="Arial" w:hAnsi="Arial"/>
          <w:sz w:val="14"/>
          <w:szCs w:val="14"/>
          <w:color w:val="auto"/>
          <w:vertAlign w:val="superscript"/>
        </w:rPr>
      </w:pPr>
    </w:p>
    <w:p>
      <w:pPr>
        <w:ind w:left="320" w:hanging="314"/>
        <w:spacing w:after="0" w:line="191" w:lineRule="auto"/>
        <w:tabs>
          <w:tab w:leader="none" w:pos="320" w:val="left"/>
        </w:tabs>
        <w:numPr>
          <w:ilvl w:val="0"/>
          <w:numId w:val="15"/>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For the six months ended June 30, 2023 and 2022, SBA-PPP loans and credit card loans collectively accounted for 270 and 309 basis points of the reported net interest margin, respectively.</w:t>
      </w:r>
    </w:p>
    <w:p>
      <w:pPr>
        <w:spacing w:after="0" w:line="2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interest margin decreased 29 basis points to 6.64% for the six months ended June 30, 2023 from the same period in 2022. Net interest margin, excluding credit card and SBA-PPP loans, was 3.94% for the six months ended June 30, 2023, compared to 3.84% for the same period in 2022.</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six months ended June 30, 2023, average interest earning assets increased $119.3 million, or 6.0%, to $2.1 billion as compared to the same period in 2022, and the average yield on interest earning assets increased 127 basis points. Compared to the same period in the prior year, average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8" w:name="page49"/>
    <w:bookmarkEnd w:id="48"/>
    <w:p>
      <w:pPr>
        <w:jc w:val="both"/>
        <w:ind w:right="100"/>
        <w:spacing w:after="0" w:line="265" w:lineRule="auto"/>
        <w:rPr>
          <w:sz w:val="20"/>
          <w:szCs w:val="20"/>
          <w:color w:val="auto"/>
        </w:rPr>
      </w:pPr>
      <w:r>
        <w:rPr>
          <w:rFonts w:ascii="Arial" w:cs="Arial" w:eastAsia="Arial" w:hAnsi="Arial"/>
          <w:sz w:val="18"/>
          <w:szCs w:val="18"/>
          <w:color w:val="auto"/>
        </w:rPr>
        <w:t>bearing liabilities increased $203.8 million, or 19.6%, while the average cost of interest-bearing liabilities increased 260 basis points to 3.03% from 0.43%.</w:t>
      </w:r>
    </w:p>
    <w:p>
      <w:pPr>
        <w:spacing w:after="0" w:line="17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RATE/VOLUME ANALYSIS OF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gridSpan w:val="7"/>
          </w:tcPr>
          <w:p>
            <w:pPr>
              <w:jc w:val="center"/>
              <w:ind w:right="129"/>
              <w:spacing w:after="0"/>
              <w:rPr>
                <w:sz w:val="20"/>
                <w:szCs w:val="20"/>
                <w:color w:val="auto"/>
              </w:rPr>
            </w:pPr>
            <w:r>
              <w:rPr>
                <w:rFonts w:ascii="Arial" w:cs="Arial" w:eastAsia="Arial" w:hAnsi="Arial"/>
                <w:sz w:val="14"/>
                <w:szCs w:val="14"/>
                <w:b w:val="1"/>
                <w:bCs w:val="1"/>
                <w:color w:val="auto"/>
              </w:rPr>
              <w:t>Three Months Ended June 30, 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7"/>
          </w:tcPr>
          <w:p>
            <w:pPr>
              <w:jc w:val="center"/>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Compared to</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9"/>
              <w:spacing w:after="0"/>
              <w:rPr>
                <w:sz w:val="20"/>
                <w:szCs w:val="20"/>
                <w:color w:val="auto"/>
              </w:rPr>
            </w:pPr>
            <w:r>
              <w:rPr>
                <w:rFonts w:ascii="Arial" w:cs="Arial" w:eastAsia="Arial" w:hAnsi="Arial"/>
                <w:sz w:val="14"/>
                <w:szCs w:val="14"/>
                <w:b w:val="1"/>
                <w:bCs w:val="1"/>
                <w:color w:val="auto"/>
              </w:rPr>
              <w:t>Compared to</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right"/>
              <w:ind w:right="609"/>
              <w:spacing w:after="0"/>
              <w:rPr>
                <w:sz w:val="20"/>
                <w:szCs w:val="20"/>
                <w:color w:val="auto"/>
              </w:rPr>
            </w:pPr>
            <w:r>
              <w:rPr>
                <w:rFonts w:ascii="Arial" w:cs="Arial" w:eastAsia="Arial" w:hAnsi="Arial"/>
                <w:sz w:val="14"/>
                <w:szCs w:val="14"/>
                <w:b w:val="1"/>
                <w:bCs w:val="1"/>
                <w:color w:val="auto"/>
              </w:rPr>
              <w:t>Change Due To</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Change Due To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Interest Income: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Interest-bearing deposits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3"/>
        </w:trPr>
        <w:tc>
          <w:tcPr>
            <w:tcW w:w="398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3"/>
        </w:trPr>
        <w:tc>
          <w:tcPr>
            <w:tcW w:w="398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180"/>
              <w:spacing w:after="0"/>
              <w:rPr>
                <w:sz w:val="20"/>
                <w:szCs w:val="20"/>
                <w:color w:val="auto"/>
              </w:rPr>
            </w:pPr>
            <w:r>
              <w:rPr>
                <w:rFonts w:ascii="Arial" w:cs="Arial" w:eastAsia="Arial" w:hAnsi="Arial"/>
                <w:sz w:val="14"/>
                <w:szCs w:val="14"/>
                <w:color w:val="auto"/>
              </w:rPr>
              <w:t>SBA-PPP loans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excluding credit card loans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9"/>
        </w:trPr>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Credit card loans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interest income</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7,361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8,524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5"/>
        </w:trPr>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180"/>
              <w:spacing w:after="0"/>
              <w:rPr>
                <w:sz w:val="20"/>
                <w:szCs w:val="20"/>
                <w:color w:val="auto"/>
              </w:rPr>
            </w:pPr>
            <w:r>
              <w:rPr>
                <w:rFonts w:ascii="Arial" w:cs="Arial" w:eastAsia="Arial" w:hAnsi="Arial"/>
                <w:sz w:val="14"/>
                <w:szCs w:val="14"/>
                <w:color w:val="auto"/>
              </w:rPr>
              <w:t>Interest-bearing demand accounts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4,503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9"/>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9"/>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8,584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2"/>
        </w:trPr>
        <w:tc>
          <w:tcPr>
            <w:tcW w:w="3980" w:type="dxa"/>
            <w:vAlign w:val="bottom"/>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(1,611)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1,551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4,003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When comparing the three months ended June 30, 2023 to the same period in 2022, the greatest positive impact to total interest income was the increased market interest rates affecting some interest earning assets. The year-over-year rate change on SBA-PPP loans is a result of the change in the magnitude of loans forgiven by the SBA in each period. During the three months ended June 30, 2022, $35.2 million of SBA-</w:t>
      </w:r>
    </w:p>
    <w:p>
      <w:pPr>
        <w:jc w:val="both"/>
        <w:ind w:right="100" w:firstLine="6"/>
        <w:spacing w:after="0" w:line="246" w:lineRule="auto"/>
        <w:tabs>
          <w:tab w:leader="none" w:pos="4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loans were forgiven by the SBA which accelerated the recognition of $1.0 million of deferred fee income. In comparison, during the three months ended June 30, 2023, $0.9 million of SBA-PPP loan principal was forgiven and $2 thousand of income was recognized. The loan portfolio, excluding credit cards, continued to experience growth through the three months ended June 30, 2023, which contributed an additional $10.4 million in interest income. On a standalone basis, interest income attributable to the credit card portfolio fell by $1.6 million when comparing the three months ended June 30, 2023 to the three months ended June 30, 2022, primarily due to a decrease in open customer accounts and corresponding credit card loan balances, due to rising interest rates and late charges which impacted the rate calculation. Increased market interest rates were the primary driver of increased interest expense, with interest expense on money market accounts and time deposits increasing $4.5 million and $1.2 million, respectively, when comparing the three months ended June 30, 2023 to the three months ended June 30, 2022. Volume of time deposits contributed an additional $2.2 million to the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49" w:name="page50"/>
    <w:bookmarkEnd w:id="49"/>
    <w:p>
      <w:pPr>
        <w:jc w:val="both"/>
        <w:ind w:firstLine="318"/>
        <w:spacing w:after="0" w:line="248" w:lineRule="auto"/>
        <w:rPr>
          <w:sz w:val="20"/>
          <w:szCs w:val="20"/>
          <w:color w:val="auto"/>
        </w:rPr>
      </w:pPr>
      <w:r>
        <w:rPr>
          <w:rFonts w:ascii="Arial" w:cs="Arial" w:eastAsia="Arial" w:hAnsi="Arial"/>
          <w:sz w:val="18"/>
          <w:szCs w:val="18"/>
          <w:color w:val="auto"/>
        </w:rPr>
        <w:t>When comparing the six months ended June 30, 2023 to the same period in 2022, the greatest positive impact to total interest income was the effect of increases in market interest rates on some interest earning assets. Growth in portfolio loan volumes contributed $8.6 million to the increase in net interest income, while the heightened interest rates on portfolio loans contributed $9.9 million for the six months ended June 30, 2023 compared to the same period in the prior year. During the six months ended June 30, 2022, $92.4 million of SBA-PPP loans were forgiven by the SBA which accelerated the recognition of $2.9 million of deferred fee income. In comparison, during the three months ended June 30, 2023, $1.1 million of SBA-PPP loan principal was forgiven and $5 thousand of income was recognized. Increased interest rates also contributed $11.0 million to increased interest expense comparing the six months ended June 30, 2023 to the same period in 2022, driven by the impact of rates on money market accounts and time deposits of $8.3 million and $2.3 million, respectively, substantially offsetting the increase in total interest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provision for credit losses represents the amount of expense charged to current earnings to fund the ACL. The amount for credit losses is based on many factors which reflect management’s assessment of the risk in the loan portfolio. Those factors include historical losses, forecasted cash flows, economic conditions and trends, the value and adequacy of collateral, volume and mix of the portfolio, performance of the portfolio, and internal loan processes of the Company and Bank. For a description of the factors taken into account by our management in determining the ACL, see Note 1 to the Consolidated Financial Statements.</w:t>
      </w:r>
    </w:p>
    <w:p>
      <w:pPr>
        <w:spacing w:after="0" w:line="19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three months ended June 30, 2023, the provision for credit losses was $2.9 million, an increase of $0.8 million from the same period in 2022. Contributors to the increase in the provision were loan portfolio growth and change in credit card mix from fully secured to partially or fully unsecured. Net charge-offs for the three months ended June 30, 2023 were $1.6 million, or 0.35% on an annualized basis of average portfolio loans, compared to $0.9 million, or 0.23% on an annualized basis of average portfolio loans for the same period in 2022. Of the $1.6 million in net charge-offs during the quarter, $1.5 million related to secured and partially secured cards in the credit card portfolio and $0.1 million related to unsecured cards.</w:t>
      </w:r>
    </w:p>
    <w:p>
      <w:pPr>
        <w:spacing w:after="0" w:line="19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the six months ended June 30, 2023, the provision for credit losses was $4.5 million, an increase of $1.5 million from the same period in 2022, attributable primarily to the credit card portfolio. Net charge-offs for the six months ended June 30, 2023, were $4.2 million, or 0.48% on an annualized basis of average portfolio loans, compared to $1.7 million, or 0.23% on an annualized basis of average portfolio loans, for the same period in 2022. The $4.2 million in net charge-offs during the six months ended June 30, 2023 was comprised primarily of credit card portfolio net charge-offs with $2.6 million related to secured and partially secured cards while $0.7 million was related to unsecured cards.</w:t>
      </w:r>
    </w:p>
    <w:p>
      <w:pPr>
        <w:spacing w:after="0" w:line="17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Although the majority of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cards are secured, losses may occur. Some losses result from identity fraud, payment fraud and funding fraud. In addition, losses are sometimes incurred when customers exceed established credit limits as a consequence of certain VISA membership policies that allow cardholders to incur certain charges, such as, for example, rental car charges, gas station charges and hotel deposits, that may exceed card limits. Finally, losses to our credit card portfolio may arise if cardholders cease to maintain the account in good standing with timely payments.</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ACL as a percent of portfolio loans was 1.50% at June 30, 2023. The ACL at December 31, 2022, prior to the adoption of CECL, represented 1.53% of portfolio loans. The maintenance of a high-quality loan portfolio, with an adequate allowance for expected credit losses, will continue to be a primary objective for the Company. See additional discussion regarding the Company’s ACL and reserve for unfunded commitments credit exposures at June 30, 2023 in “Financial Condition -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Noninterest Income</w:t>
      </w:r>
    </w:p>
    <w:p>
      <w:pPr>
        <w:spacing w:after="0" w:line="223"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6"/>
          </w:tcPr>
          <w:p>
            <w:pPr>
              <w:jc w:val="right"/>
              <w:ind w:right="685"/>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Six Months Ended June 30, 2023</w:t>
            </w:r>
          </w:p>
        </w:tc>
      </w:tr>
      <w:tr>
        <w:trPr>
          <w:trHeight w:val="179"/>
        </w:trPr>
        <w:tc>
          <w:tcPr>
            <w:tcW w:w="4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r>
      <w:tr>
        <w:trPr>
          <w:trHeight w:val="131"/>
        </w:trPr>
        <w:tc>
          <w:tcPr>
            <w:tcW w:w="4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8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245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33.9 %</w:t>
            </w:r>
          </w:p>
        </w:tc>
        <w:tc>
          <w:tcPr>
            <w:tcW w:w="40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474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346</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37.0</w:t>
            </w:r>
          </w:p>
        </w:tc>
      </w:tr>
      <w:tr>
        <w:trPr>
          <w:trHeight w:val="212"/>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4,706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30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(24.2)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 w:type="dxa"/>
            <w:vAlign w:val="bottom"/>
          </w:tcPr>
          <w:p>
            <w:pPr>
              <w:spacing w:after="0"/>
              <w:rPr>
                <w:sz w:val="18"/>
                <w:szCs w:val="18"/>
                <w:color w:val="auto"/>
              </w:rPr>
            </w:pPr>
          </w:p>
        </w:tc>
      </w:tr>
      <w:tr>
        <w:trPr>
          <w:trHeight w:val="212"/>
        </w:trPr>
        <w:tc>
          <w:tcPr>
            <w:tcW w:w="408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2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1,332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1,528</w:t>
            </w:r>
          </w:p>
        </w:tc>
        <w:tc>
          <w:tcPr>
            <w:tcW w:w="1300" w:type="dxa"/>
            <w:vAlign w:val="bottom"/>
            <w:gridSpan w:val="2"/>
          </w:tcPr>
          <w:p>
            <w:pPr>
              <w:jc w:val="right"/>
              <w:ind w:right="85"/>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3,318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8"/>
                <w:szCs w:val="18"/>
                <w:color w:val="auto"/>
              </w:rPr>
            </w:pPr>
          </w:p>
        </w:tc>
      </w:tr>
      <w:tr>
        <w:trPr>
          <w:trHeight w:val="212"/>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r>
      <w:tr>
        <w:trPr>
          <w:trHeight w:val="205"/>
        </w:trPr>
        <w:tc>
          <w:tcPr>
            <w:tcW w:w="4080" w:type="dxa"/>
            <w:vAlign w:val="bottom"/>
          </w:tcPr>
          <w:p>
            <w:pPr>
              <w:ind w:left="340"/>
              <w:spacing w:after="0"/>
              <w:rPr>
                <w:sz w:val="20"/>
                <w:szCs w:val="20"/>
                <w:color w:val="auto"/>
              </w:rPr>
            </w:pPr>
            <w:r>
              <w:rPr>
                <w:rFonts w:ascii="Arial" w:cs="Arial" w:eastAsia="Arial" w:hAnsi="Arial"/>
                <w:sz w:val="16"/>
                <w:szCs w:val="16"/>
                <w:color w:val="auto"/>
              </w:rPr>
              <w:t>Total noninterest income</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6,687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8,362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12,713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16,650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(23.6</w:t>
            </w:r>
          </w:p>
        </w:tc>
        <w:tc>
          <w:tcPr>
            <w:tcW w:w="2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For the three months ended June 30, 2023, credit card fees of $4.7 million declined by $1.5 million as compared to the three months ended June 30, 2022, as other fees, including statement fees, and interchange income declined. For the six months ended June 30, 2023, credit card fees of $8.9 million decreased $3.2 million as compared to the six months ended June 30, 2022, as other fees, including statement fees, and interchange income declined. Further, the number of open customer accounts declined to 540,058 at June 30, 2023 from 616,435 at June 30, 2022.</w:t>
      </w:r>
    </w:p>
    <w:p>
      <w:pPr>
        <w:spacing w:after="0" w:line="194"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The Bank’s Capital Bank Home Loan division experienced a decline of 27.2% in mortgage originations during the three months ended June 30, 2023 when compared to the year earlier. A rising interest rate environment continues to dampen home loan sales and home loan refinances which resulted in origination volumes decreasing $22.9 million, to $61.5 million, in the second quarter of 2023, when compared to $84.4 million in the second quarter of 2022. Gain on sale margins increased from 2.14% for the three months ended June 30, 2022, to 2.56% for the three months ended June 30, 2023. Historically-low housing inventory, shortages in new home building materials, and increasing interest rates are likely to continue suppressing origination volumes.</w:t>
      </w:r>
    </w:p>
    <w:p>
      <w:pPr>
        <w:spacing w:after="0" w:line="196"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has established a reserve under GAAP for possible repurchases. The reserve was $1.2 million at June 30, 2023 and December 31, 2022. The Bank did not repurchase any loans during the three and six months ended June 30, 2023 or 2022. The Bank does not originate “sub-prime” mortgage loans and has no exposure to this market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3"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Generally, noninterest expense is comprised of all employee expenses and costs associated with operating our facilities, obtaining and retaining customer relationships and providing bank services, with the largest component being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93" w:right="239" w:bottom="1440" w:gutter="0" w:footer="0" w:header="0"/>
        </w:sectPr>
      </w:pPr>
    </w:p>
    <w:bookmarkStart w:id="51" w:name="page52"/>
    <w:bookmarkEnd w:id="51"/>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849"/>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6"/>
          </w:tcPr>
          <w:p>
            <w:pPr>
              <w:jc w:val="right"/>
              <w:ind w:right="769"/>
              <w:spacing w:after="0"/>
              <w:rPr>
                <w:sz w:val="20"/>
                <w:szCs w:val="20"/>
                <w:color w:val="auto"/>
              </w:rPr>
            </w:pPr>
            <w:r>
              <w:rPr>
                <w:rFonts w:ascii="Arial" w:cs="Arial" w:eastAsia="Arial" w:hAnsi="Arial"/>
                <w:sz w:val="14"/>
                <w:szCs w:val="14"/>
                <w:b w:val="1"/>
                <w:bCs w:val="1"/>
                <w:color w:val="auto"/>
              </w:rPr>
              <w:t>Six Months Ended June 30, 2023</w:t>
            </w:r>
          </w:p>
        </w:tc>
      </w:tr>
      <w:tr>
        <w:trPr>
          <w:trHeight w:val="179"/>
        </w:trPr>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3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 Change</w:t>
            </w:r>
          </w:p>
        </w:tc>
      </w:tr>
      <w:tr>
        <w:trPr>
          <w:trHeight w:val="131"/>
        </w:trPr>
        <w:tc>
          <w:tcPr>
            <w:tcW w:w="34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31"/>
        </w:trPr>
        <w:tc>
          <w:tcPr>
            <w:tcW w:w="342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4"/>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4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24,697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r>
      <w:tr>
        <w:trPr>
          <w:trHeight w:val="212"/>
        </w:trPr>
        <w:tc>
          <w:tcPr>
            <w:tcW w:w="342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1,313</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2,339</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17.5</w:t>
            </w:r>
          </w:p>
        </w:tc>
      </w:tr>
      <w:tr>
        <w:trPr>
          <w:trHeight w:val="212"/>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2,417</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4,738</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5.1</w:t>
            </w:r>
          </w:p>
        </w:tc>
      </w:tr>
      <w:tr>
        <w:trPr>
          <w:trHeight w:val="212"/>
        </w:trPr>
        <w:tc>
          <w:tcPr>
            <w:tcW w:w="342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7,266</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13,089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15,542</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(15.8)</w:t>
            </w:r>
          </w:p>
        </w:tc>
      </w:tr>
      <w:tr>
        <w:trPr>
          <w:trHeight w:val="212"/>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2,223</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3,862</w:t>
            </w:r>
          </w:p>
        </w:tc>
        <w:tc>
          <w:tcPr>
            <w:tcW w:w="13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(18.1)</w:t>
            </w:r>
          </w:p>
        </w:tc>
      </w:tr>
      <w:tr>
        <w:trPr>
          <w:trHeight w:val="212"/>
        </w:trPr>
        <w:tc>
          <w:tcPr>
            <w:tcW w:w="342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335</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97.0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727</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38.8</w:t>
            </w:r>
          </w:p>
        </w:tc>
      </w:tr>
      <w:tr>
        <w:trPr>
          <w:trHeight w:val="212"/>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real estate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3,505</w:t>
            </w:r>
          </w:p>
        </w:tc>
        <w:tc>
          <w:tcPr>
            <w:tcW w:w="138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6,643</w:t>
            </w:r>
          </w:p>
        </w:tc>
        <w:tc>
          <w:tcPr>
            <w:tcW w:w="138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6"/>
                <w:szCs w:val="16"/>
                <w:color w:val="auto"/>
              </w:rPr>
              <w:t>(7.9)</w:t>
            </w:r>
          </w:p>
        </w:tc>
      </w:tr>
      <w:tr>
        <w:trPr>
          <w:trHeight w:val="225"/>
        </w:trPr>
        <w:tc>
          <w:tcPr>
            <w:tcW w:w="3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noninterest expense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27,130</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54,232</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2.9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Noninterest expense was $29.6 million for the three months ended June 30, 2023, as compared to $27.1 million for the three months ended June 30, 2022, an increase of $2.5 million, or 9.1%. Salaries and employee benefits increased by $2.1 million, or 20.6%, due in part to growth in headcount in the Commercial Bank segment during the three months ended June 30, 2023. Data processing expenses decreased $0.7 million for the three months ended June 30, 2022, which was attributable primarily to fewer credit card accounts when compared to the same period in 2022.</w:t>
      </w:r>
    </w:p>
    <w:p>
      <w:pPr>
        <w:spacing w:after="0" w:line="19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Noninterest expense was $55.8 million for the six months ended June 30, 2023, as compared to $54.2 million for the six months ended June 30, 2022, an increase of $1.6 million, or 2.9%. Salaries and employee benefits increased by $4.3 million, or 21.2%, due in part to growth in headcount in the Commercial Bank segment during the six months ended June 30, 2023 compared to the same prior year period. Data processing expenses decreased $2.5 million, which was the result of a contract renegotiation entered into during the first quarter of 2022 and fewer credit card accounts when compared to 2022. Advertising expense for the six months ended June 30, 2023 was $3.2 million, which is $0.7 million less than the expense incurred during the six months ended June 30, 2022. The difference was primarily the result of lower marketing costs for the Commercial Bank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amount of income tax expense we incur is influenced by our pre-tax income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7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Income tax expense was $2.3 million and $5.2 million for the three and six months ended June 30, 2023 compared to $3.1 million and $6.4 million for the same periods, respectively, in 2022. Our effective tax rates increased from 21.2% for the three months ended June 30, 2022 to 23.6% for the three months ended June 30, 2023, and from 22.9% to 23.3% for the six months ended June 30, 2023, primarily attributable to the application of differing state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Financial Condition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financial condition at the dates indicated.</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4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2,227,866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2,123,655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104,211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2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208,464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252,481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(44,017)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sale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7,416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64"/>
        </w:trPr>
        <w:tc>
          <w:tcPr>
            <w:tcW w:w="4420" w:type="dxa"/>
            <w:vAlign w:val="bottom"/>
          </w:tcPr>
          <w:p>
            <w:pPr>
              <w:ind w:left="20"/>
              <w:spacing w:after="0" w:line="165" w:lineRule="exact"/>
              <w:rPr>
                <w:sz w:val="20"/>
                <w:szCs w:val="20"/>
                <w:color w:val="auto"/>
              </w:rPr>
            </w:pPr>
            <w:r>
              <w:rPr>
                <w:rFonts w:ascii="Arial" w:cs="Arial" w:eastAsia="Arial" w:hAnsi="Arial"/>
                <w:sz w:val="16"/>
                <w:szCs w:val="16"/>
                <w:color w:val="auto"/>
                <w:w w:val="99"/>
              </w:rPr>
              <w:t>U.S. Small Business Administration (“SBA”) Payroll Protection</w:t>
            </w:r>
          </w:p>
        </w:tc>
        <w:tc>
          <w:tcPr>
            <w:tcW w:w="2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6"/>
                <w:szCs w:val="16"/>
                <w:color w:val="auto"/>
              </w:rPr>
              <w:t>2,163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(1,073)</w:t>
            </w: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4"/>
        </w:trPr>
        <w:tc>
          <w:tcPr>
            <w:tcW w:w="4420" w:type="dxa"/>
            <w:vAlign w:val="bottom"/>
          </w:tcPr>
          <w:p>
            <w:pPr>
              <w:ind w:left="20"/>
              <w:spacing w:after="0"/>
              <w:rPr>
                <w:sz w:val="20"/>
                <w:szCs w:val="20"/>
                <w:color w:val="auto"/>
              </w:rPr>
            </w:pPr>
            <w:r>
              <w:rPr>
                <w:rFonts w:ascii="Arial" w:cs="Arial" w:eastAsia="Arial" w:hAnsi="Arial"/>
                <w:sz w:val="16"/>
                <w:szCs w:val="16"/>
                <w:color w:val="auto"/>
              </w:rPr>
              <w:t>Program (“PPP”) loans receivable, net of fees and costs</w:t>
            </w:r>
          </w:p>
        </w:tc>
        <w:tc>
          <w:tcPr>
            <w:tcW w:w="2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loans receivable, net of deferred fees and costs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1,837,041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1,728,592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108,449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2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1,934,361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1,758,072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176,289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119,062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237,435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224,015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13,420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to total assets at end of period</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Weighted average number of basic shares outstanding</w:t>
            </w:r>
          </w:p>
        </w:tc>
        <w:tc>
          <w:tcPr>
            <w:tcW w:w="2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14,025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14,007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diluted shares outstanding</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14,059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Total assets at June 30, 2023 increased $104.2 million from the balance at December 31, 2022. Net portfolio loans, which exclude mortgage loans held for sale and SBA-PPP loans, totaled $1.8 billion as of June 30, 2023, an increase of $108.4 million, or 6.3%, from $1.7 billion at December 31, 2022, as well as an increase in the loans held for sale portfolio of $2.7 million. Increases in portfolio loans receivable and loans held for sale were offset by a decrease in SBA-PPP loans of $1.1 million when comparing the period end balances at June 30, 2023 to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3"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79"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As of June 30, 2023, all securities were classified as available for sale.</w:t>
      </w:r>
    </w:p>
    <w:p>
      <w:pPr>
        <w:spacing w:after="0" w:line="19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To supplement interest income earned on our loan portfolio, the Company invests in U.S. Treasuries, high-quality mortgage-backed securities, government agency bonds, asset-backed securities and high-quality municipal and corporate bonds.</w:t>
      </w:r>
    </w:p>
    <w:p>
      <w:pPr>
        <w:spacing w:after="0" w:line="179"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The following tables summarize the contractual maturities, without consideration of call features or pre-refunding dates, and weighted-average yields of investment securities at June 30, 2023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89"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restart"/>
          </w:tcPr>
          <w:p>
            <w:pPr>
              <w:jc w:val="right"/>
              <w:ind w:right="281"/>
              <w:spacing w:after="0"/>
              <w:rPr>
                <w:sz w:val="20"/>
                <w:szCs w:val="20"/>
                <w:color w:val="auto"/>
              </w:rPr>
            </w:pPr>
            <w:r>
              <w:rPr>
                <w:rFonts w:ascii="Arial" w:cs="Arial" w:eastAsia="Arial" w:hAnsi="Arial"/>
                <w:sz w:val="12"/>
                <w:szCs w:val="12"/>
                <w:b w:val="1"/>
                <w:bCs w:val="1"/>
                <w:color w:val="auto"/>
              </w:rPr>
              <w:t>One Year or Less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right"/>
              <w:ind w:right="181"/>
              <w:spacing w:after="0"/>
              <w:rPr>
                <w:sz w:val="20"/>
                <w:szCs w:val="20"/>
                <w:color w:val="auto"/>
              </w:rPr>
            </w:pPr>
            <w:r>
              <w:rPr>
                <w:rFonts w:ascii="Arial" w:cs="Arial" w:eastAsia="Arial" w:hAnsi="Arial"/>
                <w:sz w:val="12"/>
                <w:szCs w:val="12"/>
                <w:b w:val="1"/>
                <w:bCs w:val="1"/>
                <w:color w:val="auto"/>
              </w:rPr>
              <w:t>More Than One Year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ind w:right="163"/>
              <w:spacing w:after="0"/>
              <w:rPr>
                <w:sz w:val="20"/>
                <w:szCs w:val="20"/>
                <w:color w:val="auto"/>
              </w:rPr>
            </w:pPr>
            <w:r>
              <w:rPr>
                <w:rFonts w:ascii="Arial" w:cs="Arial" w:eastAsia="Arial" w:hAnsi="Arial"/>
                <w:sz w:val="12"/>
                <w:szCs w:val="12"/>
                <w:b w:val="1"/>
                <w:bCs w:val="1"/>
                <w:color w:val="auto"/>
              </w:rPr>
              <w:t>More Than Five Years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182"/>
              <w:spacing w:after="0"/>
              <w:rPr>
                <w:sz w:val="20"/>
                <w:szCs w:val="20"/>
                <w:color w:val="auto"/>
              </w:rPr>
            </w:pPr>
            <w:r>
              <w:rPr>
                <w:rFonts w:ascii="Arial" w:cs="Arial" w:eastAsia="Arial" w:hAnsi="Arial"/>
                <w:sz w:val="12"/>
                <w:szCs w:val="12"/>
                <w:b w:val="1"/>
                <w:bCs w:val="1"/>
                <w:color w:val="auto"/>
              </w:rPr>
              <w:t>More Than Ten Years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Through Five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2"/>
                <w:szCs w:val="12"/>
                <w:b w:val="1"/>
                <w:bCs w:val="1"/>
                <w:color w:val="auto"/>
              </w:rPr>
              <w:t>Through Ten Years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9"/>
                <w:szCs w:val="9"/>
                <w:color w:val="auto"/>
              </w:rPr>
            </w:pPr>
          </w:p>
        </w:tc>
        <w:tc>
          <w:tcPr>
            <w:tcW w:w="680" w:type="dxa"/>
            <w:vAlign w:val="bottom"/>
          </w:tcPr>
          <w:p>
            <w:pPr>
              <w:jc w:val="right"/>
              <w:ind w:right="80"/>
              <w:spacing w:after="0" w:line="106" w:lineRule="exact"/>
              <w:rPr>
                <w:sz w:val="20"/>
                <w:szCs w:val="20"/>
                <w:color w:val="auto"/>
              </w:rPr>
            </w:pPr>
            <w:r>
              <w:rPr>
                <w:rFonts w:ascii="Arial" w:cs="Arial" w:eastAsia="Arial" w:hAnsi="Arial"/>
                <w:sz w:val="11"/>
                <w:szCs w:val="11"/>
                <w:b w:val="1"/>
                <w:bCs w:val="1"/>
                <w:color w:val="auto"/>
                <w:w w:val="96"/>
              </w:rPr>
              <w:t>Amortized</w:t>
            </w:r>
          </w:p>
        </w:tc>
        <w:tc>
          <w:tcPr>
            <w:tcW w:w="100" w:type="dxa"/>
            <w:vAlign w:val="bottom"/>
          </w:tcPr>
          <w:p>
            <w:pPr>
              <w:spacing w:after="0"/>
              <w:rPr>
                <w:sz w:val="9"/>
                <w:szCs w:val="9"/>
                <w:color w:val="auto"/>
              </w:rPr>
            </w:pPr>
          </w:p>
        </w:tc>
        <w:tc>
          <w:tcPr>
            <w:tcW w:w="800" w:type="dxa"/>
            <w:vAlign w:val="bottom"/>
          </w:tcPr>
          <w:p>
            <w:pPr>
              <w:jc w:val="right"/>
              <w:ind w:right="101"/>
              <w:spacing w:after="0" w:line="106"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80"/>
              <w:spacing w:after="0" w:line="106" w:lineRule="exact"/>
              <w:rPr>
                <w:sz w:val="20"/>
                <w:szCs w:val="20"/>
                <w:color w:val="auto"/>
              </w:rPr>
            </w:pPr>
            <w:r>
              <w:rPr>
                <w:rFonts w:ascii="Arial" w:cs="Arial" w:eastAsia="Arial" w:hAnsi="Arial"/>
                <w:sz w:val="11"/>
                <w:szCs w:val="11"/>
                <w:b w:val="1"/>
                <w:bCs w:val="1"/>
                <w:color w:val="auto"/>
                <w:w w:val="96"/>
              </w:rPr>
              <w:t>Amortized</w:t>
            </w:r>
          </w:p>
        </w:tc>
        <w:tc>
          <w:tcPr>
            <w:tcW w:w="100" w:type="dxa"/>
            <w:vAlign w:val="bottom"/>
          </w:tcPr>
          <w:p>
            <w:pPr>
              <w:spacing w:after="0"/>
              <w:rPr>
                <w:sz w:val="9"/>
                <w:szCs w:val="9"/>
                <w:color w:val="auto"/>
              </w:rPr>
            </w:pPr>
          </w:p>
        </w:tc>
        <w:tc>
          <w:tcPr>
            <w:tcW w:w="800" w:type="dxa"/>
            <w:vAlign w:val="bottom"/>
          </w:tcPr>
          <w:p>
            <w:pPr>
              <w:jc w:val="right"/>
              <w:ind w:right="101"/>
              <w:spacing w:after="0" w:line="106"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80"/>
              <w:spacing w:after="0" w:line="106" w:lineRule="exact"/>
              <w:rPr>
                <w:sz w:val="20"/>
                <w:szCs w:val="20"/>
                <w:color w:val="auto"/>
              </w:rPr>
            </w:pPr>
            <w:r>
              <w:rPr>
                <w:rFonts w:ascii="Arial" w:cs="Arial" w:eastAsia="Arial" w:hAnsi="Arial"/>
                <w:sz w:val="11"/>
                <w:szCs w:val="11"/>
                <w:b w:val="1"/>
                <w:bCs w:val="1"/>
                <w:color w:val="auto"/>
                <w:w w:val="96"/>
              </w:rPr>
              <w:t>Amortized</w:t>
            </w:r>
          </w:p>
        </w:tc>
        <w:tc>
          <w:tcPr>
            <w:tcW w:w="100" w:type="dxa"/>
            <w:vAlign w:val="bottom"/>
          </w:tcPr>
          <w:p>
            <w:pPr>
              <w:spacing w:after="0"/>
              <w:rPr>
                <w:sz w:val="9"/>
                <w:szCs w:val="9"/>
                <w:color w:val="auto"/>
              </w:rPr>
            </w:pPr>
          </w:p>
        </w:tc>
        <w:tc>
          <w:tcPr>
            <w:tcW w:w="820" w:type="dxa"/>
            <w:vAlign w:val="bottom"/>
          </w:tcPr>
          <w:p>
            <w:pPr>
              <w:jc w:val="right"/>
              <w:ind w:right="123"/>
              <w:spacing w:after="0" w:line="106"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80"/>
              <w:spacing w:after="0" w:line="106" w:lineRule="exact"/>
              <w:rPr>
                <w:sz w:val="20"/>
                <w:szCs w:val="20"/>
                <w:color w:val="auto"/>
              </w:rPr>
            </w:pPr>
            <w:r>
              <w:rPr>
                <w:rFonts w:ascii="Arial" w:cs="Arial" w:eastAsia="Arial" w:hAnsi="Arial"/>
                <w:sz w:val="11"/>
                <w:szCs w:val="11"/>
                <w:b w:val="1"/>
                <w:bCs w:val="1"/>
                <w:color w:val="auto"/>
                <w:w w:val="96"/>
              </w:rPr>
              <w:t>Amortized</w:t>
            </w:r>
          </w:p>
        </w:tc>
        <w:tc>
          <w:tcPr>
            <w:tcW w:w="100" w:type="dxa"/>
            <w:vAlign w:val="bottom"/>
          </w:tcPr>
          <w:p>
            <w:pPr>
              <w:spacing w:after="0"/>
              <w:rPr>
                <w:sz w:val="9"/>
                <w:szCs w:val="9"/>
                <w:color w:val="auto"/>
              </w:rPr>
            </w:pPr>
          </w:p>
        </w:tc>
        <w:tc>
          <w:tcPr>
            <w:tcW w:w="820" w:type="dxa"/>
            <w:vAlign w:val="bottom"/>
          </w:tcPr>
          <w:p>
            <w:pPr>
              <w:jc w:val="right"/>
              <w:ind w:right="122"/>
              <w:spacing w:after="0" w:line="106"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100"/>
              <w:spacing w:after="0" w:line="106" w:lineRule="exact"/>
              <w:rPr>
                <w:sz w:val="20"/>
                <w:szCs w:val="20"/>
                <w:color w:val="auto"/>
              </w:rPr>
            </w:pPr>
            <w:r>
              <w:rPr>
                <w:rFonts w:ascii="Arial" w:cs="Arial" w:eastAsia="Arial" w:hAnsi="Arial"/>
                <w:sz w:val="11"/>
                <w:szCs w:val="11"/>
                <w:b w:val="1"/>
                <w:bCs w:val="1"/>
                <w:color w:val="auto"/>
                <w:w w:val="96"/>
              </w:rPr>
              <w:t>Amortized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0" w:type="dxa"/>
            <w:vAlign w:val="bottom"/>
          </w:tcPr>
          <w:p>
            <w:pPr>
              <w:spacing w:after="0"/>
              <w:rPr>
                <w:sz w:val="1"/>
                <w:szCs w:val="1"/>
                <w:color w:val="auto"/>
              </w:rPr>
            </w:pPr>
          </w:p>
        </w:tc>
      </w:tr>
      <w:tr>
        <w:trPr>
          <w:trHeight w:val="159"/>
        </w:trPr>
        <w:tc>
          <w:tcPr>
            <w:tcW w:w="144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w w:val="98"/>
              </w:rPr>
              <w:t>Average Yield</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Average Yield</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Average Yield</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w w:val="94"/>
              </w:rPr>
              <w:t>Fair Value</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Average Yield</w:t>
            </w:r>
          </w:p>
        </w:tc>
        <w:tc>
          <w:tcPr>
            <w:tcW w:w="0" w:type="dxa"/>
            <w:vAlign w:val="bottom"/>
          </w:tcPr>
          <w:p>
            <w:pPr>
              <w:spacing w:after="0"/>
              <w:rPr>
                <w:sz w:val="1"/>
                <w:szCs w:val="1"/>
                <w:color w:val="auto"/>
              </w:rPr>
            </w:pPr>
          </w:p>
        </w:tc>
      </w:tr>
      <w:tr>
        <w:trPr>
          <w:trHeight w:val="118"/>
        </w:trPr>
        <w:tc>
          <w:tcPr>
            <w:tcW w:w="144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Securities Available for</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4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30,030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1.67 %</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105,657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1.21 %</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35,876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1.35 %</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171,563</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156,146</w:t>
            </w:r>
          </w:p>
        </w:tc>
        <w:tc>
          <w:tcPr>
            <w:tcW w:w="900" w:type="dxa"/>
            <w:vAlign w:val="bottom"/>
            <w:gridSpan w:val="2"/>
          </w:tcPr>
          <w:p>
            <w:pPr>
              <w:ind w:left="500"/>
              <w:spacing w:after="0"/>
              <w:rPr>
                <w:sz w:val="20"/>
                <w:szCs w:val="20"/>
                <w:color w:val="auto"/>
              </w:rPr>
            </w:pPr>
            <w:r>
              <w:rPr>
                <w:rFonts w:ascii="Arial" w:cs="Arial" w:eastAsia="Arial" w:hAnsi="Arial"/>
                <w:sz w:val="12"/>
                <w:szCs w:val="12"/>
                <w:color w:val="auto"/>
              </w:rPr>
              <w:t>1.32 %</w:t>
            </w: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920" w:type="dxa"/>
            <w:vAlign w:val="bottom"/>
            <w:gridSpan w:val="2"/>
            <w:shd w:val="clear" w:color="auto" w:fill="CCEEFF"/>
          </w:tcPr>
          <w:p>
            <w:pPr>
              <w:jc w:val="right"/>
              <w:ind w:right="123"/>
              <w:spacing w:after="0"/>
              <w:rPr>
                <w:sz w:val="20"/>
                <w:szCs w:val="20"/>
                <w:color w:val="auto"/>
              </w:rPr>
            </w:pPr>
            <w:r>
              <w:rPr>
                <w:rFonts w:ascii="Arial" w:cs="Arial" w:eastAsia="Arial" w:hAnsi="Arial"/>
                <w:sz w:val="12"/>
                <w:szCs w:val="12"/>
                <w:color w:val="auto"/>
              </w:rPr>
              <w:t>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10,302</w:t>
            </w:r>
          </w:p>
        </w:tc>
        <w:tc>
          <w:tcPr>
            <w:tcW w:w="92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1.91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8,350</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5,000</w:t>
            </w:r>
          </w:p>
        </w:tc>
        <w:tc>
          <w:tcPr>
            <w:tcW w:w="920" w:type="dxa"/>
            <w:vAlign w:val="bottom"/>
            <w:gridSpan w:val="2"/>
          </w:tcPr>
          <w:p>
            <w:pPr>
              <w:jc w:val="right"/>
              <w:ind w:right="123"/>
              <w:spacing w:after="0"/>
              <w:rPr>
                <w:sz w:val="20"/>
                <w:szCs w:val="20"/>
                <w:color w:val="auto"/>
              </w:rPr>
            </w:pPr>
            <w:r>
              <w:rPr>
                <w:rFonts w:ascii="Arial" w:cs="Arial" w:eastAsia="Arial" w:hAnsi="Arial"/>
                <w:sz w:val="12"/>
                <w:szCs w:val="12"/>
                <w:color w:val="auto"/>
              </w:rPr>
              <w:t>4.31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5,000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4,355</w:t>
            </w:r>
          </w:p>
        </w:tc>
        <w:tc>
          <w:tcPr>
            <w:tcW w:w="900" w:type="dxa"/>
            <w:vAlign w:val="bottom"/>
            <w:gridSpan w:val="2"/>
          </w:tcPr>
          <w:p>
            <w:pPr>
              <w:ind w:left="500"/>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30"/>
        </w:trPr>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Asset-backed</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2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7,489</w:t>
            </w:r>
          </w:p>
        </w:tc>
        <w:tc>
          <w:tcPr>
            <w:tcW w:w="920" w:type="dxa"/>
            <w:vAlign w:val="bottom"/>
            <w:gridSpan w:val="2"/>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3.31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7,489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7,297</w:t>
            </w: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72"/>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2" w:lineRule="exact"/>
              <w:rPr>
                <w:sz w:val="20"/>
                <w:szCs w:val="20"/>
                <w:color w:val="auto"/>
              </w:rPr>
            </w:pPr>
            <w:r>
              <w:rPr>
                <w:rFonts w:ascii="Arial" w:cs="Arial" w:eastAsia="Arial" w:hAnsi="Arial"/>
                <w:sz w:val="12"/>
                <w:szCs w:val="12"/>
                <w:color w:val="auto"/>
              </w:rPr>
              <w:t>Mortgage-backed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20"/>
              <w:spacing w:after="0"/>
              <w:rPr>
                <w:sz w:val="20"/>
                <w:szCs w:val="20"/>
                <w:color w:val="auto"/>
              </w:rPr>
            </w:pPr>
            <w:r>
              <w:rPr>
                <w:rFonts w:ascii="Arial" w:cs="Arial" w:eastAsia="Arial" w:hAnsi="Arial"/>
                <w:sz w:val="12"/>
                <w:szCs w:val="12"/>
                <w:color w:val="auto"/>
              </w:rPr>
              <w:t>securities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10,037</w:t>
            </w:r>
          </w:p>
        </w:tc>
        <w:tc>
          <w:tcPr>
            <w:tcW w:w="900" w:type="dxa"/>
            <w:vAlign w:val="bottom"/>
            <w:gridSpan w:val="2"/>
          </w:tcPr>
          <w:p>
            <w:pPr>
              <w:jc w:val="right"/>
              <w:ind w:right="101"/>
              <w:spacing w:after="0"/>
              <w:rPr>
                <w:sz w:val="20"/>
                <w:szCs w:val="20"/>
                <w:color w:val="auto"/>
              </w:rPr>
            </w:pPr>
            <w:r>
              <w:rPr>
                <w:rFonts w:ascii="Arial" w:cs="Arial" w:eastAsia="Arial" w:hAnsi="Arial"/>
                <w:sz w:val="12"/>
                <w:szCs w:val="12"/>
                <w:color w:val="auto"/>
              </w:rPr>
              <w:t>5.10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13,097</w:t>
            </w:r>
          </w:p>
        </w:tc>
        <w:tc>
          <w:tcPr>
            <w:tcW w:w="920" w:type="dxa"/>
            <w:vAlign w:val="bottom"/>
            <w:gridSpan w:val="2"/>
          </w:tcPr>
          <w:p>
            <w:pPr>
              <w:jc w:val="right"/>
              <w:ind w:right="123"/>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11,948</w:t>
            </w:r>
          </w:p>
        </w:tc>
        <w:tc>
          <w:tcPr>
            <w:tcW w:w="920" w:type="dxa"/>
            <w:vAlign w:val="bottom"/>
            <w:gridSpan w:val="2"/>
          </w:tcPr>
          <w:p>
            <w:pPr>
              <w:jc w:val="right"/>
              <w:ind w:right="122"/>
              <w:spacing w:after="0"/>
              <w:rPr>
                <w:sz w:val="20"/>
                <w:szCs w:val="20"/>
                <w:color w:val="auto"/>
              </w:rPr>
            </w:pPr>
            <w:r>
              <w:rPr>
                <w:rFonts w:ascii="Arial" w:cs="Arial" w:eastAsia="Arial" w:hAnsi="Arial"/>
                <w:sz w:val="12"/>
                <w:szCs w:val="12"/>
                <w:color w:val="auto"/>
              </w:rPr>
              <w:t>2.92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35,082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32,316</w:t>
            </w:r>
          </w:p>
        </w:tc>
        <w:tc>
          <w:tcPr>
            <w:tcW w:w="900" w:type="dxa"/>
            <w:vAlign w:val="bottom"/>
            <w:gridSpan w:val="2"/>
          </w:tcPr>
          <w:p>
            <w:pPr>
              <w:ind w:left="500"/>
              <w:spacing w:after="0"/>
              <w:rPr>
                <w:sz w:val="20"/>
                <w:szCs w:val="20"/>
                <w:color w:val="auto"/>
              </w:rPr>
            </w:pPr>
            <w:r>
              <w:rPr>
                <w:rFonts w:ascii="Arial" w:cs="Arial" w:eastAsia="Arial" w:hAnsi="Arial"/>
                <w:sz w:val="12"/>
                <w:szCs w:val="12"/>
                <w:color w:val="auto"/>
              </w:rPr>
              <w:t>3.55</w:t>
            </w:r>
          </w:p>
        </w:tc>
        <w:tc>
          <w:tcPr>
            <w:tcW w:w="0" w:type="dxa"/>
            <w:vAlign w:val="bottom"/>
          </w:tcPr>
          <w:p>
            <w:pPr>
              <w:spacing w:after="0"/>
              <w:rPr>
                <w:sz w:val="1"/>
                <w:szCs w:val="1"/>
                <w:color w:val="auto"/>
              </w:rPr>
            </w:pPr>
          </w:p>
        </w:tc>
      </w:tr>
      <w:tr>
        <w:trPr>
          <w:trHeight w:val="197"/>
        </w:trPr>
        <w:tc>
          <w:tcPr>
            <w:tcW w:w="1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229,943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208,464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1.82 %</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 Refer to Note 5 to Unaudited Consolidated Financial Statements for additional discussion of each major classification of portfolio loans receivable.</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4" w:name="page55"/>
    <w:bookmarkEnd w:id="54"/>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One Year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One to</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Over</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9"/>
              </w:rPr>
              <w:t>Five Years to Fifteen</w:t>
            </w:r>
          </w:p>
        </w:tc>
        <w:tc>
          <w:tcPr>
            <w:tcW w:w="12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After Fifteen Years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or Less</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Five Years</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Years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5"/>
                <w:szCs w:val="15"/>
                <w:color w:val="auto"/>
              </w:rPr>
            </w:pPr>
          </w:p>
        </w:tc>
        <w:tc>
          <w:tcPr>
            <w:tcW w:w="1140" w:type="dxa"/>
            <w:vAlign w:val="bottom"/>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5"/>
                <w:szCs w:val="15"/>
                <w:color w:val="auto"/>
              </w:rPr>
            </w:pPr>
          </w:p>
        </w:tc>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121,990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195,441</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106,015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131,687</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555,133</w:t>
            </w:r>
          </w:p>
        </w:tc>
        <w:tc>
          <w:tcPr>
            <w:tcW w:w="0" w:type="dxa"/>
            <w:vAlign w:val="bottom"/>
          </w:tcPr>
          <w:p>
            <w:pPr>
              <w:spacing w:after="0"/>
              <w:rPr>
                <w:sz w:val="1"/>
                <w:szCs w:val="1"/>
                <w:color w:val="auto"/>
              </w:rPr>
            </w:pPr>
          </w:p>
        </w:tc>
      </w:tr>
      <w:tr>
        <w:trPr>
          <w:trHeight w:val="191"/>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674,141</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201,586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48,514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258,400</w:t>
            </w: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233,598</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122,925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122,925</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92"/>
        </w:trPr>
        <w:tc>
          <w:tcPr>
            <w:tcW w:w="3740" w:type="dxa"/>
            <w:vAlign w:val="bottom"/>
          </w:tcPr>
          <w:p>
            <w:pPr>
              <w:ind w:left="180"/>
              <w:spacing w:after="0"/>
              <w:rPr>
                <w:sz w:val="20"/>
                <w:szCs w:val="20"/>
                <w:color w:val="auto"/>
              </w:rPr>
            </w:pPr>
            <w:r>
              <w:rPr>
                <w:rFonts w:ascii="Arial" w:cs="Arial" w:eastAsia="Arial" w:hAnsi="Arial"/>
                <w:sz w:val="14"/>
                <w:szCs w:val="14"/>
                <w:color w:val="auto"/>
              </w:rPr>
              <w:t>Total portfolio loans, gross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648,466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595,947</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451,033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149,938</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1,845,384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spacing w:after="0" w:line="146" w:lineRule="exact"/>
              <w:rPr>
                <w:sz w:val="20"/>
                <w:szCs w:val="20"/>
                <w:color w:val="auto"/>
              </w:rPr>
            </w:pPr>
            <w:r>
              <w:rPr>
                <w:rFonts w:ascii="Arial" w:cs="Arial" w:eastAsia="Arial" w:hAnsi="Arial"/>
                <w:sz w:val="14"/>
                <w:szCs w:val="14"/>
                <w:color w:val="auto"/>
              </w:rPr>
              <w:t>Predetermined Interest</w:t>
            </w:r>
          </w:p>
        </w:tc>
        <w:tc>
          <w:tcPr>
            <w:tcW w:w="120" w:type="dxa"/>
            <w:vAlign w:val="bottom"/>
          </w:tcPr>
          <w:p>
            <w:pPr>
              <w:spacing w:after="0"/>
              <w:rPr>
                <w:sz w:val="12"/>
                <w:szCs w:val="12"/>
                <w:color w:val="auto"/>
              </w:rPr>
            </w:pPr>
          </w:p>
        </w:tc>
        <w:tc>
          <w:tcPr>
            <w:tcW w:w="140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8"/>
              </w:rPr>
              <w:t>Floating or Variable</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Loans above maturing after one year categorized by rate characteristic:</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8"/>
              </w:rPr>
              <w:t>Rates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8"/>
              </w:rPr>
              <w:t>Rates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238,191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194,952</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433,143</w:t>
            </w:r>
          </w:p>
        </w:tc>
        <w:tc>
          <w:tcPr>
            <w:tcW w:w="0" w:type="dxa"/>
            <w:vAlign w:val="bottom"/>
          </w:tcPr>
          <w:p>
            <w:pPr>
              <w:spacing w:after="0"/>
              <w:rPr>
                <w:sz w:val="1"/>
                <w:szCs w:val="1"/>
                <w:color w:val="auto"/>
              </w:rPr>
            </w:pPr>
          </w:p>
        </w:tc>
      </w:tr>
      <w:tr>
        <w:trPr>
          <w:trHeight w:val="191"/>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174,845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541,588</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43,171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56,814</w:t>
            </w: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53,278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164,519</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portfolio loans, gross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466,284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1,196,919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 addition to the portfolio loans shown above, gross SBA-PPP loans receivable, which totaled $1.1 million at June 30, 2023, mature in the one to five year time-frame and carry a fixed rate of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Loans are returned to accrual status when all the principal and interest amounts contractually due are brought current and future payments are, in management’s opinion, reasonably assured.</w:t>
      </w:r>
    </w:p>
    <w:p>
      <w:pPr>
        <w:spacing w:after="0" w:line="19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Consumer credit card balances are moved into the charge off queue after they become more than 90 days past due and are charged off not later than 120 days after they become past due. Otherwise, loans that are past due for 180 days or more are charged off unless the loan is well secured and in the process of collection.</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From a credit risk standpoint, we grade watchlist and problem loans into one of five credit quality indicators: pass/watch, special mention, substandard, doubtful or loss. The classifications of loans reflect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18"/>
          <w:szCs w:val="18"/>
          <w:color w:val="auto"/>
        </w:rPr>
        <w:t>a judgment about the risks of default and loss associated with each loan. Credit ratings are reviewed regularly and adjusted regularly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within this loan population, which consists of loans that, although considered satisfactory and performing to terms, may exhibit special risk features that warrant management’s attention.</w:t>
      </w:r>
    </w:p>
    <w:p>
      <w:pPr>
        <w:spacing w:after="0" w:line="19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9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 special mention loan has potential weaknesses deserving of management’s attention. If uncorrected, such weaknesses may, at a future date, impair the repayment prospects for the asset or in our credit position.</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June 30, 2023, the recorded investment in individually assessed loans was $15.7 million, requiring a specific reserve of $0.3 million. At December 31, 2022, prior to the adoption of CECL, the Company carried a recorded investment in impaired loans of $9.4 million, $0.5 million of which required a specific reserve of $0.4 million. Of the $15.7 million of individually assessed loans at June 30, 2023, a single loan, which is believed to be well-collateralized, accounted for $8.2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discussed in Note 1 to the Consolidated Financial Statements, 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key ratios for the ACL and nonaccrual loans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78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Allowance for credit losses to period</w:t>
            </w:r>
          </w:p>
        </w:tc>
        <w:tc>
          <w:tcPr>
            <w:tcW w:w="100" w:type="dxa"/>
            <w:vAlign w:val="bottom"/>
          </w:tcPr>
          <w:p>
            <w:pPr>
              <w:spacing w:after="0"/>
              <w:rPr>
                <w:sz w:val="14"/>
                <w:szCs w:val="14"/>
                <w:color w:val="auto"/>
              </w:rPr>
            </w:pPr>
          </w:p>
        </w:tc>
        <w:tc>
          <w:tcPr>
            <w:tcW w:w="2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Nonaccrual loans to total portfolio loans</w:t>
            </w:r>
          </w:p>
        </w:tc>
        <w:tc>
          <w:tcPr>
            <w:tcW w:w="100" w:type="dxa"/>
            <w:vAlign w:val="bottom"/>
          </w:tcPr>
          <w:p>
            <w:pPr>
              <w:spacing w:after="0"/>
              <w:rPr>
                <w:sz w:val="14"/>
                <w:szCs w:val="14"/>
                <w:color w:val="auto"/>
              </w:rPr>
            </w:pPr>
          </w:p>
        </w:tc>
        <w:tc>
          <w:tcPr>
            <w:tcW w:w="2760" w:type="dxa"/>
            <w:vAlign w:val="bottom"/>
            <w:gridSpan w:val="3"/>
          </w:tcPr>
          <w:p>
            <w:pPr>
              <w:jc w:val="right"/>
              <w:ind w:right="309"/>
              <w:spacing w:after="0"/>
              <w:rPr>
                <w:sz w:val="20"/>
                <w:szCs w:val="20"/>
                <w:color w:val="auto"/>
              </w:rPr>
            </w:pPr>
            <w:r>
              <w:rPr>
                <w:rFonts w:ascii="Arial" w:cs="Arial" w:eastAsia="Arial" w:hAnsi="Arial"/>
                <w:sz w:val="14"/>
                <w:szCs w:val="14"/>
                <w:b w:val="1"/>
                <w:bCs w:val="1"/>
                <w:color w:val="auto"/>
              </w:rPr>
              <w:t>Allowance for credit losses to</w:t>
            </w: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780" w:type="dxa"/>
            <w:vAlign w:val="bottom"/>
            <w:tcBorders>
              <w:bottom w:val="single" w:sz="8" w:color="auto"/>
            </w:tcBorders>
            <w:gridSpan w:val="3"/>
          </w:tcPr>
          <w:p>
            <w:pPr>
              <w:ind w:left="700"/>
              <w:spacing w:after="0" w:line="199" w:lineRule="exact"/>
              <w:rPr>
                <w:sz w:val="20"/>
                <w:szCs w:val="20"/>
                <w:color w:val="auto"/>
              </w:rPr>
            </w:pPr>
            <w:r>
              <w:rPr>
                <w:rFonts w:ascii="Arial" w:cs="Arial" w:eastAsia="Arial" w:hAnsi="Arial"/>
                <w:sz w:val="14"/>
                <w:szCs w:val="14"/>
                <w:b w:val="1"/>
                <w:bCs w:val="1"/>
                <w:color w:val="auto"/>
              </w:rPr>
              <w:t xml:space="preserve">end portfolio loans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276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669"/>
              <w:spacing w:after="0" w:line="199" w:lineRule="exact"/>
              <w:rPr>
                <w:sz w:val="20"/>
                <w:szCs w:val="20"/>
                <w:color w:val="auto"/>
              </w:rPr>
            </w:pPr>
            <w:r>
              <w:rPr>
                <w:rFonts w:ascii="Arial" w:cs="Arial" w:eastAsia="Arial" w:hAnsi="Arial"/>
                <w:sz w:val="14"/>
                <w:szCs w:val="14"/>
                <w:b w:val="1"/>
                <w:bCs w:val="1"/>
                <w:color w:val="auto"/>
              </w:rPr>
              <w:t xml:space="preserve">nonaccrual loans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9"/>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0"/>
              <w:spacing w:after="0"/>
              <w:rPr>
                <w:sz w:val="20"/>
                <w:szCs w:val="20"/>
                <w:color w:val="auto"/>
              </w:rPr>
            </w:pPr>
            <w:r>
              <w:rPr>
                <w:rFonts w:ascii="Arial" w:cs="Arial" w:eastAsia="Arial" w:hAnsi="Arial"/>
                <w:sz w:val="14"/>
                <w:szCs w:val="14"/>
                <w:color w:val="auto"/>
              </w:rPr>
              <w:t>Residential</w:t>
            </w:r>
          </w:p>
        </w:tc>
        <w:tc>
          <w:tcPr>
            <w:tcW w:w="1180" w:type="dxa"/>
            <w:vAlign w:val="bottom"/>
          </w:tcPr>
          <w:p>
            <w:pPr>
              <w:ind w:left="720"/>
              <w:spacing w:after="0"/>
              <w:rPr>
                <w:sz w:val="20"/>
                <w:szCs w:val="20"/>
                <w:color w:val="auto"/>
              </w:rPr>
            </w:pPr>
            <w:r>
              <w:rPr>
                <w:rFonts w:ascii="Arial" w:cs="Arial" w:eastAsia="Arial" w:hAnsi="Arial"/>
                <w:sz w:val="14"/>
                <w:szCs w:val="14"/>
                <w:color w:val="auto"/>
              </w:rPr>
              <w:t>0.98 %</w:t>
            </w:r>
          </w:p>
        </w:tc>
        <w:tc>
          <w:tcPr>
            <w:tcW w:w="1600" w:type="dxa"/>
            <w:vAlign w:val="bottom"/>
            <w:gridSpan w:val="2"/>
          </w:tcPr>
          <w:p>
            <w:pPr>
              <w:ind w:left="1140"/>
              <w:spacing w:after="0"/>
              <w:rPr>
                <w:sz w:val="20"/>
                <w:szCs w:val="20"/>
                <w:color w:val="auto"/>
              </w:rPr>
            </w:pPr>
            <w:r>
              <w:rPr>
                <w:rFonts w:ascii="Arial" w:cs="Arial" w:eastAsia="Arial" w:hAnsi="Arial"/>
                <w:sz w:val="14"/>
                <w:szCs w:val="14"/>
                <w:color w:val="auto"/>
              </w:rPr>
              <w:t>1.13 %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2.27 %</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0.88 %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43 %</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1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1.51</w:t>
            </w:r>
          </w:p>
        </w:tc>
        <w:tc>
          <w:tcPr>
            <w:tcW w:w="160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1.22</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0.09</w:t>
            </w:r>
          </w:p>
        </w:tc>
        <w:tc>
          <w:tcPr>
            <w:tcW w:w="15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0.24</w:t>
            </w:r>
          </w:p>
        </w:tc>
        <w:tc>
          <w:tcPr>
            <w:tcW w:w="12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1,751</w:t>
            </w:r>
          </w:p>
        </w:tc>
        <w:tc>
          <w:tcPr>
            <w:tcW w:w="15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85"/>
        </w:trPr>
        <w:tc>
          <w:tcPr>
            <w:tcW w:w="2740" w:type="dxa"/>
            <w:vAlign w:val="bottom"/>
          </w:tcPr>
          <w:p>
            <w:pPr>
              <w:ind w:left="200"/>
              <w:spacing w:after="0"/>
              <w:rPr>
                <w:sz w:val="20"/>
                <w:szCs w:val="20"/>
                <w:color w:val="auto"/>
              </w:rPr>
            </w:pPr>
            <w:r>
              <w:rPr>
                <w:rFonts w:ascii="Arial" w:cs="Arial" w:eastAsia="Arial" w:hAnsi="Arial"/>
                <w:sz w:val="14"/>
                <w:szCs w:val="14"/>
                <w:color w:val="auto"/>
              </w:rPr>
              <w:t>Construction</w:t>
            </w:r>
          </w:p>
        </w:tc>
        <w:tc>
          <w:tcPr>
            <w:tcW w:w="1180" w:type="dxa"/>
            <w:vAlign w:val="bottom"/>
          </w:tcPr>
          <w:p>
            <w:pPr>
              <w:ind w:left="720"/>
              <w:spacing w:after="0"/>
              <w:rPr>
                <w:sz w:val="20"/>
                <w:szCs w:val="20"/>
                <w:color w:val="auto"/>
              </w:rPr>
            </w:pPr>
            <w:r>
              <w:rPr>
                <w:rFonts w:ascii="Arial" w:cs="Arial" w:eastAsia="Arial" w:hAnsi="Arial"/>
                <w:sz w:val="14"/>
                <w:szCs w:val="14"/>
                <w:color w:val="auto"/>
              </w:rPr>
              <w:t>0.72</w:t>
            </w:r>
          </w:p>
        </w:tc>
        <w:tc>
          <w:tcPr>
            <w:tcW w:w="1600" w:type="dxa"/>
            <w:vAlign w:val="bottom"/>
            <w:gridSpan w:val="2"/>
          </w:tcPr>
          <w:p>
            <w:pPr>
              <w:ind w:left="1140"/>
              <w:spacing w:after="0"/>
              <w:rPr>
                <w:sz w:val="20"/>
                <w:szCs w:val="20"/>
                <w:color w:val="auto"/>
              </w:rPr>
            </w:pPr>
            <w:r>
              <w:rPr>
                <w:rFonts w:ascii="Arial" w:cs="Arial" w:eastAsia="Arial" w:hAnsi="Arial"/>
                <w:sz w:val="14"/>
                <w:szCs w:val="14"/>
                <w:color w:val="auto"/>
              </w:rPr>
              <w:t>1.59</w:t>
            </w:r>
          </w:p>
        </w:tc>
        <w:tc>
          <w:tcPr>
            <w:tcW w:w="1280" w:type="dxa"/>
            <w:vAlign w:val="bottom"/>
            <w:gridSpan w:val="2"/>
          </w:tcPr>
          <w:p>
            <w:pPr>
              <w:jc w:val="right"/>
              <w:ind w:right="129"/>
              <w:spacing w:after="0"/>
              <w:rPr>
                <w:sz w:val="20"/>
                <w:szCs w:val="20"/>
                <w:color w:val="auto"/>
              </w:rPr>
            </w:pPr>
            <w:r>
              <w:rPr>
                <w:rFonts w:ascii="Arial" w:cs="Arial" w:eastAsia="Arial" w:hAnsi="Arial"/>
                <w:sz w:val="14"/>
                <w:szCs w:val="14"/>
                <w:color w:val="auto"/>
              </w:rPr>
              <w:t>0.79</w:t>
            </w:r>
          </w:p>
        </w:tc>
        <w:tc>
          <w:tcPr>
            <w:tcW w:w="1580" w:type="dxa"/>
            <w:vAlign w:val="bottom"/>
            <w:gridSpan w:val="2"/>
          </w:tcPr>
          <w:p>
            <w:pPr>
              <w:jc w:val="right"/>
              <w:ind w:right="109"/>
              <w:spacing w:after="0"/>
              <w:rPr>
                <w:sz w:val="20"/>
                <w:szCs w:val="20"/>
                <w:color w:val="auto"/>
              </w:rPr>
            </w:pPr>
            <w:r>
              <w:rPr>
                <w:rFonts w:ascii="Arial" w:cs="Arial" w:eastAsia="Arial" w:hAnsi="Arial"/>
                <w:sz w:val="14"/>
                <w:szCs w:val="14"/>
                <w:color w:val="auto"/>
              </w:rPr>
              <w:t>1.19</w:t>
            </w:r>
          </w:p>
        </w:tc>
        <w:tc>
          <w:tcPr>
            <w:tcW w:w="1280" w:type="dxa"/>
            <w:vAlign w:val="bottom"/>
            <w:gridSpan w:val="2"/>
          </w:tcPr>
          <w:p>
            <w:pPr>
              <w:jc w:val="right"/>
              <w:ind w:right="109"/>
              <w:spacing w:after="0"/>
              <w:rPr>
                <w:sz w:val="20"/>
                <w:szCs w:val="20"/>
                <w:color w:val="auto"/>
              </w:rPr>
            </w:pPr>
            <w:r>
              <w:rPr>
                <w:rFonts w:ascii="Arial" w:cs="Arial" w:eastAsia="Arial" w:hAnsi="Arial"/>
                <w:sz w:val="14"/>
                <w:szCs w:val="14"/>
                <w:color w:val="auto"/>
              </w:rPr>
              <w:t>92</w:t>
            </w:r>
          </w:p>
        </w:tc>
        <w:tc>
          <w:tcPr>
            <w:tcW w:w="1580" w:type="dxa"/>
            <w:vAlign w:val="bottom"/>
            <w:gridSpan w:val="2"/>
          </w:tcPr>
          <w:p>
            <w:pPr>
              <w:jc w:val="right"/>
              <w:ind w:right="10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1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1.84</w:t>
            </w:r>
          </w:p>
        </w:tc>
        <w:tc>
          <w:tcPr>
            <w:tcW w:w="160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1.33</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0.21</w:t>
            </w:r>
          </w:p>
        </w:tc>
        <w:tc>
          <w:tcPr>
            <w:tcW w:w="15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0.32</w:t>
            </w:r>
          </w:p>
        </w:tc>
        <w:tc>
          <w:tcPr>
            <w:tcW w:w="12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888</w:t>
            </w:r>
          </w:p>
        </w:tc>
        <w:tc>
          <w:tcPr>
            <w:tcW w:w="15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Arial" w:cs="Arial" w:eastAsia="Arial" w:hAnsi="Arial"/>
                <w:sz w:val="14"/>
                <w:szCs w:val="14"/>
                <w:color w:val="auto"/>
              </w:rPr>
              <w:t>Credit card</w:t>
            </w:r>
          </w:p>
        </w:tc>
        <w:tc>
          <w:tcPr>
            <w:tcW w:w="1180" w:type="dxa"/>
            <w:vAlign w:val="bottom"/>
          </w:tcPr>
          <w:p>
            <w:pPr>
              <w:ind w:left="720"/>
              <w:spacing w:after="0"/>
              <w:rPr>
                <w:sz w:val="20"/>
                <w:szCs w:val="20"/>
                <w:color w:val="auto"/>
              </w:rPr>
            </w:pPr>
            <w:r>
              <w:rPr>
                <w:rFonts w:ascii="Arial" w:cs="Arial" w:eastAsia="Arial" w:hAnsi="Arial"/>
                <w:sz w:val="14"/>
                <w:szCs w:val="14"/>
                <w:color w:val="auto"/>
              </w:rPr>
              <w:t>4.64</w:t>
            </w:r>
          </w:p>
        </w:tc>
        <w:tc>
          <w:tcPr>
            <w:tcW w:w="1600" w:type="dxa"/>
            <w:vAlign w:val="bottom"/>
            <w:gridSpan w:val="2"/>
          </w:tcPr>
          <w:p>
            <w:pPr>
              <w:ind w:left="1140"/>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consumer</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0.88</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740" w:type="dxa"/>
            <w:vAlign w:val="bottom"/>
          </w:tcPr>
          <w:p>
            <w:pPr>
              <w:ind w:left="24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1.53 %</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0.56 %</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8"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9"/>
          <w:szCs w:val="9"/>
          <w:color w:val="auto"/>
        </w:rPr>
      </w:pPr>
      <w:r>
        <w:rPr>
          <w:rFonts w:ascii="Arial" w:cs="Arial" w:eastAsia="Arial" w:hAnsi="Arial"/>
          <w:sz w:val="11"/>
          <w:szCs w:val="11"/>
          <w:color w:val="auto"/>
        </w:rPr>
        <w:t>Allowance calculation excludes SBA-PPP loans.</w:t>
      </w:r>
    </w:p>
    <w:p>
      <w:pPr>
        <w:spacing w:after="0" w:line="224"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Total charge-offs for the quarters ended June 30, 2023 and June 30, 2022 were primarily due to credit card charge-offs resulting both from the aging of the portfolio and the shift from an almost exclusively secured card portfolio to a portfolio that also includes partially secured and unsecured exposures. Commercial real estate loans experienced charge-offs for the six months ended June 30, 2023 of $0.9 million. There were no charge-offs for the commercial loan portfolio for the quarter ended June 30, 2023. There were no charge-offs for the commercial loan portfolio for the six months ended June 30, 2022. The following tables present a summary of the net charge-offs (recovery) of loans as a percentage of average loans for the periods indicated:</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Charge-offs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97"/>
              </w:rPr>
              <w:t>Average Loans</w:t>
            </w:r>
          </w:p>
        </w:tc>
        <w:tc>
          <w:tcPr>
            <w:tcW w:w="100" w:type="dxa"/>
            <w:vAlign w:val="bottom"/>
          </w:tcPr>
          <w:p>
            <w:pPr>
              <w:spacing w:after="0"/>
              <w:rPr>
                <w:sz w:val="12"/>
                <w:szCs w:val="12"/>
                <w:color w:val="auto"/>
              </w:rPr>
            </w:pPr>
          </w:p>
        </w:tc>
        <w:tc>
          <w:tcPr>
            <w:tcW w:w="14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Percent of 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Charge-offs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9"/>
              <w:spacing w:after="0"/>
              <w:rPr>
                <w:sz w:val="20"/>
                <w:szCs w:val="20"/>
                <w:color w:val="auto"/>
              </w:rPr>
            </w:pPr>
            <w:r>
              <w:rPr>
                <w:rFonts w:ascii="Arial" w:cs="Arial" w:eastAsia="Arial" w:hAnsi="Arial"/>
                <w:sz w:val="14"/>
                <w:szCs w:val="14"/>
                <w:b w:val="1"/>
                <w:bCs w:val="1"/>
                <w:color w:val="auto"/>
              </w:rPr>
              <w:t>Average Loans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Percent of averag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portfolio loans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portfolio loans</w:t>
            </w:r>
          </w:p>
        </w:tc>
        <w:tc>
          <w:tcPr>
            <w:tcW w:w="0" w:type="dxa"/>
            <w:vAlign w:val="bottom"/>
          </w:tcPr>
          <w:p>
            <w:pPr>
              <w:spacing w:after="0"/>
              <w:rPr>
                <w:sz w:val="1"/>
                <w:szCs w:val="1"/>
                <w:color w:val="auto"/>
              </w:rPr>
            </w:pPr>
          </w:p>
        </w:tc>
      </w:tr>
      <w:tr>
        <w:trPr>
          <w:trHeight w:val="179"/>
        </w:trPr>
        <w:tc>
          <w:tcPr>
            <w:tcW w:w="270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561,565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60" w:type="dxa"/>
            <w:vAlign w:val="bottom"/>
            <w:gridSpan w:val="3"/>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651,655</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571,131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256,521</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241,278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218,800</w:t>
            </w:r>
          </w:p>
        </w:tc>
        <w:tc>
          <w:tcPr>
            <w:tcW w:w="1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173,706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110,574</w:t>
            </w:r>
          </w:p>
        </w:tc>
        <w:tc>
          <w:tcPr>
            <w:tcW w:w="15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124,548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1,800,800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1,532,671</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Charge-offs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9"/>
              </w:rPr>
              <w:t>Average Loans</w:t>
            </w:r>
          </w:p>
        </w:tc>
        <w:tc>
          <w:tcPr>
            <w:tcW w:w="1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Percent of 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Charge-offs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99"/>
              </w:rPr>
              <w:t>Average Loans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Percent of averag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portfolio loans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portfolio loans</w:t>
            </w:r>
          </w:p>
        </w:tc>
        <w:tc>
          <w:tcPr>
            <w:tcW w:w="0" w:type="dxa"/>
            <w:vAlign w:val="bottom"/>
          </w:tcPr>
          <w:p>
            <w:pPr>
              <w:spacing w:after="0"/>
              <w:rPr>
                <w:sz w:val="1"/>
                <w:szCs w:val="1"/>
                <w:color w:val="auto"/>
              </w:rPr>
            </w:pPr>
          </w:p>
        </w:tc>
      </w:tr>
      <w:tr>
        <w:trPr>
          <w:trHeight w:val="179"/>
        </w:trPr>
        <w:tc>
          <w:tcPr>
            <w:tcW w:w="270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4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541,197</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860" w:type="dxa"/>
            <w:vAlign w:val="bottom"/>
            <w:gridSpan w:val="3"/>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652,310</w:t>
            </w:r>
          </w:p>
        </w:tc>
        <w:tc>
          <w:tcPr>
            <w:tcW w:w="10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563,071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251,881</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247,572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215,120</w:t>
            </w:r>
          </w:p>
        </w:tc>
        <w:tc>
          <w:tcPr>
            <w:tcW w:w="1540" w:type="dxa"/>
            <w:vAlign w:val="bottom"/>
            <w:gridSpan w:val="2"/>
          </w:tcPr>
          <w:p>
            <w:pPr>
              <w:jc w:val="right"/>
              <w:ind w:right="109"/>
              <w:spacing w:after="0"/>
              <w:rPr>
                <w:sz w:val="20"/>
                <w:szCs w:val="20"/>
                <w:color w:val="auto"/>
              </w:rPr>
            </w:pPr>
            <w:r>
              <w:rPr>
                <w:rFonts w:ascii="Arial" w:cs="Arial" w:eastAsia="Arial" w:hAnsi="Arial"/>
                <w:sz w:val="14"/>
                <w:szCs w:val="14"/>
                <w:color w:val="auto"/>
              </w:rPr>
              <w:t>0.43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170,638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113,197</w:t>
            </w:r>
          </w:p>
        </w:tc>
        <w:tc>
          <w:tcPr>
            <w:tcW w:w="1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2.90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124,735</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4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4,216</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1,775,809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0.24 %</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1,519,857</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23" w:right="239" w:bottom="1440" w:gutter="0" w:footer="0" w:header="0"/>
        </w:sectPr>
      </w:pPr>
    </w:p>
    <w:bookmarkStart w:id="57" w:name="page58"/>
    <w:bookmarkEnd w:id="57"/>
    <w:p>
      <w:pPr>
        <w:jc w:val="both"/>
        <w:ind w:firstLine="318"/>
        <w:spacing w:after="0" w:line="255" w:lineRule="auto"/>
        <w:rPr>
          <w:sz w:val="20"/>
          <w:szCs w:val="20"/>
          <w:color w:val="auto"/>
        </w:rPr>
      </w:pPr>
      <w:r>
        <w:rPr>
          <w:rFonts w:ascii="Arial" w:cs="Arial" w:eastAsia="Arial" w:hAnsi="Arial"/>
          <w:sz w:val="18"/>
          <w:szCs w:val="18"/>
          <w:color w:val="auto"/>
        </w:rPr>
        <w:t>As the loan portfolio and ACL review processes continue to evolve, there may be changes to elements of the allowance and this may influence the overall level of the allowance maintained. Historically, the Bank has enjoyed a high-quality loan portfolio with relatively low levels of net charge-offs and low delinquency rates. The maintenance of a high-quality portfolio will continue to be a high priority.</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Although we believe we have established our ACL in accordance with GAAP and that the ACL is currently adequate to provide for known and inherent losses in the portfolio at all times shown above, future provisions for credit losses will be subject to ongoing evaluations of the risks in our loan portfolio.</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following table shows the allocation of the ACL among loan categories as of the dates indicated. The total allowance is available to absorb losses from any loan category.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80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25"/>
              <w:spacing w:after="0"/>
              <w:rPr>
                <w:sz w:val="20"/>
                <w:szCs w:val="20"/>
                <w:color w:val="auto"/>
              </w:rPr>
            </w:pPr>
            <w:r>
              <w:rPr>
                <w:rFonts w:ascii="Arial" w:cs="Arial" w:eastAsia="Arial" w:hAnsi="Arial"/>
                <w:sz w:val="14"/>
                <w:szCs w:val="14"/>
                <w:b w:val="1"/>
                <w:bCs w:val="1"/>
                <w:color w:val="auto"/>
              </w:rPr>
              <w:t>December 31, 2022</w:t>
            </w:r>
          </w:p>
        </w:tc>
      </w:tr>
      <w:tr>
        <w:trPr>
          <w:trHeight w:val="193"/>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5"/>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5"/>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18"/>
        </w:trPr>
        <w:tc>
          <w:tcPr>
            <w:tcW w:w="580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8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4"/>
        </w:trPr>
        <w:tc>
          <w:tcPr>
            <w:tcW w:w="5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19 %</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2"/>
        </w:trPr>
        <w:tc>
          <w:tcPr>
            <w:tcW w:w="580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10,188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8,098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12"/>
        </w:trPr>
        <w:tc>
          <w:tcPr>
            <w:tcW w:w="5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2"/>
        </w:trPr>
        <w:tc>
          <w:tcPr>
            <w:tcW w:w="580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4,296</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5,707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2"/>
        </w:trPr>
        <w:tc>
          <w:tcPr>
            <w:tcW w:w="580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25"/>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allowance for credit losses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27,495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40" w:hanging="316"/>
        <w:spacing w:after="0" w:line="193" w:lineRule="auto"/>
        <w:tabs>
          <w:tab w:leader="none" w:pos="640" w:val="left"/>
        </w:tabs>
        <w:numPr>
          <w:ilvl w:val="0"/>
          <w:numId w:val="18"/>
        </w:numPr>
        <w:rPr>
          <w:rFonts w:ascii="Arial" w:cs="Arial" w:eastAsia="Arial" w:hAnsi="Arial"/>
          <w:sz w:val="18"/>
          <w:szCs w:val="18"/>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223"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Total liabilities at June 30, 2023 increased $90.8 million from December 31, 2022, primarily due to growth in the deposit portfolio of $176.3 million, partially offset by an $85.0 million reduction in Federal Home Loan Bank advances,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3"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Deposits are a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low cost deposits. As of June 30, 2023 and December 31, 2022, our credit card customers accounted for $186.6 million and $187.4 million, or 26.9% and 27.8%, respectively, of our total noninterest-bearing deposit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8" w:name="page59"/>
    <w:bookmarkEnd w:id="58"/>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For the Six Months Ended June 30, 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For the Year Ended December 31, 2022</w:t>
            </w:r>
          </w:p>
        </w:tc>
      </w:tr>
      <w:tr>
        <w:trPr>
          <w:trHeight w:val="13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423"/>
              <w:spacing w:after="0" w:line="13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443"/>
              <w:spacing w:after="0" w:line="13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w w:val="99"/>
              </w:rPr>
              <w:t>Average</w:t>
            </w:r>
          </w:p>
        </w:tc>
      </w:tr>
      <w:tr>
        <w:trPr>
          <w:trHeight w:val="186"/>
        </w:trPr>
        <w:tc>
          <w:tcPr>
            <w:tcW w:w="4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Balance</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Rate</w:t>
            </w:r>
          </w:p>
        </w:tc>
      </w:tr>
      <w:tr>
        <w:trPr>
          <w:trHeight w:val="131"/>
        </w:trPr>
        <w:tc>
          <w:tcPr>
            <w:tcW w:w="43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1"/>
        </w:trPr>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demand accounts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196,782</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6"/>
                <w:szCs w:val="16"/>
                <w:b w:val="1"/>
                <w:bCs w:val="1"/>
                <w:color w:val="auto"/>
              </w:rPr>
              <w:t>0.14 %</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253,923</w:t>
            </w:r>
          </w:p>
        </w:tc>
        <w:tc>
          <w:tcPr>
            <w:tcW w:w="18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0.07 %</w:t>
            </w:r>
          </w:p>
        </w:tc>
      </w:tr>
      <w:tr>
        <w:trPr>
          <w:trHeight w:val="212"/>
        </w:trPr>
        <w:tc>
          <w:tcPr>
            <w:tcW w:w="4340" w:type="dxa"/>
            <w:vAlign w:val="bottom"/>
          </w:tcPr>
          <w:p>
            <w:pPr>
              <w:ind w:left="20"/>
              <w:spacing w:after="0"/>
              <w:rPr>
                <w:sz w:val="20"/>
                <w:szCs w:val="20"/>
                <w:color w:val="auto"/>
              </w:rPr>
            </w:pPr>
            <w:r>
              <w:rPr>
                <w:rFonts w:ascii="Arial" w:cs="Arial" w:eastAsia="Arial" w:hAnsi="Arial"/>
                <w:sz w:val="16"/>
                <w:szCs w:val="16"/>
                <w:color w:val="auto"/>
              </w:rPr>
              <w:t>Savings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6,160</w:t>
            </w:r>
          </w:p>
        </w:tc>
        <w:tc>
          <w:tcPr>
            <w:tcW w:w="1820" w:type="dxa"/>
            <w:vAlign w:val="bottom"/>
            <w:gridSpan w:val="2"/>
          </w:tcPr>
          <w:p>
            <w:pPr>
              <w:ind w:left="1300"/>
              <w:spacing w:after="0"/>
              <w:rPr>
                <w:sz w:val="20"/>
                <w:szCs w:val="20"/>
                <w:color w:val="auto"/>
              </w:rPr>
            </w:pPr>
            <w:r>
              <w:rPr>
                <w:rFonts w:ascii="Arial" w:cs="Arial" w:eastAsia="Arial" w:hAnsi="Arial"/>
                <w:sz w:val="16"/>
                <w:szCs w:val="16"/>
                <w:b w:val="1"/>
                <w:bCs w:val="1"/>
                <w:color w:val="auto"/>
              </w:rPr>
              <w:t>0.10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553,388</w:t>
            </w:r>
          </w:p>
        </w:tc>
        <w:tc>
          <w:tcPr>
            <w:tcW w:w="1800" w:type="dxa"/>
            <w:vAlign w:val="bottom"/>
            <w:gridSpan w:val="2"/>
          </w:tcPr>
          <w:p>
            <w:pPr>
              <w:ind w:left="1280"/>
              <w:spacing w:after="0"/>
              <w:rPr>
                <w:sz w:val="20"/>
                <w:szCs w:val="20"/>
                <w:color w:val="auto"/>
              </w:rPr>
            </w:pPr>
            <w:r>
              <w:rPr>
                <w:rFonts w:ascii="Arial" w:cs="Arial" w:eastAsia="Arial" w:hAnsi="Arial"/>
                <w:sz w:val="16"/>
                <w:szCs w:val="16"/>
                <w:color w:val="auto"/>
              </w:rPr>
              <w:t>0.82</w:t>
            </w: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615,247</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6"/>
                <w:szCs w:val="16"/>
                <w:b w:val="1"/>
                <w:bCs w:val="1"/>
                <w:color w:val="auto"/>
              </w:rPr>
              <w:t>3.28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w:t>
            </w:r>
          </w:p>
        </w:tc>
        <w:tc>
          <w:tcPr>
            <w:tcW w:w="18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0.06</w:t>
            </w:r>
          </w:p>
        </w:tc>
      </w:tr>
      <w:tr>
        <w:trPr>
          <w:trHeight w:val="212"/>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343,065</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4.13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165,854</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1.75</w:t>
            </w:r>
          </w:p>
        </w:tc>
      </w:tr>
      <w:tr>
        <w:trPr>
          <w:trHeight w:val="205"/>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1,161,254</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ind w:left="1180"/>
              <w:spacing w:after="0"/>
              <w:rPr>
                <w:sz w:val="20"/>
                <w:szCs w:val="20"/>
                <w:color w:val="auto"/>
              </w:rPr>
            </w:pPr>
            <w:r>
              <w:rPr>
                <w:rFonts w:ascii="Arial" w:cs="Arial" w:eastAsia="Arial" w:hAnsi="Arial"/>
                <w:sz w:val="16"/>
                <w:szCs w:val="16"/>
                <w:b w:val="1"/>
                <w:bCs w:val="1"/>
                <w:color w:val="auto"/>
              </w:rPr>
              <w:t>2.98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982,082</w:t>
            </w:r>
          </w:p>
        </w:tc>
        <w:tc>
          <w:tcPr>
            <w:tcW w:w="18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0.77</w:t>
            </w:r>
          </w:p>
        </w:tc>
      </w:tr>
      <w:tr>
        <w:trPr>
          <w:trHeight w:val="205"/>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Noninterest-bearing demand accounts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665,253</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781,971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25"/>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deposits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1,826,507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ind w:left="1180"/>
              <w:spacing w:after="0"/>
              <w:rPr>
                <w:sz w:val="20"/>
                <w:szCs w:val="20"/>
                <w:color w:val="auto"/>
              </w:rPr>
            </w:pPr>
            <w:r>
              <w:rPr>
                <w:rFonts w:ascii="Arial" w:cs="Arial" w:eastAsia="Arial" w:hAnsi="Arial"/>
                <w:sz w:val="16"/>
                <w:szCs w:val="16"/>
                <w:b w:val="1"/>
                <w:bCs w:val="1"/>
                <w:color w:val="auto"/>
              </w:rPr>
              <w:t>1.89 %</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1,764,053</w:t>
            </w:r>
          </w:p>
        </w:tc>
        <w:tc>
          <w:tcPr>
            <w:tcW w:w="18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0.43 %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(1) Annualized</w:t>
      </w:r>
    </w:p>
    <w:p>
      <w:pPr>
        <w:spacing w:after="0" w:line="2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Deposit costs increased 146 basis points during the six months ended June 30, 2023 owing in large part to a series of interest rate increases implemented by the Federal Reserve beginning in early 2022. Average noninterest-bearing deposit balances decreased $116.7 million when compared to December 31, 2022, largely due to the decision by some depositors to move balances from noninterest-bearing deposit accounts to interest-bearing deposit accounts.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June 30, 2023.</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46"/>
              <w:spacing w:after="0"/>
              <w:rPr>
                <w:sz w:val="20"/>
                <w:szCs w:val="20"/>
                <w:color w:val="auto"/>
              </w:rPr>
            </w:pPr>
            <w:r>
              <w:rPr>
                <w:rFonts w:ascii="Arial" w:cs="Arial" w:eastAsia="Arial" w:hAnsi="Arial"/>
                <w:sz w:val="14"/>
                <w:szCs w:val="14"/>
                <w:b w:val="1"/>
                <w:bCs w:val="1"/>
                <w:color w:val="auto"/>
              </w:rPr>
              <w:t>Over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98"/>
              </w:rPr>
              <w:t>Over Six</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rPr>
              <w:t>Three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66"/>
              <w:spacing w:after="0" w:line="133" w:lineRule="exact"/>
              <w:rPr>
                <w:sz w:val="20"/>
                <w:szCs w:val="20"/>
                <w:color w:val="auto"/>
              </w:rPr>
            </w:pPr>
            <w:r>
              <w:rPr>
                <w:rFonts w:ascii="Arial" w:cs="Arial" w:eastAsia="Arial" w:hAnsi="Arial"/>
                <w:sz w:val="14"/>
                <w:szCs w:val="14"/>
                <w:b w:val="1"/>
                <w:bCs w:val="1"/>
                <w:color w:val="auto"/>
                <w:w w:val="99"/>
              </w:rPr>
              <w:t>Three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center"/>
              <w:ind w:right="185"/>
              <w:spacing w:after="0"/>
              <w:rPr>
                <w:sz w:val="20"/>
                <w:szCs w:val="20"/>
                <w:color w:val="auto"/>
              </w:rPr>
            </w:pPr>
            <w:r>
              <w:rPr>
                <w:rFonts w:ascii="Arial" w:cs="Arial" w:eastAsia="Arial" w:hAnsi="Arial"/>
                <w:sz w:val="14"/>
                <w:szCs w:val="14"/>
                <w:b w:val="1"/>
                <w:bCs w:val="1"/>
                <w:color w:val="auto"/>
              </w:rPr>
              <w:t>Over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6"/>
              <w:spacing w:after="0" w:line="146" w:lineRule="exact"/>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6"/>
              <w:spacing w:after="0" w:line="146" w:lineRule="exact"/>
              <w:rPr>
                <w:sz w:val="20"/>
                <w:szCs w:val="20"/>
                <w:color w:val="auto"/>
              </w:rPr>
            </w:pPr>
            <w:r>
              <w:rPr>
                <w:rFonts w:ascii="Arial" w:cs="Arial" w:eastAsia="Arial" w:hAnsi="Arial"/>
                <w:sz w:val="14"/>
                <w:szCs w:val="14"/>
                <w:b w:val="1"/>
                <w:bCs w:val="1"/>
                <w:color w:val="auto"/>
                <w:w w:val="98"/>
              </w:rPr>
              <w:t>Through</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5"/>
              <w:spacing w:after="0" w:line="146" w:lineRule="exact"/>
              <w:rPr>
                <w:sz w:val="20"/>
                <w:szCs w:val="20"/>
                <w:color w:val="auto"/>
              </w:rPr>
            </w:pPr>
            <w:r>
              <w:rPr>
                <w:rFonts w:ascii="Arial" w:cs="Arial" w:eastAsia="Arial" w:hAnsi="Arial"/>
                <w:sz w:val="14"/>
                <w:szCs w:val="14"/>
                <w:b w:val="1"/>
                <w:bCs w:val="1"/>
                <w:color w:val="auto"/>
              </w:rPr>
              <w:t>Months or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6"/>
              <w:spacing w:after="0" w:line="146" w:lineRule="exact"/>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86"/>
              <w:spacing w:after="0" w:line="146" w:lineRule="exact"/>
              <w:rPr>
                <w:sz w:val="20"/>
                <w:szCs w:val="20"/>
                <w:color w:val="auto"/>
              </w:rPr>
            </w:pPr>
            <w:r>
              <w:rPr>
                <w:rFonts w:ascii="Arial" w:cs="Arial" w:eastAsia="Arial" w:hAnsi="Arial"/>
                <w:sz w:val="14"/>
                <w:szCs w:val="14"/>
                <w:b w:val="1"/>
                <w:bCs w:val="1"/>
                <w:color w:val="auto"/>
                <w:w w:val="98"/>
              </w:rPr>
              <w:t>Twelve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5"/>
              <w:spacing w:after="0" w:line="146" w:lineRule="exact"/>
              <w:rPr>
                <w:sz w:val="20"/>
                <w:szCs w:val="20"/>
                <w:color w:val="auto"/>
              </w:rPr>
            </w:pPr>
            <w:r>
              <w:rPr>
                <w:rFonts w:ascii="Arial" w:cs="Arial" w:eastAsia="Arial" w:hAnsi="Arial"/>
                <w:sz w:val="14"/>
                <w:szCs w:val="14"/>
                <w:b w:val="1"/>
                <w:bCs w:val="1"/>
                <w:color w:val="auto"/>
                <w:w w:val="98"/>
              </w:rPr>
              <w:t>Twelve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$250,000 or more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47,423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64,634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117,477</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$250,000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162,673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243,696</w:t>
            </w: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210,096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136,589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361,173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June 30, 2023 the Company had $361.2 million in total time deposits, an increase of $67.8 million from year end December 31, 2022. Total brokered time deposits of $128.7 million at June 30, 2023 decreased $3.2 million from $131.8 million at December 31, 2022. Total brokered time deposits as a percentage of total deposits was 6.7% at June 30, 2023.</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2023 and December 31, 2022, based on the methodologies and assumptions used for the Bank’s regulatory reporting requirements, approximately $860.4 million or 44.5% and $784.6 million or 44.6%, respectively, of the deposit portfolio was uninsured. Uninsured deposits are comprised of the portion of account balances that are in excess of FDIC insurance limits.</w:t>
      </w:r>
    </w:p>
    <w:p>
      <w:pPr>
        <w:spacing w:after="0" w:line="188"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Deposits securing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 lines of credit and deposits from title companies represent the largest concentrations in the deposit portfolio. As of June 30, 2023, these deposits represented 10% and 17% of deposits, respectively. As of December 31, 2022, these concentrations were 11% and 13% of deposits.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 Despite the uncertain market conditions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9" w:name="page60"/>
    <w:bookmarkEnd w:id="59"/>
    <w:p>
      <w:pPr>
        <w:jc w:val="both"/>
        <w:spacing w:after="0" w:line="265" w:lineRule="auto"/>
        <w:rPr>
          <w:sz w:val="20"/>
          <w:szCs w:val="20"/>
          <w:color w:val="auto"/>
        </w:rPr>
      </w:pPr>
      <w:r>
        <w:rPr>
          <w:rFonts w:ascii="Arial" w:cs="Arial" w:eastAsia="Arial" w:hAnsi="Arial"/>
          <w:sz w:val="18"/>
          <w:szCs w:val="18"/>
          <w:color w:val="auto"/>
        </w:rPr>
        <w:t>the first quarter following the closures of Silicon Valley Bank and Signature bank, our total borrowings decreased during the six months ended June 30, 2023 to $34.1 million from $119.1 million at December 31, 2022 as our deposits increased during the quarter.</w:t>
      </w:r>
    </w:p>
    <w:p>
      <w:pPr>
        <w:spacing w:after="0" w:line="1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June 30, 2023, approximately $525.9 million in real estate loans were pledged as collateral to the FHLB and our total borrowing capacity from the FHLB was $381.6 million. As of June 30, 2023, no investment securities were pledged with the FHLB. We utilize these borrowings to meet liquidity needs and to fund certain fixed rate loans in our portfolio. As of June 30, 2023, we had $22.0 million in outstanding advances and $359.6 million in available borrowing capacity from the FHLB.</w:t>
      </w:r>
    </w:p>
    <w:p>
      <w:pPr>
        <w:spacing w:after="0" w:line="18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 xml:space="preserve">Other Borrowed Funds. </w:t>
      </w:r>
      <w:r>
        <w:rPr>
          <w:rFonts w:ascii="Arial" w:cs="Arial" w:eastAsia="Arial" w:hAnsi="Arial"/>
          <w:sz w:val="18"/>
          <w:szCs w:val="18"/>
          <w:color w:val="auto"/>
        </w:rPr>
        <w:t>The Company has also issued junior subordinated debentures and other subordinated notes. At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these other borrowings amounted to $12.1 million, consisting of Floating Rate Junior Subordinated Deferrable Interest Debentures and subordinated notes.</w:t>
      </w:r>
    </w:p>
    <w:p>
      <w:pPr>
        <w:spacing w:after="0" w:line="18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June 30, 2023, our Floating Rate Junior Subordinated Deferrable Interest Debentures amounted to $2.1 million. The Floating Rate Junior Subordinated Deferrable Interest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tenor spread of 0.26161 percent (or 26.161 bps) pursuant to the rules of the Adjustable Interest Rate (LIBOR) Act, payable quarterly. As of June 30, 2023, the rate for the Floating Rate Debentures was 7.42%.</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November 30, 2020, the Company issued $10.0 million in subordinated notes due in 2030 (the “Notes”). The Notes have a ten year term and have a fixed rate of 5.00% for the first five years; thereafter, the rate resets quarterly to a benchmark rate, which is expected to be the three-month SOFR, plus 490 basis points. The Notes may be redeemed in part or in whole, upon the occurrence of certain events.</w:t>
      </w:r>
    </w:p>
    <w:p>
      <w:pPr>
        <w:spacing w:after="0" w:line="1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Federal Reserve Bank of Richmond. </w:t>
      </w:r>
      <w:r>
        <w:rPr>
          <w:rFonts w:ascii="Arial" w:cs="Arial" w:eastAsia="Arial" w:hAnsi="Arial"/>
          <w:sz w:val="18"/>
          <w:szCs w:val="18"/>
          <w:color w:val="auto"/>
        </w:rPr>
        <w:t>The Federal Reserve Bank of Richmond has an available borrower in custody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borrow on a collateralized basis. The Company’s borrowing capacity under the Federal Reserve’s discount window program was $21.8 million as of June 30, 2023. Certain commercial loans are pledged under this arrangement. During the first quarter of 2023, we established a line of credit under the Federal Reserve Bank’s Bank Term Funding Program (“BTFP”). We have pledged $150.0 million of U.S. Treasuries securities to the Federal Reserve Bank which gives rise to $150.0 million of borrowing capacity. We maintain these borrowing arrangements to meet liquidity needs pursuant to our contingency funding plan. There were no outstanding balances on these lines at June 30, 2023.</w:t>
      </w:r>
    </w:p>
    <w:p>
      <w:pPr>
        <w:spacing w:after="0" w:line="1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also has available lines of credit of $76.0 million with other correspondent banks at June 30, 2023, as well as access to certificate of deposit funding through financial intermediaries. There were no outstanding balances on the lines of credit from correspondent banks at June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0" w:name="page61"/>
    <w:bookmarkEnd w:id="60"/>
    <w:p>
      <w:pPr>
        <w:jc w:val="both"/>
        <w:spacing w:after="0" w:line="252" w:lineRule="auto"/>
        <w:rPr>
          <w:sz w:val="20"/>
          <w:szCs w:val="20"/>
          <w:color w:val="auto"/>
        </w:rPr>
      </w:pPr>
      <w:r>
        <w:rPr>
          <w:rFonts w:ascii="Arial" w:cs="Arial" w:eastAsia="Arial" w:hAnsi="Arial"/>
          <w:sz w:val="18"/>
          <w:szCs w:val="18"/>
          <w:color w:val="auto"/>
        </w:rPr>
        <w:t>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1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June 30, 2023, we had $359.6 million of available borrowing capacity from the FHLB, $21.8 million of available borrowing capacity from the Federal Reserve Bank of Richmond Borrower in Custody program and available lines of credit of $76.0 million with other correspondent banks. At June 30, 2023, the Company also had $150.0 million available through the BTFP, which provides funding collateralized by designated investment securities. The BTFP was established in March 2023 to make additional funding available to banks to ensure they could meet the needs of depositors and to eliminate the need for banks to sell securities in times of stress. There were no borrowings outstanding under this facility at the end of the current period. Cash and cash equivalents were $119.3 million at June 30,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Stockholders’ equity increased $13.4 million for the period ended June 30, 2023 compared to December 31, 2022 largely due to net income of $17.1 million for the six months ended June 30, 2023. Shares repurchased during the three months ended June 30, 2023 as part of the Company’s stock repurchase program totaled 138,407 shares at an average price of $16.72, for a total cost of $2.3 million including commissions. Shares repurchased during the six months ended June 30, 2023 as part of the Company’s stock repurchase program totaled 285,344 shares at an average price of $17.65, for a total cost of $5.0 million including commissions.</w:t>
      </w:r>
    </w:p>
    <w:p>
      <w:pPr>
        <w:spacing w:after="0" w:line="194"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The Company uses several indicators of capital strength. The most commonly used measure is average common equity to average assets (computed as average equity divided by average total assets), which was 10.93% at June 30, 2023 and 10.22% at December 31, 2022.</w:t>
      </w:r>
    </w:p>
    <w:p>
      <w:pPr>
        <w:spacing w:after="0" w:line="15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accounting practices. The capital amounts and classifications are also subject to qualitative judgments by the regulators.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Quantitative measures established by regulation to ensure capital adequacy require the Bank to maintain minimum ratios of common equity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Tier 1, Tier 1, and total capital as a percentage of assets and off-balance sheet exposures, adjusted for risk weights ranging from 0% to 1250%.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Bank is also required to maintain capital at a minimum level based on quarterly average assets, which is known as the leverage ratio.</w:t>
      </w:r>
    </w:p>
    <w:p>
      <w:pPr>
        <w:spacing w:after="0" w:line="20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1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2022.</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June 30, 2023,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2" w:name="page63"/>
    <w:bookmarkEnd w:id="62"/>
    <w:p>
      <w:pPr>
        <w:ind w:left="320"/>
        <w:spacing w:after="0"/>
        <w:rPr>
          <w:sz w:val="20"/>
          <w:szCs w:val="20"/>
          <w:color w:val="auto"/>
        </w:rPr>
      </w:pPr>
      <w:r>
        <w:rPr>
          <w:rFonts w:ascii="Arial" w:cs="Arial" w:eastAsia="Arial" w:hAnsi="Arial"/>
          <w:sz w:val="18"/>
          <w:szCs w:val="18"/>
          <w:color w:val="auto"/>
        </w:rPr>
        <w:t>The following table presents the regulatory capital ratios for the Company and the Bank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640"/>
              <w:spacing w:after="0"/>
              <w:rPr>
                <w:sz w:val="20"/>
                <w:szCs w:val="20"/>
                <w:color w:val="auto"/>
              </w:rPr>
            </w:pPr>
            <w:r>
              <w:rPr>
                <w:rFonts w:ascii="Arial" w:cs="Arial" w:eastAsia="Arial" w:hAnsi="Arial"/>
                <w:sz w:val="13"/>
                <w:szCs w:val="13"/>
                <w:b w:val="1"/>
                <w:bCs w:val="1"/>
                <w:color w:val="auto"/>
              </w:rPr>
              <w:t>Actual</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tcPr>
          <w:p>
            <w:pPr>
              <w:jc w:val="center"/>
              <w:ind w:right="29"/>
              <w:spacing w:after="0"/>
              <w:rPr>
                <w:sz w:val="20"/>
                <w:szCs w:val="20"/>
                <w:color w:val="auto"/>
              </w:rPr>
            </w:pPr>
            <w:r>
              <w:rPr>
                <w:rFonts w:ascii="Arial" w:cs="Arial" w:eastAsia="Arial" w:hAnsi="Arial"/>
                <w:sz w:val="13"/>
                <w:szCs w:val="13"/>
                <w:b w:val="1"/>
                <w:bCs w:val="1"/>
                <w:color w:val="auto"/>
              </w:rPr>
              <w:t>Minimum 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3"/>
          </w:tcPr>
          <w:p>
            <w:pPr>
              <w:jc w:val="right"/>
              <w:ind w:right="59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rPr>
              <w:t>Adequacy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auto"/>
              </w:rPr>
              <w:t>Capitalized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253,486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11.50 %</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88,161</w:t>
            </w:r>
          </w:p>
        </w:tc>
        <w:tc>
          <w:tcPr>
            <w:tcW w:w="1060" w:type="dxa"/>
            <w:vAlign w:val="bottom"/>
            <w:gridSpan w:val="2"/>
          </w:tcPr>
          <w:p>
            <w:pPr>
              <w:ind w:left="620"/>
              <w:spacing w:after="0"/>
              <w:rPr>
                <w:sz w:val="20"/>
                <w:szCs w:val="20"/>
                <w:color w:val="auto"/>
              </w:rPr>
            </w:pPr>
            <w:r>
              <w:rPr>
                <w:rFonts w:ascii="Arial" w:cs="Arial" w:eastAsia="Arial" w:hAnsi="Arial"/>
                <w:sz w:val="13"/>
                <w:szCs w:val="13"/>
                <w:b w:val="1"/>
                <w:bCs w:val="1"/>
                <w:color w:val="auto"/>
              </w:rPr>
              <w:t>4.00 %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N/A</w:t>
            </w:r>
          </w:p>
        </w:tc>
        <w:tc>
          <w:tcPr>
            <w:tcW w:w="120" w:type="dxa"/>
            <w:vAlign w:val="bottom"/>
          </w:tcPr>
          <w:p>
            <w:pPr>
              <w:spacing w:after="0"/>
              <w:rPr>
                <w:sz w:val="16"/>
                <w:szCs w:val="16"/>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253,486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14.96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101,647</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b w:val="1"/>
                <w:bCs w:val="1"/>
                <w:color w:val="auto"/>
              </w:rPr>
              <w:t>6.00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N/A</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253,486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14.96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76,235</w:t>
            </w:r>
          </w:p>
        </w:tc>
        <w:tc>
          <w:tcPr>
            <w:tcW w:w="1060" w:type="dxa"/>
            <w:vAlign w:val="bottom"/>
            <w:gridSpan w:val="2"/>
          </w:tcPr>
          <w:p>
            <w:pPr>
              <w:ind w:left="620"/>
              <w:spacing w:after="0"/>
              <w:rPr>
                <w:sz w:val="20"/>
                <w:szCs w:val="20"/>
                <w:color w:val="auto"/>
              </w:rPr>
            </w:pPr>
            <w:r>
              <w:rPr>
                <w:rFonts w:ascii="Arial" w:cs="Arial" w:eastAsia="Arial" w:hAnsi="Arial"/>
                <w:sz w:val="13"/>
                <w:szCs w:val="13"/>
                <w:b w:val="1"/>
                <w:bCs w:val="1"/>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N/A</w:t>
            </w:r>
          </w:p>
        </w:tc>
        <w:tc>
          <w:tcPr>
            <w:tcW w:w="120" w:type="dxa"/>
            <w:vAlign w:val="bottom"/>
          </w:tcPr>
          <w:p>
            <w:pPr>
              <w:spacing w:after="0"/>
              <w:rPr>
                <w:sz w:val="16"/>
                <w:szCs w:val="16"/>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284,752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16.81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135,529</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b w:val="1"/>
                <w:bCs w:val="1"/>
                <w:color w:val="auto"/>
              </w:rPr>
              <w:t>8.00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N/A</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210,202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9.77 %</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86,017</w:t>
            </w:r>
          </w:p>
        </w:tc>
        <w:tc>
          <w:tcPr>
            <w:tcW w:w="1060" w:type="dxa"/>
            <w:vAlign w:val="bottom"/>
            <w:gridSpan w:val="2"/>
          </w:tcPr>
          <w:p>
            <w:pPr>
              <w:ind w:left="620"/>
              <w:spacing w:after="0"/>
              <w:rPr>
                <w:sz w:val="20"/>
                <w:szCs w:val="20"/>
                <w:color w:val="auto"/>
              </w:rPr>
            </w:pPr>
            <w:r>
              <w:rPr>
                <w:rFonts w:ascii="Arial" w:cs="Arial" w:eastAsia="Arial" w:hAnsi="Arial"/>
                <w:sz w:val="13"/>
                <w:szCs w:val="13"/>
                <w:b w:val="1"/>
                <w:bCs w:val="1"/>
                <w:color w:val="auto"/>
              </w:rPr>
              <w:t>4.00 %</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107,521</w:t>
            </w: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5.00 %</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210,202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12.82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98,378</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b w:val="1"/>
                <w:bCs w:val="1"/>
                <w:color w:val="auto"/>
              </w:rPr>
              <w:t>6.00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131,171</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210,202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12.82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73,784</w:t>
            </w:r>
          </w:p>
        </w:tc>
        <w:tc>
          <w:tcPr>
            <w:tcW w:w="1060" w:type="dxa"/>
            <w:vAlign w:val="bottom"/>
            <w:gridSpan w:val="2"/>
          </w:tcPr>
          <w:p>
            <w:pPr>
              <w:ind w:left="620"/>
              <w:spacing w:after="0"/>
              <w:rPr>
                <w:sz w:val="20"/>
                <w:szCs w:val="20"/>
                <w:color w:val="auto"/>
              </w:rPr>
            </w:pPr>
            <w:r>
              <w:rPr>
                <w:rFonts w:ascii="Arial" w:cs="Arial" w:eastAsia="Arial" w:hAnsi="Arial"/>
                <w:sz w:val="13"/>
                <w:szCs w:val="13"/>
                <w:b w:val="1"/>
                <w:bCs w:val="1"/>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106,577</w:t>
            </w:r>
          </w:p>
        </w:tc>
        <w:tc>
          <w:tcPr>
            <w:tcW w:w="116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230,789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14.08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131,171</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b w:val="1"/>
                <w:bCs w:val="1"/>
                <w:color w:val="auto"/>
              </w:rPr>
              <w:t>8.00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163,964</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2022</w:t>
            </w:r>
          </w:p>
        </w:tc>
        <w:tc>
          <w:tcPr>
            <w:tcW w:w="3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86,442</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4.00 %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242,829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15.13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96,315</w:t>
            </w:r>
          </w:p>
        </w:tc>
        <w:tc>
          <w:tcPr>
            <w:tcW w:w="1060" w:type="dxa"/>
            <w:vAlign w:val="bottom"/>
            <w:gridSpan w:val="2"/>
          </w:tcPr>
          <w:p>
            <w:pPr>
              <w:ind w:left="620"/>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72,237</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262,217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16.33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128,421</w:t>
            </w:r>
          </w:p>
        </w:tc>
        <w:tc>
          <w:tcPr>
            <w:tcW w:w="1060" w:type="dxa"/>
            <w:vAlign w:val="bottom"/>
            <w:gridSpan w:val="2"/>
          </w:tcPr>
          <w:p>
            <w:pPr>
              <w:ind w:left="62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84,416</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4.00 %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105,521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199,846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12.95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92,574</w:t>
            </w:r>
          </w:p>
        </w:tc>
        <w:tc>
          <w:tcPr>
            <w:tcW w:w="1060" w:type="dxa"/>
            <w:vAlign w:val="bottom"/>
            <w:gridSpan w:val="2"/>
          </w:tcPr>
          <w:p>
            <w:pPr>
              <w:ind w:left="620"/>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auto"/>
              </w:rPr>
              <w:t>123,432</w:t>
            </w:r>
          </w:p>
        </w:tc>
        <w:tc>
          <w:tcPr>
            <w:tcW w:w="1160" w:type="dxa"/>
            <w:vAlign w:val="bottom"/>
            <w:gridSpan w:val="2"/>
          </w:tcPr>
          <w:p>
            <w:pPr>
              <w:jc w:val="right"/>
              <w:ind w:right="113"/>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69,431</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100,289</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219,234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14.21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123,432</w:t>
            </w:r>
          </w:p>
        </w:tc>
        <w:tc>
          <w:tcPr>
            <w:tcW w:w="1060" w:type="dxa"/>
            <w:vAlign w:val="bottom"/>
            <w:gridSpan w:val="2"/>
          </w:tcPr>
          <w:p>
            <w:pPr>
              <w:ind w:left="62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auto"/>
              </w:rPr>
              <w:t>154,290</w:t>
            </w:r>
          </w:p>
        </w:tc>
        <w:tc>
          <w:tcPr>
            <w:tcW w:w="1160" w:type="dxa"/>
            <w:vAlign w:val="bottom"/>
            <w:gridSpan w:val="2"/>
          </w:tcPr>
          <w:p>
            <w:pPr>
              <w:jc w:val="right"/>
              <w:ind w:right="113"/>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We have contractual obligations to make future payments on debt agreements. Our liquidity monitoring and management consider both present and future demands for and sources of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unfunded commitments and certain off-balance sheet credit risks, which is recorded in other liabilities on the consolidated balance sheet.</w:t>
      </w:r>
    </w:p>
    <w:p>
      <w:pPr>
        <w:spacing w:after="0" w:line="1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8"/>
        </w:trPr>
        <w:tc>
          <w:tcPr>
            <w:tcW w:w="5840" w:type="dxa"/>
            <w:vAlign w:val="bottom"/>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 2023</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As of December 31, 2022</w:t>
            </w:r>
          </w:p>
        </w:tc>
      </w:tr>
      <w:tr>
        <w:trPr>
          <w:trHeight w:val="119"/>
        </w:trPr>
        <w:tc>
          <w:tcPr>
            <w:tcW w:w="5840" w:type="dxa"/>
            <w:vAlign w:val="bottom"/>
          </w:tcPr>
          <w:p>
            <w:pPr>
              <w:ind w:left="20"/>
              <w:spacing w:after="0" w:line="119" w:lineRule="exact"/>
              <w:rPr>
                <w:sz w:val="20"/>
                <w:szCs w:val="20"/>
                <w:color w:val="auto"/>
              </w:rPr>
            </w:pPr>
            <w:r>
              <w:rPr>
                <w:rFonts w:ascii="Arial" w:cs="Arial" w:eastAsia="Arial" w:hAnsi="Arial"/>
                <w:sz w:val="11"/>
                <w:szCs w:val="11"/>
                <w:color w:val="auto"/>
              </w:rPr>
              <w:t>(in thousands)</w:t>
            </w:r>
          </w:p>
        </w:tc>
        <w:tc>
          <w:tcPr>
            <w:tcW w:w="1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tcPr>
          <w:p>
            <w:pPr>
              <w:spacing w:after="0"/>
              <w:rPr>
                <w:sz w:val="10"/>
                <w:szCs w:val="10"/>
                <w:color w:val="auto"/>
              </w:rPr>
            </w:pPr>
          </w:p>
        </w:tc>
      </w:tr>
      <w:tr>
        <w:trPr>
          <w:trHeight w:val="21"/>
        </w:trPr>
        <w:tc>
          <w:tcPr>
            <w:tcW w:w="5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Unfunded lines of credit</w:t>
            </w:r>
          </w:p>
        </w:tc>
        <w:tc>
          <w:tcPr>
            <w:tcW w:w="1980" w:type="dxa"/>
            <w:vAlign w:val="bottom"/>
            <w:shd w:val="clear" w:color="auto" w:fill="CCEEFF"/>
          </w:tcPr>
          <w:p>
            <w:pPr>
              <w:jc w:val="right"/>
              <w:ind w:right="1803"/>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6"/>
              </w:rPr>
              <w:t>321,354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345,063</w:t>
            </w:r>
          </w:p>
        </w:tc>
      </w:tr>
      <w:tr>
        <w:trPr>
          <w:trHeight w:val="212"/>
        </w:trPr>
        <w:tc>
          <w:tcPr>
            <w:tcW w:w="584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19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b w:val="1"/>
                <w:bCs w:val="1"/>
                <w:color w:val="auto"/>
              </w:rPr>
              <w:t>4,641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Pr>
          <w:p>
            <w:pPr>
              <w:jc w:val="right"/>
              <w:ind w:right="2"/>
              <w:spacing w:after="0"/>
              <w:rPr>
                <w:sz w:val="20"/>
                <w:szCs w:val="20"/>
                <w:color w:val="auto"/>
              </w:rPr>
            </w:pPr>
            <w:r>
              <w:rPr>
                <w:rFonts w:ascii="Arial" w:cs="Arial" w:eastAsia="Arial" w:hAnsi="Arial"/>
                <w:sz w:val="16"/>
                <w:szCs w:val="16"/>
                <w:color w:val="auto"/>
              </w:rPr>
              <w:t>5,105</w:t>
            </w:r>
          </w:p>
        </w:tc>
      </w:tr>
      <w:tr>
        <w:trPr>
          <w:trHeight w:val="21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 to fund other investments</w:t>
            </w:r>
          </w:p>
        </w:tc>
        <w:tc>
          <w:tcPr>
            <w:tcW w:w="1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3,874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4,365</w:t>
            </w:r>
          </w:p>
        </w:tc>
      </w:tr>
      <w:tr>
        <w:trPr>
          <w:trHeight w:val="205"/>
        </w:trPr>
        <w:tc>
          <w:tcPr>
            <w:tcW w:w="5840" w:type="dxa"/>
            <w:vAlign w:val="bottom"/>
          </w:tcPr>
          <w:p>
            <w:pPr>
              <w:ind w:left="140"/>
              <w:spacing w:after="0"/>
              <w:rPr>
                <w:sz w:val="20"/>
                <w:szCs w:val="20"/>
                <w:color w:val="auto"/>
              </w:rPr>
            </w:pPr>
            <w:r>
              <w:rPr>
                <w:rFonts w:ascii="Arial" w:cs="Arial" w:eastAsia="Arial" w:hAnsi="Arial"/>
                <w:sz w:val="16"/>
                <w:szCs w:val="16"/>
                <w:color w:val="auto"/>
              </w:rPr>
              <w:t>Total credit extension commitments</w:t>
            </w:r>
          </w:p>
        </w:tc>
        <w:tc>
          <w:tcPr>
            <w:tcW w:w="1980" w:type="dxa"/>
            <w:vAlign w:val="bottom"/>
          </w:tcPr>
          <w:p>
            <w:pPr>
              <w:jc w:val="right"/>
              <w:ind w:right="1803"/>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b w:val="1"/>
                <w:bCs w:val="1"/>
                <w:color w:val="auto"/>
                <w:w w:val="96"/>
              </w:rPr>
              <w:t>329,869</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2"/>
              <w:spacing w:after="0"/>
              <w:rPr>
                <w:sz w:val="20"/>
                <w:szCs w:val="20"/>
                <w:color w:val="auto"/>
              </w:rPr>
            </w:pPr>
            <w:r>
              <w:rPr>
                <w:rFonts w:ascii="Arial" w:cs="Arial" w:eastAsia="Arial" w:hAnsi="Arial"/>
                <w:sz w:val="16"/>
                <w:szCs w:val="16"/>
                <w:color w:val="auto"/>
              </w:rPr>
              <w:t>354,533</w:t>
            </w:r>
          </w:p>
        </w:tc>
      </w:tr>
      <w:tr>
        <w:trPr>
          <w:trHeight w:val="20"/>
        </w:trPr>
        <w:tc>
          <w:tcPr>
            <w:tcW w:w="58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9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commitment to fund other investments reflects an obligation to make an investment in a Small Business Investment Company.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Impact of Inflation</w:t>
      </w: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64" w:name="page65"/>
    <w:bookmarkEnd w:id="64"/>
    <w:p>
      <w:pPr>
        <w:spacing w:after="0" w:line="265" w:lineRule="auto"/>
        <w:rPr>
          <w:sz w:val="20"/>
          <w:szCs w:val="20"/>
          <w:color w:val="auto"/>
        </w:rPr>
      </w:pPr>
      <w:r>
        <w:rPr>
          <w:rFonts w:ascii="Arial" w:cs="Arial" w:eastAsia="Arial" w:hAnsi="Arial"/>
          <w:sz w:val="18"/>
          <w:szCs w:val="18"/>
          <w:color w:val="auto"/>
        </w:rPr>
        <w:t>the same magnitude as the prices of goods and services. However, most other operating expenses are sensitive to changes in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1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9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Arial" w:cs="Arial" w:eastAsia="Arial" w:hAnsi="Arial"/>
                <w:sz w:val="14"/>
                <w:szCs w:val="14"/>
                <w:b w:val="1"/>
                <w:bCs w:val="1"/>
                <w:color w:val="auto"/>
              </w:rPr>
              <w:t>After Three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Greater Than One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2023</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Within One Month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9"/>
              <w:spacing w:after="0" w:line="146" w:lineRule="exact"/>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49"/>
              <w:spacing w:after="0" w:line="146" w:lineRule="exact"/>
              <w:rPr>
                <w:sz w:val="20"/>
                <w:szCs w:val="20"/>
                <w:color w:val="auto"/>
              </w:rPr>
            </w:pPr>
            <w:r>
              <w:rPr>
                <w:rFonts w:ascii="Arial" w:cs="Arial" w:eastAsia="Arial" w:hAnsi="Arial"/>
                <w:sz w:val="14"/>
                <w:szCs w:val="14"/>
                <w:b w:val="1"/>
                <w:bCs w:val="1"/>
                <w:color w:val="auto"/>
              </w:rPr>
              <w:t>Through Twelve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9"/>
              </w:rPr>
              <w:t>Within One 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9"/>
              <w:spacing w:after="0" w:line="146" w:lineRule="exact"/>
              <w:rPr>
                <w:sz w:val="20"/>
                <w:szCs w:val="20"/>
                <w:color w:val="auto"/>
              </w:rPr>
            </w:pPr>
            <w:r>
              <w:rPr>
                <w:rFonts w:ascii="Arial" w:cs="Arial" w:eastAsia="Arial" w:hAnsi="Arial"/>
                <w:sz w:val="14"/>
                <w:szCs w:val="14"/>
                <w:b w:val="1"/>
                <w:bCs w:val="1"/>
                <w:color w:val="auto"/>
                <w:w w:val="99"/>
              </w:rPr>
              <w:t>Year or Non-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Sensitive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2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140"/>
              <w:spacing w:after="0" w:line="204"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368,620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428,785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267,610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1,065,015</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755,767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1,820,782</w:t>
            </w: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11,668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34,811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47,547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164,720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212,267</w:t>
            </w:r>
          </w:p>
        </w:tc>
        <w:tc>
          <w:tcPr>
            <w:tcW w:w="0" w:type="dxa"/>
            <w:vAlign w:val="bottom"/>
          </w:tcPr>
          <w:p>
            <w:pPr>
              <w:spacing w:after="0"/>
              <w:rPr>
                <w:sz w:val="1"/>
                <w:szCs w:val="1"/>
                <w:color w:val="auto"/>
              </w:rPr>
            </w:pPr>
          </w:p>
        </w:tc>
      </w:tr>
      <w:tr>
        <w:trPr>
          <w:trHeight w:val="154"/>
        </w:trPr>
        <w:tc>
          <w:tcPr>
            <w:tcW w:w="262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color w:val="auto"/>
              </w:rPr>
              <w:t>Interest-bearing deposits at other</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100,288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100,288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18,674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118,962</w:t>
            </w: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480,952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429,853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302,421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1,213,226</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939,161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2,152,387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Interest-bearing liabilities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Interest-bearing deposits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13,022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26,044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117,198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156,264</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723,795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880,059</w:t>
            </w:r>
          </w:p>
        </w:tc>
        <w:tc>
          <w:tcPr>
            <w:tcW w:w="0" w:type="dxa"/>
            <w:vAlign w:val="bottom"/>
          </w:tcPr>
          <w:p>
            <w:pPr>
              <w:spacing w:after="0"/>
              <w:rPr>
                <w:sz w:val="1"/>
                <w:szCs w:val="1"/>
                <w:color w:val="auto"/>
              </w:rPr>
            </w:pPr>
          </w:p>
        </w:tc>
      </w:tr>
      <w:tr>
        <w:trPr>
          <w:trHeight w:val="193"/>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4,740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9,748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265,477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279,965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81,208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361,173</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interest-bearing deposits</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17,762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35,792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382,675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436,229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805,003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1,241,232</w:t>
            </w:r>
          </w:p>
        </w:tc>
        <w:tc>
          <w:tcPr>
            <w:tcW w:w="0" w:type="dxa"/>
            <w:vAlign w:val="bottom"/>
          </w:tcPr>
          <w:p>
            <w:pPr>
              <w:spacing w:after="0"/>
              <w:rPr>
                <w:sz w:val="1"/>
                <w:szCs w:val="1"/>
                <w:color w:val="auto"/>
              </w:rPr>
            </w:pPr>
          </w:p>
        </w:tc>
      </w:tr>
      <w:tr>
        <w:trPr>
          <w:trHeight w:val="193"/>
        </w:trPr>
        <w:tc>
          <w:tcPr>
            <w:tcW w:w="262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84"/>
        </w:trPr>
        <w:tc>
          <w:tcPr>
            <w:tcW w:w="2620" w:type="dxa"/>
            <w:vAlign w:val="bottom"/>
          </w:tcPr>
          <w:p>
            <w:pPr>
              <w:ind w:left="340"/>
              <w:spacing w:after="0"/>
              <w:rPr>
                <w:sz w:val="20"/>
                <w:szCs w:val="20"/>
                <w:color w:val="auto"/>
              </w:rPr>
            </w:pPr>
            <w:r>
              <w:rPr>
                <w:rFonts w:ascii="Arial" w:cs="Arial" w:eastAsia="Arial" w:hAnsi="Arial"/>
                <w:sz w:val="14"/>
                <w:szCs w:val="14"/>
                <w:color w:val="auto"/>
              </w:rPr>
              <w:t>Total interest-bearing liabilities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17,762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35,792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382,675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436,229</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839,065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1,275,294</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463,190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394,061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(80,254)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776,997</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100,096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877,093</w:t>
            </w: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463,190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857,251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776,997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776,997</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877,093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20" w:type="dxa"/>
            <w:vAlign w:val="bottom"/>
          </w:tcPr>
          <w:p>
            <w:pPr>
              <w:ind w:left="20"/>
              <w:spacing w:after="0" w:line="146" w:lineRule="exact"/>
              <w:rPr>
                <w:sz w:val="20"/>
                <w:szCs w:val="20"/>
                <w:color w:val="auto"/>
              </w:rPr>
            </w:pPr>
            <w:r>
              <w:rPr>
                <w:rFonts w:ascii="Arial" w:cs="Arial" w:eastAsia="Arial" w:hAnsi="Arial"/>
                <w:sz w:val="14"/>
                <w:szCs w:val="14"/>
                <w:color w:val="auto"/>
              </w:rPr>
              <w:t>Ratio of cumulative gap to total earning</w:t>
            </w:r>
          </w:p>
        </w:tc>
        <w:tc>
          <w:tcPr>
            <w:tcW w:w="3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21.52 %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39.83 %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36.10 %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36.10 %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40.75 %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12" w:lineRule="auto"/>
        <w:tabs>
          <w:tab w:leader="none" w:pos="32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3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7" w:name="page68"/>
    <w:bookmarkEnd w:id="67"/>
    <w:p>
      <w:pPr>
        <w:jc w:val="both"/>
        <w:ind w:right="100" w:firstLine="318"/>
        <w:spacing w:after="0" w:line="249"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96"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June 30, 2023:</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Earnings at Risk</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-300 bps</w:t>
            </w:r>
          </w:p>
        </w:tc>
        <w:tc>
          <w:tcPr>
            <w:tcW w:w="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-200 bps</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-100 bps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Flat</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+100 bps</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+200 bps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+300 bps</w:t>
            </w:r>
          </w:p>
        </w:tc>
      </w:tr>
      <w:tr>
        <w:trPr>
          <w:trHeight w:val="181"/>
        </w:trPr>
        <w:tc>
          <w:tcPr>
            <w:tcW w:w="222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0.0 %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8.5 %</w:t>
            </w:r>
          </w:p>
        </w:tc>
      </w:tr>
    </w:tbl>
    <w:p>
      <w:pPr>
        <w:spacing w:after="0" w:line="29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June 30, 2023.</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Economic Value of Equity</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-300 bps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-200 bps</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-100 bps</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Flat</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+100 bps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+200 bps</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+300 bps</w:t>
            </w:r>
          </w:p>
        </w:tc>
      </w:tr>
      <w:tr>
        <w:trPr>
          <w:trHeight w:val="181"/>
        </w:trPr>
        <w:tc>
          <w:tcPr>
            <w:tcW w:w="234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Principal Executive Officer and Principal Financial Officer, have evaluated the effectiveness of our disclosure controls and procedures (as defined in Rule 13a-15(e)) under the Securities Exchange Act of 1934, as amended (the “Exchange Act”) as of the end of the period covered by this report. Based upon that evaluation, our Principal Executive Officer and Principal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Principal Executive Officer and the Principal Financial Officer, as appropriate to allow timely decisions regarding required disclosure.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on Form 10-K for the year ended December 31, 2022 and our Form 10-Q for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unregistered sales of the Company’s stock during the year to date period ended June 30, 2023.</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July 25, 2022, the Company announced a new stock repurchase program. Under the new program, the Company is authorized to repurchase up to $10.0 million of its outstanding common stock or 500,000 shares of Common Stock, par value $0.01 per share (“Common Stock”). On April 13, 2023, the Company announced approval of up to an additional $5.0 million or 175,000 shares of Common Stock incremental to the July 2022 announcement. The program will expire on December 31, 2024. There were no stock repurchases by the Company under the repurchase program announced on July 25, 2022, prior to the quarter ended March 31, 2023. During the three months ended June 30, 2023, the Company repurchased Common Stock under the stock repurchase program as reflected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80" w:type="dxa"/>
            <w:vAlign w:val="bottom"/>
          </w:tcPr>
          <w:p>
            <w:pPr>
              <w:spacing w:after="0"/>
              <w:rPr>
                <w:sz w:val="14"/>
                <w:szCs w:val="14"/>
                <w:color w:val="auto"/>
              </w:rPr>
            </w:pPr>
          </w:p>
        </w:tc>
        <w:tc>
          <w:tcPr>
            <w:tcW w:w="2000" w:type="dxa"/>
            <w:vAlign w:val="bottom"/>
          </w:tcPr>
          <w:p>
            <w:pPr>
              <w:jc w:val="center"/>
              <w:ind w:right="89"/>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4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 Number of Shares Average Price Paid Per</w:t>
            </w:r>
          </w:p>
        </w:tc>
        <w:tc>
          <w:tcPr>
            <w:tcW w:w="2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jc w:val="center"/>
              <w:ind w:right="89"/>
              <w:spacing w:after="0" w:line="146"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3"/>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4120" w:type="dxa"/>
            <w:vAlign w:val="bottom"/>
            <w:gridSpan w:val="3"/>
            <w:vMerge w:val="continue"/>
          </w:tcPr>
          <w:p>
            <w:pPr>
              <w:spacing w:after="0"/>
              <w:rPr>
                <w:sz w:val="11"/>
                <w:szCs w:val="11"/>
                <w:color w:val="auto"/>
              </w:rPr>
            </w:pPr>
          </w:p>
        </w:tc>
        <w:tc>
          <w:tcPr>
            <w:tcW w:w="2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 Publicly</w:t>
            </w:r>
          </w:p>
        </w:tc>
        <w:tc>
          <w:tcPr>
            <w:tcW w:w="2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98"/>
        </w:trPr>
        <w:tc>
          <w:tcPr>
            <w:tcW w:w="2800" w:type="dxa"/>
            <w:vAlign w:val="bottom"/>
            <w:vMerge w:val="continue"/>
          </w:tcPr>
          <w:p>
            <w:pPr>
              <w:spacing w:after="0"/>
              <w:rPr>
                <w:sz w:val="17"/>
                <w:szCs w:val="17"/>
                <w:color w:val="auto"/>
              </w:rPr>
            </w:pPr>
          </w:p>
        </w:tc>
        <w:tc>
          <w:tcPr>
            <w:tcW w:w="2460" w:type="dxa"/>
            <w:vAlign w:val="bottom"/>
          </w:tcPr>
          <w:p>
            <w:pPr>
              <w:jc w:val="right"/>
              <w:ind w:right="349"/>
              <w:spacing w:after="0"/>
              <w:rPr>
                <w:sz w:val="20"/>
                <w:szCs w:val="20"/>
                <w:color w:val="auto"/>
              </w:rPr>
            </w:pPr>
            <w:r>
              <w:rPr>
                <w:rFonts w:ascii="Arial" w:cs="Arial" w:eastAsia="Arial" w:hAnsi="Arial"/>
                <w:sz w:val="14"/>
                <w:szCs w:val="14"/>
                <w:b w:val="1"/>
                <w:bCs w:val="1"/>
                <w:color w:val="auto"/>
              </w:rPr>
              <w:t>Purchased</w:t>
            </w:r>
          </w:p>
        </w:tc>
        <w:tc>
          <w:tcPr>
            <w:tcW w:w="380" w:type="dxa"/>
            <w:vAlign w:val="bottom"/>
          </w:tcPr>
          <w:p>
            <w:pPr>
              <w:spacing w:after="0"/>
              <w:rPr>
                <w:sz w:val="17"/>
                <w:szCs w:val="17"/>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Share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 Programs</w:t>
            </w:r>
          </w:p>
        </w:tc>
        <w:tc>
          <w:tcPr>
            <w:tcW w:w="180" w:type="dxa"/>
            <w:vAlign w:val="bottom"/>
          </w:tcPr>
          <w:p>
            <w:pPr>
              <w:spacing w:after="0"/>
              <w:rPr>
                <w:sz w:val="17"/>
                <w:szCs w:val="17"/>
                <w:color w:val="auto"/>
              </w:rPr>
            </w:pPr>
          </w:p>
        </w:tc>
        <w:tc>
          <w:tcPr>
            <w:tcW w:w="2000" w:type="dxa"/>
            <w:vAlign w:val="bottom"/>
          </w:tcPr>
          <w:p>
            <w:pPr>
              <w:jc w:val="center"/>
              <w:ind w:right="89"/>
              <w:spacing w:after="0"/>
              <w:rPr>
                <w:sz w:val="20"/>
                <w:szCs w:val="20"/>
                <w:color w:val="auto"/>
              </w:rPr>
            </w:pPr>
            <w:r>
              <w:rPr>
                <w:rFonts w:ascii="Arial" w:cs="Arial" w:eastAsia="Arial" w:hAnsi="Arial"/>
                <w:sz w:val="14"/>
                <w:szCs w:val="14"/>
                <w:b w:val="1"/>
                <w:bCs w:val="1"/>
                <w:color w:val="auto"/>
                <w:w w:val="97"/>
              </w:rPr>
              <w:t>Programs</w:t>
            </w: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1, 2023 to April 30, 2023</w:t>
            </w: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45,685</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16.44</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11,528,830</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Arial" w:cs="Arial" w:eastAsia="Arial" w:hAnsi="Arial"/>
                <w:sz w:val="14"/>
                <w:szCs w:val="14"/>
                <w:color w:val="auto"/>
              </w:rPr>
              <w:t>May 1, 2023 to May 31, 2023</w:t>
            </w:r>
          </w:p>
        </w:tc>
        <w:tc>
          <w:tcPr>
            <w:tcW w:w="2460" w:type="dxa"/>
            <w:vAlign w:val="bottom"/>
          </w:tcPr>
          <w:p>
            <w:pPr>
              <w:jc w:val="right"/>
              <w:spacing w:after="0"/>
              <w:rPr>
                <w:sz w:val="20"/>
                <w:szCs w:val="20"/>
                <w:color w:val="auto"/>
              </w:rPr>
            </w:pPr>
            <w:r>
              <w:rPr>
                <w:rFonts w:ascii="Arial" w:cs="Arial" w:eastAsia="Arial" w:hAnsi="Arial"/>
                <w:sz w:val="14"/>
                <w:szCs w:val="14"/>
                <w:color w:val="auto"/>
              </w:rPr>
              <w:t>62,757</w:t>
            </w:r>
          </w:p>
        </w:tc>
        <w:tc>
          <w:tcPr>
            <w:tcW w:w="3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16.36</w:t>
            </w:r>
          </w:p>
        </w:tc>
        <w:tc>
          <w:tcPr>
            <w:tcW w:w="2140" w:type="dxa"/>
            <w:vAlign w:val="bottom"/>
          </w:tcPr>
          <w:p>
            <w:pPr>
              <w:jc w:val="right"/>
              <w:spacing w:after="0"/>
              <w:rPr>
                <w:sz w:val="20"/>
                <w:szCs w:val="20"/>
                <w:color w:val="auto"/>
              </w:rPr>
            </w:pPr>
            <w:r>
              <w:rPr>
                <w:rFonts w:ascii="Arial" w:cs="Arial" w:eastAsia="Arial" w:hAnsi="Arial"/>
                <w:sz w:val="14"/>
                <w:szCs w:val="14"/>
                <w:color w:val="auto"/>
              </w:rPr>
              <w:t>255,379</w:t>
            </w: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10,501,890</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 2023 to June 30, 2023</w:t>
            </w: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29,965</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17.92</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285,344</w:t>
            </w: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9,964,939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quarter ended June 30, 2023,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00" w:type="dxa"/>
            <w:vAlign w:val="bottom"/>
          </w:tcPr>
          <w:p>
            <w:pPr>
              <w:jc w:val="right"/>
              <w:ind w:right="529"/>
              <w:spacing w:after="0"/>
              <w:rPr>
                <w:sz w:val="20"/>
                <w:szCs w:val="20"/>
                <w:color w:val="auto"/>
              </w:rPr>
            </w:pPr>
            <w:r>
              <w:rPr>
                <w:rFonts w:ascii="Arial" w:cs="Arial" w:eastAsia="Arial" w:hAnsi="Arial"/>
                <w:sz w:val="14"/>
                <w:szCs w:val="14"/>
                <w:b w:val="1"/>
                <w:bCs w:val="1"/>
                <w:color w:val="auto"/>
              </w:rPr>
              <w:t>Exhibit</w:t>
            </w: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2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00" w:type="dxa"/>
            <w:vAlign w:val="bottom"/>
          </w:tcPr>
          <w:p>
            <w:pPr>
              <w:jc w:val="right"/>
              <w:ind w:right="489"/>
              <w:spacing w:after="0"/>
              <w:rPr>
                <w:sz w:val="20"/>
                <w:szCs w:val="20"/>
                <w:color w:val="auto"/>
              </w:rPr>
            </w:pPr>
            <w:r>
              <w:rPr>
                <w:rFonts w:ascii="Arial" w:cs="Arial" w:eastAsia="Arial" w:hAnsi="Arial"/>
                <w:sz w:val="14"/>
                <w:szCs w:val="14"/>
                <w:b w:val="1"/>
                <w:bCs w:val="1"/>
                <w:color w:val="auto"/>
                <w:w w:val="98"/>
              </w:rPr>
              <w:t>Number</w:t>
            </w:r>
          </w:p>
        </w:tc>
        <w:tc>
          <w:tcPr>
            <w:tcW w:w="2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jc w:val="right"/>
              <w:ind w:right="329"/>
              <w:spacing w:after="0" w:line="152" w:lineRule="exact"/>
              <w:rPr>
                <w:sz w:val="20"/>
                <w:szCs w:val="20"/>
                <w:color w:val="auto"/>
              </w:rPr>
            </w:pPr>
            <w:r>
              <w:rPr>
                <w:rFonts w:ascii="Arial" w:cs="Arial" w:eastAsia="Arial" w:hAnsi="Arial"/>
                <w:sz w:val="14"/>
                <w:szCs w:val="14"/>
                <w:color w:val="auto"/>
              </w:rPr>
              <w:t>3.1</w:t>
            </w:r>
          </w:p>
        </w:tc>
        <w:tc>
          <w:tcPr>
            <w:tcW w:w="9860" w:type="dxa"/>
            <w:vAlign w:val="bottom"/>
            <w:gridSpan w:val="9"/>
          </w:tcPr>
          <w:p>
            <w:pPr>
              <w:spacing w:after="0" w:line="152" w:lineRule="exact"/>
              <w:rPr>
                <w:rFonts w:ascii="Arial" w:cs="Arial" w:eastAsia="Arial" w:hAnsi="Arial"/>
                <w:sz w:val="14"/>
                <w:szCs w:val="14"/>
                <w:color w:val="0000FF"/>
              </w:rPr>
            </w:pPr>
            <w:hyperlink r:id="rId157">
              <w:r>
                <w:rPr>
                  <w:rFonts w:ascii="Arial" w:cs="Arial" w:eastAsia="Arial" w:hAnsi="Arial"/>
                  <w:sz w:val="14"/>
                  <w:szCs w:val="14"/>
                  <w:color w:val="0000FF"/>
                </w:rPr>
                <w:t>Amended and Restated Articles of Incorporation, as amended (incorporated by reference to Exhibit 3.1 to the Company’s Form 8-K filed on May 23, 2023).</w:t>
              </w:r>
            </w:hyperlink>
          </w:p>
        </w:tc>
        <w:tc>
          <w:tcPr>
            <w:tcW w:w="0" w:type="dxa"/>
            <w:vAlign w:val="bottom"/>
          </w:tcPr>
          <w:p>
            <w:pPr>
              <w:spacing w:after="0"/>
              <w:rPr>
                <w:sz w:val="1"/>
                <w:szCs w:val="1"/>
                <w:color w:val="auto"/>
              </w:rPr>
            </w:pPr>
          </w:p>
        </w:tc>
      </w:tr>
      <w:tr>
        <w:trPr>
          <w:trHeight w:val="165"/>
        </w:trPr>
        <w:tc>
          <w:tcPr>
            <w:tcW w:w="1100" w:type="dxa"/>
            <w:vAlign w:val="bottom"/>
          </w:tcPr>
          <w:p>
            <w:pPr>
              <w:jc w:val="right"/>
              <w:ind w:right="329"/>
              <w:spacing w:after="0"/>
              <w:rPr>
                <w:sz w:val="20"/>
                <w:szCs w:val="20"/>
                <w:color w:val="auto"/>
              </w:rPr>
            </w:pPr>
            <w:r>
              <w:rPr>
                <w:rFonts w:ascii="Arial" w:cs="Arial" w:eastAsia="Arial" w:hAnsi="Arial"/>
                <w:sz w:val="14"/>
                <w:szCs w:val="14"/>
                <w:color w:val="auto"/>
              </w:rPr>
              <w:t>3.2</w:t>
            </w:r>
          </w:p>
        </w:tc>
        <w:tc>
          <w:tcPr>
            <w:tcW w:w="9640" w:type="dxa"/>
            <w:vAlign w:val="bottom"/>
            <w:tcBorders>
              <w:top w:val="single" w:sz="8" w:color="0000FF"/>
            </w:tcBorders>
            <w:gridSpan w:val="7"/>
          </w:tcPr>
          <w:p>
            <w:pPr>
              <w:spacing w:after="0"/>
              <w:rPr>
                <w:rFonts w:ascii="Arial" w:cs="Arial" w:eastAsia="Arial" w:hAnsi="Arial"/>
                <w:sz w:val="14"/>
                <w:szCs w:val="14"/>
                <w:color w:val="0000FF"/>
              </w:rPr>
            </w:pPr>
            <w:hyperlink r:id="rId158">
              <w:r>
                <w:rPr>
                  <w:rFonts w:ascii="Arial" w:cs="Arial" w:eastAsia="Arial" w:hAnsi="Arial"/>
                  <w:sz w:val="14"/>
                  <w:szCs w:val="14"/>
                  <w:color w:val="0000FF"/>
                </w:rPr>
                <w:t>Amended and Restated Bylaws (incorporated by reference to Exhibit 3.2 to the Company’s Form 8-K filed on May 23, 2023).</w:t>
              </w:r>
            </w:hyperlink>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00" w:type="dxa"/>
            <w:vAlign w:val="bottom"/>
            <w:vMerge w:val="restart"/>
          </w:tcPr>
          <w:p>
            <w:pPr>
              <w:jc w:val="right"/>
              <w:ind w:right="329"/>
              <w:spacing w:after="0"/>
              <w:rPr>
                <w:sz w:val="20"/>
                <w:szCs w:val="20"/>
                <w:color w:val="auto"/>
              </w:rPr>
            </w:pPr>
            <w:r>
              <w:rPr>
                <w:rFonts w:ascii="Arial" w:cs="Arial" w:eastAsia="Arial" w:hAnsi="Arial"/>
                <w:sz w:val="14"/>
                <w:szCs w:val="14"/>
                <w:color w:val="auto"/>
              </w:rPr>
              <w:t>10.1</w:t>
            </w:r>
          </w:p>
        </w:tc>
        <w:tc>
          <w:tcPr>
            <w:tcW w:w="9860" w:type="dxa"/>
            <w:vAlign w:val="bottom"/>
            <w:gridSpan w:val="9"/>
          </w:tcPr>
          <w:p>
            <w:pPr>
              <w:spacing w:after="0"/>
              <w:rPr>
                <w:rFonts w:ascii="Arial" w:cs="Arial" w:eastAsia="Arial" w:hAnsi="Arial"/>
                <w:sz w:val="14"/>
                <w:szCs w:val="14"/>
                <w:color w:val="0000FF"/>
              </w:rPr>
            </w:pPr>
            <w:hyperlink r:id="rId159">
              <w:r>
                <w:rPr>
                  <w:rFonts w:ascii="Arial" w:cs="Arial" w:eastAsia="Arial" w:hAnsi="Arial"/>
                  <w:sz w:val="14"/>
                  <w:szCs w:val="14"/>
                  <w:color w:val="0000FF"/>
                </w:rPr>
                <w:t>Employment Agreement, dated June 26, 2023, between Capital Bank, N.A. and Jennings “Jay” Walker (incorporated by reference to Exhibit 10.1 to the</w:t>
              </w:r>
            </w:hyperlink>
          </w:p>
        </w:tc>
        <w:tc>
          <w:tcPr>
            <w:tcW w:w="0" w:type="dxa"/>
            <w:vAlign w:val="bottom"/>
          </w:tcPr>
          <w:p>
            <w:pPr>
              <w:spacing w:after="0"/>
              <w:rPr>
                <w:sz w:val="1"/>
                <w:szCs w:val="1"/>
                <w:color w:val="auto"/>
              </w:rPr>
            </w:pPr>
          </w:p>
        </w:tc>
      </w:tr>
      <w:tr>
        <w:trPr>
          <w:trHeight w:val="126"/>
        </w:trPr>
        <w:tc>
          <w:tcPr>
            <w:tcW w:w="1100" w:type="dxa"/>
            <w:vAlign w:val="bottom"/>
            <w:vMerge w:val="continue"/>
          </w:tcPr>
          <w:p>
            <w:pPr>
              <w:spacing w:after="0"/>
              <w:rPr>
                <w:sz w:val="10"/>
                <w:szCs w:val="10"/>
                <w:color w:val="auto"/>
              </w:rPr>
            </w:pPr>
          </w:p>
        </w:tc>
        <w:tc>
          <w:tcPr>
            <w:tcW w:w="2860" w:type="dxa"/>
            <w:vAlign w:val="bottom"/>
            <w:tcBorders>
              <w:top w:val="single" w:sz="8" w:color="0000FF"/>
              <w:bottom w:val="single" w:sz="8" w:color="0000FF"/>
            </w:tcBorders>
          </w:tcPr>
          <w:p>
            <w:pPr>
              <w:spacing w:after="0" w:line="126" w:lineRule="exact"/>
              <w:rPr>
                <w:rFonts w:ascii="Arial" w:cs="Arial" w:eastAsia="Arial" w:hAnsi="Arial"/>
                <w:sz w:val="14"/>
                <w:szCs w:val="14"/>
                <w:color w:val="0000FF"/>
              </w:rPr>
            </w:pPr>
            <w:hyperlink r:id="rId159">
              <w:r>
                <w:rPr>
                  <w:rFonts w:ascii="Arial" w:cs="Arial" w:eastAsia="Arial" w:hAnsi="Arial"/>
                  <w:sz w:val="14"/>
                  <w:szCs w:val="14"/>
                  <w:color w:val="0000FF"/>
                </w:rPr>
                <w:t>Company’s Form 8-K filed on June 13, 2023).</w:t>
              </w:r>
            </w:hyperlink>
          </w:p>
        </w:tc>
        <w:tc>
          <w:tcPr>
            <w:tcW w:w="698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vMerge w:val="restart"/>
          </w:tcPr>
          <w:p>
            <w:pPr>
              <w:jc w:val="right"/>
              <w:ind w:right="329"/>
              <w:spacing w:after="0"/>
              <w:rPr>
                <w:sz w:val="20"/>
                <w:szCs w:val="20"/>
                <w:color w:val="auto"/>
              </w:rPr>
            </w:pPr>
            <w:r>
              <w:rPr>
                <w:rFonts w:ascii="Arial" w:cs="Arial" w:eastAsia="Arial" w:hAnsi="Arial"/>
                <w:sz w:val="14"/>
                <w:szCs w:val="14"/>
                <w:color w:val="auto"/>
              </w:rPr>
              <w:t>10.2</w:t>
            </w:r>
          </w:p>
        </w:tc>
        <w:tc>
          <w:tcPr>
            <w:tcW w:w="9860" w:type="dxa"/>
            <w:vAlign w:val="bottom"/>
            <w:gridSpan w:val="9"/>
          </w:tcPr>
          <w:p>
            <w:pPr>
              <w:spacing w:after="0"/>
              <w:rPr>
                <w:rFonts w:ascii="Arial" w:cs="Arial" w:eastAsia="Arial" w:hAnsi="Arial"/>
                <w:sz w:val="14"/>
                <w:szCs w:val="14"/>
                <w:color w:val="0000FF"/>
              </w:rPr>
            </w:pPr>
            <w:hyperlink r:id="rId160">
              <w:r>
                <w:rPr>
                  <w:rFonts w:ascii="Arial" w:cs="Arial" w:eastAsia="Arial" w:hAnsi="Arial"/>
                  <w:sz w:val="14"/>
                  <w:szCs w:val="14"/>
                  <w:color w:val="0000FF"/>
                </w:rPr>
                <w:t>Amendment to Employment Agreement, dated April 13, 2023, between Capital Bank, N.A. and Steven Poynot (incorporated by reference to Exhibit 10.1 to</w:t>
              </w:r>
            </w:hyperlink>
          </w:p>
        </w:tc>
        <w:tc>
          <w:tcPr>
            <w:tcW w:w="0" w:type="dxa"/>
            <w:vAlign w:val="bottom"/>
          </w:tcPr>
          <w:p>
            <w:pPr>
              <w:spacing w:after="0"/>
              <w:rPr>
                <w:sz w:val="1"/>
                <w:szCs w:val="1"/>
                <w:color w:val="auto"/>
              </w:rPr>
            </w:pPr>
          </w:p>
        </w:tc>
      </w:tr>
      <w:tr>
        <w:trPr>
          <w:trHeight w:val="126"/>
        </w:trPr>
        <w:tc>
          <w:tcPr>
            <w:tcW w:w="1100" w:type="dxa"/>
            <w:vAlign w:val="bottom"/>
            <w:vMerge w:val="continue"/>
          </w:tcPr>
          <w:p>
            <w:pPr>
              <w:spacing w:after="0"/>
              <w:rPr>
                <w:sz w:val="10"/>
                <w:szCs w:val="10"/>
                <w:color w:val="auto"/>
              </w:rPr>
            </w:pPr>
          </w:p>
        </w:tc>
        <w:tc>
          <w:tcPr>
            <w:tcW w:w="306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rPr>
            </w:pPr>
            <w:hyperlink r:id="rId160">
              <w:r>
                <w:rPr>
                  <w:rFonts w:ascii="Arial" w:cs="Arial" w:eastAsia="Arial" w:hAnsi="Arial"/>
                  <w:sz w:val="14"/>
                  <w:szCs w:val="14"/>
                  <w:color w:val="0000FF"/>
                </w:rPr>
                <w:t>the Company’s Form 8-K filed on April 13, 2023).</w:t>
              </w:r>
            </w:hyperlink>
          </w:p>
        </w:tc>
        <w:tc>
          <w:tcPr>
            <w:tcW w:w="678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00" w:type="dxa"/>
            <w:vAlign w:val="bottom"/>
            <w:vMerge w:val="restart"/>
          </w:tcPr>
          <w:p>
            <w:pPr>
              <w:jc w:val="right"/>
              <w:ind w:right="329"/>
              <w:spacing w:after="0"/>
              <w:rPr>
                <w:sz w:val="20"/>
                <w:szCs w:val="20"/>
                <w:color w:val="auto"/>
              </w:rPr>
            </w:pPr>
            <w:r>
              <w:rPr>
                <w:rFonts w:ascii="Arial" w:cs="Arial" w:eastAsia="Arial" w:hAnsi="Arial"/>
                <w:sz w:val="14"/>
                <w:szCs w:val="14"/>
                <w:color w:val="auto"/>
              </w:rPr>
              <w:t>10.3</w:t>
            </w:r>
          </w:p>
        </w:tc>
        <w:tc>
          <w:tcPr>
            <w:tcW w:w="9860" w:type="dxa"/>
            <w:vAlign w:val="bottom"/>
            <w:gridSpan w:val="9"/>
          </w:tcPr>
          <w:p>
            <w:pPr>
              <w:spacing w:after="0"/>
              <w:rPr>
                <w:rFonts w:ascii="Arial" w:cs="Arial" w:eastAsia="Arial" w:hAnsi="Arial"/>
                <w:sz w:val="14"/>
                <w:szCs w:val="14"/>
                <w:color w:val="0000FF"/>
              </w:rPr>
            </w:pPr>
            <w:hyperlink r:id="rId161">
              <w:r>
                <w:rPr>
                  <w:rFonts w:ascii="Arial" w:cs="Arial" w:eastAsia="Arial" w:hAnsi="Arial"/>
                  <w:sz w:val="14"/>
                  <w:szCs w:val="14"/>
                  <w:color w:val="0000FF"/>
                </w:rPr>
                <w:t>Amendment to Employment Agreement, dated April 13, 2023, between Capital Bank, N.A. and Scot R. Browning (incorporated by reference to Exhibit 10.2 to</w:t>
              </w:r>
            </w:hyperlink>
          </w:p>
        </w:tc>
        <w:tc>
          <w:tcPr>
            <w:tcW w:w="0" w:type="dxa"/>
            <w:vAlign w:val="bottom"/>
          </w:tcPr>
          <w:p>
            <w:pPr>
              <w:spacing w:after="0"/>
              <w:rPr>
                <w:sz w:val="1"/>
                <w:szCs w:val="1"/>
                <w:color w:val="auto"/>
              </w:rPr>
            </w:pPr>
          </w:p>
        </w:tc>
      </w:tr>
      <w:tr>
        <w:trPr>
          <w:trHeight w:val="113"/>
        </w:trPr>
        <w:tc>
          <w:tcPr>
            <w:tcW w:w="1100" w:type="dxa"/>
            <w:vAlign w:val="bottom"/>
            <w:vMerge w:val="continue"/>
          </w:tcPr>
          <w:p>
            <w:pPr>
              <w:spacing w:after="0"/>
              <w:rPr>
                <w:sz w:val="9"/>
                <w:szCs w:val="9"/>
                <w:color w:val="auto"/>
              </w:rPr>
            </w:pPr>
          </w:p>
        </w:tc>
        <w:tc>
          <w:tcPr>
            <w:tcW w:w="306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the Company’s Form 8-K filed on April 13, 2023).</w:t>
              </w:r>
            </w:hyperlink>
          </w:p>
        </w:tc>
        <w:tc>
          <w:tcPr>
            <w:tcW w:w="678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00" w:type="dxa"/>
            <w:vAlign w:val="bottom"/>
          </w:tcPr>
          <w:p>
            <w:pPr>
              <w:jc w:val="right"/>
              <w:ind w:right="329"/>
              <w:spacing w:after="0"/>
              <w:rPr>
                <w:sz w:val="20"/>
                <w:szCs w:val="20"/>
                <w:color w:val="auto"/>
              </w:rPr>
            </w:pPr>
            <w:r>
              <w:rPr>
                <w:rFonts w:ascii="Arial" w:cs="Arial" w:eastAsia="Arial" w:hAnsi="Arial"/>
                <w:sz w:val="14"/>
                <w:szCs w:val="14"/>
                <w:color w:val="auto"/>
              </w:rPr>
              <w:t>31.1</w:t>
            </w:r>
          </w:p>
        </w:tc>
        <w:tc>
          <w:tcPr>
            <w:tcW w:w="9860" w:type="dxa"/>
            <w:vAlign w:val="bottom"/>
            <w:gridSpan w:val="9"/>
          </w:tcPr>
          <w:p>
            <w:pPr>
              <w:spacing w:after="0"/>
              <w:rPr>
                <w:sz w:val="20"/>
                <w:szCs w:val="20"/>
                <w:color w:val="auto"/>
              </w:rPr>
            </w:pPr>
            <w:r>
              <w:rPr>
                <w:rFonts w:ascii="Arial" w:cs="Arial" w:eastAsia="Arial" w:hAnsi="Arial"/>
                <w:sz w:val="14"/>
                <w:szCs w:val="14"/>
                <w:color w:val="0000FF"/>
              </w:rPr>
              <w:t>Rule 13a-14(a) Certification of the Principal Executive Officer.</w:t>
            </w:r>
          </w:p>
        </w:tc>
        <w:tc>
          <w:tcPr>
            <w:tcW w:w="0" w:type="dxa"/>
            <w:vAlign w:val="bottom"/>
          </w:tcPr>
          <w:p>
            <w:pPr>
              <w:spacing w:after="0"/>
              <w:rPr>
                <w:sz w:val="1"/>
                <w:szCs w:val="1"/>
                <w:color w:val="auto"/>
              </w:rPr>
            </w:pPr>
          </w:p>
        </w:tc>
      </w:tr>
      <w:tr>
        <w:trPr>
          <w:trHeight w:val="179"/>
        </w:trPr>
        <w:tc>
          <w:tcPr>
            <w:tcW w:w="1100" w:type="dxa"/>
            <w:vAlign w:val="bottom"/>
          </w:tcPr>
          <w:p>
            <w:pPr>
              <w:jc w:val="right"/>
              <w:ind w:right="329"/>
              <w:spacing w:after="0"/>
              <w:rPr>
                <w:sz w:val="20"/>
                <w:szCs w:val="20"/>
                <w:color w:val="auto"/>
              </w:rPr>
            </w:pPr>
            <w:r>
              <w:rPr>
                <w:rFonts w:ascii="Arial" w:cs="Arial" w:eastAsia="Arial" w:hAnsi="Arial"/>
                <w:sz w:val="14"/>
                <w:szCs w:val="14"/>
                <w:color w:val="auto"/>
              </w:rPr>
              <w:t>31.2</w:t>
            </w:r>
          </w:p>
        </w:tc>
        <w:tc>
          <w:tcPr>
            <w:tcW w:w="38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rPr>
              <w:t>Rule 13a-14(a) Certification of the Principal Financial Officer.</w:t>
            </w:r>
          </w:p>
        </w:tc>
        <w:tc>
          <w:tcPr>
            <w:tcW w:w="40" w:type="dxa"/>
            <w:vAlign w:val="bottom"/>
            <w:tcBorders>
              <w:top w:val="single" w:sz="8" w:color="0000FF"/>
            </w:tcBorders>
          </w:tcPr>
          <w:p>
            <w:pPr>
              <w:spacing w:after="0"/>
              <w:rPr>
                <w:sz w:val="15"/>
                <w:szCs w:val="15"/>
                <w:color w:val="auto"/>
              </w:rPr>
            </w:pPr>
          </w:p>
        </w:tc>
        <w:tc>
          <w:tcPr>
            <w:tcW w:w="60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00" w:type="dxa"/>
            <w:vAlign w:val="bottom"/>
          </w:tcPr>
          <w:p>
            <w:pPr>
              <w:jc w:val="right"/>
              <w:ind w:right="329"/>
              <w:spacing w:after="0"/>
              <w:rPr>
                <w:sz w:val="20"/>
                <w:szCs w:val="20"/>
                <w:color w:val="auto"/>
              </w:rPr>
            </w:pPr>
            <w:r>
              <w:rPr>
                <w:rFonts w:ascii="Arial" w:cs="Arial" w:eastAsia="Arial" w:hAnsi="Arial"/>
                <w:sz w:val="14"/>
                <w:szCs w:val="14"/>
                <w:color w:val="auto"/>
              </w:rPr>
              <w:t>32.1</w:t>
            </w:r>
          </w:p>
        </w:tc>
        <w:tc>
          <w:tcPr>
            <w:tcW w:w="54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Section 1350 Certification of Principal Executive Officer and Principal Financial Officer.</w:t>
            </w:r>
          </w:p>
        </w:tc>
        <w:tc>
          <w:tcPr>
            <w:tcW w:w="44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left="1340" w:right="60" w:hanging="633"/>
        <w:spacing w:after="0" w:line="225"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June 30, 2023,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CAPITAL BANCORP, INC.</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jc w:val="right"/>
              <w:ind w:right="292"/>
              <w:spacing w:after="0"/>
              <w:rPr>
                <w:sz w:val="20"/>
                <w:szCs w:val="20"/>
                <w:color w:val="auto"/>
              </w:rPr>
            </w:pPr>
            <w:r>
              <w:rPr>
                <w:rFonts w:ascii="Arial" w:cs="Arial" w:eastAsia="Arial" w:hAnsi="Arial"/>
                <w:sz w:val="18"/>
                <w:szCs w:val="18"/>
                <w:color w:val="auto"/>
                <w:w w:val="96"/>
              </w:rPr>
              <w:t>Date: August 9, 2023</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Barry</w:t>
            </w:r>
          </w:p>
        </w:tc>
        <w:tc>
          <w:tcPr>
            <w:tcW w:w="2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40" w:type="dxa"/>
            <w:vAlign w:val="bottom"/>
          </w:tcPr>
          <w:p>
            <w:pPr>
              <w:jc w:val="right"/>
              <w:ind w:right="472"/>
              <w:spacing w:after="0"/>
              <w:rPr>
                <w:sz w:val="20"/>
                <w:szCs w:val="20"/>
                <w:color w:val="auto"/>
              </w:rPr>
            </w:pPr>
            <w:r>
              <w:rPr>
                <w:rFonts w:ascii="Arial" w:cs="Arial" w:eastAsia="Arial" w:hAnsi="Arial"/>
                <w:sz w:val="18"/>
                <w:szCs w:val="18"/>
                <w:color w:val="auto"/>
              </w:rPr>
              <w:t>Ed Barry</w:t>
            </w:r>
          </w:p>
        </w:tc>
        <w:tc>
          <w:tcPr>
            <w:tcW w:w="3880" w:type="dxa"/>
            <w:vAlign w:val="bottom"/>
            <w:gridSpan w:val="3"/>
            <w:vMerge w:val="restart"/>
          </w:tcPr>
          <w:p>
            <w:pPr>
              <w:ind w:left="5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3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880" w:type="dxa"/>
            <w:vAlign w:val="bottom"/>
            <w:gridSpan w:val="3"/>
          </w:tcPr>
          <w:p>
            <w:pPr>
              <w:ind w:left="5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85"/>
        </w:trPr>
        <w:tc>
          <w:tcPr>
            <w:tcW w:w="2040" w:type="dxa"/>
            <w:vAlign w:val="bottom"/>
          </w:tcPr>
          <w:p>
            <w:pPr>
              <w:jc w:val="right"/>
              <w:ind w:right="292"/>
              <w:spacing w:after="0"/>
              <w:rPr>
                <w:sz w:val="20"/>
                <w:szCs w:val="20"/>
                <w:color w:val="auto"/>
              </w:rPr>
            </w:pPr>
            <w:r>
              <w:rPr>
                <w:rFonts w:ascii="Arial" w:cs="Arial" w:eastAsia="Arial" w:hAnsi="Arial"/>
                <w:sz w:val="18"/>
                <w:szCs w:val="18"/>
                <w:color w:val="auto"/>
                <w:w w:val="96"/>
              </w:rPr>
              <w:t>Date: August 9, 2023</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Walker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tcPr>
          <w:p>
            <w:pPr>
              <w:jc w:val="right"/>
              <w:ind w:right="292"/>
              <w:spacing w:after="0"/>
              <w:rPr>
                <w:sz w:val="20"/>
                <w:szCs w:val="20"/>
                <w:color w:val="auto"/>
              </w:rPr>
            </w:pPr>
            <w:r>
              <w:rPr>
                <w:rFonts w:ascii="Arial" w:cs="Arial" w:eastAsia="Arial" w:hAnsi="Arial"/>
                <w:sz w:val="18"/>
                <w:szCs w:val="18"/>
                <w:color w:val="auto"/>
              </w:rPr>
              <w:t>Jay Walker</w:t>
            </w:r>
          </w:p>
        </w:tc>
        <w:tc>
          <w:tcPr>
            <w:tcW w:w="3880" w:type="dxa"/>
            <w:vAlign w:val="bottom"/>
            <w:gridSpan w:val="3"/>
            <w:vMerge w:val="restart"/>
          </w:tcPr>
          <w:p>
            <w:pPr>
              <w:ind w:left="5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3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880" w:type="dxa"/>
            <w:vAlign w:val="bottom"/>
            <w:gridSpan w:val="3"/>
          </w:tcPr>
          <w:p>
            <w:pPr>
              <w:ind w:left="520"/>
              <w:spacing w:after="0"/>
              <w:rPr>
                <w:sz w:val="20"/>
                <w:szCs w:val="20"/>
                <w:color w:val="auto"/>
              </w:rPr>
            </w:pPr>
            <w:r>
              <w:rPr>
                <w:rFonts w:ascii="Arial" w:cs="Arial" w:eastAsia="Arial" w:hAnsi="Arial"/>
                <w:sz w:val="18"/>
                <w:szCs w:val="18"/>
                <w:color w:val="auto"/>
                <w:w w:val="96"/>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8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55" w:lineRule="auto"/>
        <w:tabs>
          <w:tab w:leader="none" w:pos="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
        <w:spacing w:after="0" w:line="265" w:lineRule="auto"/>
        <w:tabs>
          <w:tab w:leader="none" w:pos="1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8"/>
          <w:szCs w:val="18"/>
          <w:color w:val="auto"/>
        </w:rPr>
      </w:pPr>
    </w:p>
    <w:p>
      <w:pPr>
        <w:jc w:val="both"/>
        <w:ind w:firstLine="6"/>
        <w:spacing w:after="0" w:line="267" w:lineRule="auto"/>
        <w:tabs>
          <w:tab w:leader="none" w:pos="2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5" w:lineRule="exact"/>
        <w:rPr>
          <w:rFonts w:ascii="Arial" w:cs="Arial" w:eastAsia="Arial" w:hAnsi="Arial"/>
          <w:sz w:val="17"/>
          <w:szCs w:val="17"/>
          <w:color w:val="auto"/>
        </w:rPr>
      </w:pPr>
    </w:p>
    <w:p>
      <w:pPr>
        <w:jc w:val="both"/>
        <w:ind w:left="640" w:firstLine="2"/>
        <w:spacing w:after="0" w:line="255" w:lineRule="auto"/>
        <w:tabs>
          <w:tab w:leader="none" w:pos="8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6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firstLine="6"/>
        <w:spacing w:after="0" w:line="295" w:lineRule="auto"/>
        <w:tabs>
          <w:tab w:leader="none" w:pos="1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7"/>
          <w:szCs w:val="17"/>
          <w:color w:val="auto"/>
        </w:rPr>
      </w:pPr>
    </w:p>
    <w:p>
      <w:pPr>
        <w:ind w:left="640" w:firstLine="2"/>
        <w:spacing w:after="0" w:line="265" w:lineRule="auto"/>
        <w:tabs>
          <w:tab w:leader="none" w:pos="8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8"/>
          <w:szCs w:val="18"/>
          <w:color w:val="auto"/>
        </w:rPr>
      </w:pPr>
    </w:p>
    <w:p>
      <w:pPr>
        <w:ind w:left="640" w:firstLine="2"/>
        <w:spacing w:after="0" w:line="265" w:lineRule="auto"/>
        <w:tabs>
          <w:tab w:leader="none" w:pos="8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600" w:val="left"/>
          <w:tab w:leader="none" w:pos="238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-13335</wp:posOffset>
            </wp:positionV>
            <wp:extent cx="835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Jay Walker, certify that:</w:t>
      </w:r>
    </w:p>
    <w:p>
      <w:pPr>
        <w:spacing w:after="0" w:line="217" w:lineRule="exact"/>
        <w:rPr>
          <w:sz w:val="20"/>
          <w:szCs w:val="20"/>
          <w:color w:val="auto"/>
        </w:rPr>
      </w:pPr>
    </w:p>
    <w:p>
      <w:pPr>
        <w:ind w:left="200" w:hanging="194"/>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55" w:lineRule="auto"/>
        <w:tabs>
          <w:tab w:leader="none" w:pos="2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
        <w:spacing w:after="0" w:line="265" w:lineRule="auto"/>
        <w:tabs>
          <w:tab w:leader="none" w:pos="1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8"/>
          <w:szCs w:val="18"/>
          <w:color w:val="auto"/>
        </w:rPr>
      </w:pPr>
    </w:p>
    <w:p>
      <w:pPr>
        <w:jc w:val="both"/>
        <w:ind w:firstLine="6"/>
        <w:spacing w:after="0" w:line="267" w:lineRule="auto"/>
        <w:tabs>
          <w:tab w:leader="none" w:pos="2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5" w:lineRule="exact"/>
        <w:rPr>
          <w:rFonts w:ascii="Arial" w:cs="Arial" w:eastAsia="Arial" w:hAnsi="Arial"/>
          <w:sz w:val="17"/>
          <w:szCs w:val="17"/>
          <w:color w:val="auto"/>
        </w:rPr>
      </w:pPr>
    </w:p>
    <w:p>
      <w:pPr>
        <w:jc w:val="both"/>
        <w:ind w:left="640" w:firstLine="2"/>
        <w:spacing w:after="0" w:line="255" w:lineRule="auto"/>
        <w:tabs>
          <w:tab w:leader="none" w:pos="8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jc w:val="both"/>
        <w:ind w:left="640" w:firstLine="2"/>
        <w:spacing w:after="0" w:line="255" w:lineRule="auto"/>
        <w:tabs>
          <w:tab w:leader="none" w:pos="8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firstLine="6"/>
        <w:spacing w:after="0" w:line="295" w:lineRule="auto"/>
        <w:tabs>
          <w:tab w:leader="none" w:pos="1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7"/>
          <w:szCs w:val="17"/>
          <w:color w:val="auto"/>
        </w:rPr>
      </w:pPr>
    </w:p>
    <w:p>
      <w:pPr>
        <w:ind w:left="640" w:firstLine="2"/>
        <w:spacing w:after="0" w:line="265" w:lineRule="auto"/>
        <w:tabs>
          <w:tab w:leader="none" w:pos="8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8"/>
          <w:szCs w:val="18"/>
          <w:color w:val="auto"/>
        </w:rPr>
      </w:pPr>
    </w:p>
    <w:p>
      <w:pPr>
        <w:ind w:left="640" w:firstLine="2"/>
        <w:spacing w:after="0" w:line="265" w:lineRule="auto"/>
        <w:tabs>
          <w:tab w:leader="none" w:pos="8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7"/>
          <w:szCs w:val="17"/>
          <w:color w:val="auto"/>
        </w:rPr>
        <w:t>By: /s/ Jay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-13335</wp:posOffset>
            </wp:positionV>
            <wp:extent cx="8248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Jay Walker</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2" w:right="33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8"/>
          <w:szCs w:val="18"/>
          <w:b w:val="1"/>
          <w:bCs w:val="1"/>
          <w:color w:val="auto"/>
        </w:rPr>
        <w:t>Section 2: EX-32.1 (Certification Pursuant to 18 U.S.C. Section 1350, As Adopted Pursuant to Section 906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June 30, 2023,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5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00" w:val="left"/>
          <w:tab w:leader="none" w:pos="258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-13335</wp:posOffset>
            </wp:positionV>
            <wp:extent cx="8350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Jay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-13335</wp:posOffset>
            </wp:positionV>
            <wp:extent cx="8248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Jay Walker</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326"/>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upperLetter"/>
      <w:start w:val="68"/>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57" Type="http://schemas.openxmlformats.org/officeDocument/2006/relationships/hyperlink" Target="https://www.sec.gov/Archives/edgar/data/1419536/000141953623000094/exhibit31-amendedarticles.htm" TargetMode="External"/><Relationship Id="rId158" Type="http://schemas.openxmlformats.org/officeDocument/2006/relationships/hyperlink" Target="https://www.sec.gov/Archives/edgar/data/1419536/000141953623000094/exhibit32-amendedbylaws.htm" TargetMode="External"/><Relationship Id="rId159" Type="http://schemas.openxmlformats.org/officeDocument/2006/relationships/hyperlink" Target="https://www.sec.gov/Archives/edgar/data/1419536/000141953623000097/employmentagreement-walk.htm" TargetMode="External"/><Relationship Id="rId160" Type="http://schemas.openxmlformats.org/officeDocument/2006/relationships/hyperlink" Target="https://www.sec.gov/Archives/edgar/data/1419536/000141953623000071/amendmenttopoynotemploym.htm" TargetMode="External"/><Relationship Id="rId161" Type="http://schemas.openxmlformats.org/officeDocument/2006/relationships/hyperlink" Target="https://www.sec.gov/Archives/edgar/data/1419536/000141953623000071/amendmenttobrowning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2023-08-09T15:19:42Z</dcterms:created>
  <dcterms:modified xsi:type="dcterms:W3CDTF">2023-08-09T15:19:42Z</dcterms:modified>
</cp:coreProperties>
</file>