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SECURITIES</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8"/>
          <w:szCs w:val="18"/>
          <w:b w:val="1"/>
          <w:bCs w:val="1"/>
          <w:color w:val="auto"/>
        </w:rPr>
        <w:t>UNITED STATES</w:t>
      </w:r>
    </w:p>
    <w:p>
      <w:pPr>
        <w:spacing w:after="0" w:line="3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AND EXCHANGE COMMISSION</w:t>
      </w:r>
    </w:p>
    <w:p>
      <w:pPr>
        <w:spacing w:after="0" w:line="33" w:lineRule="exact"/>
        <w:rPr>
          <w:sz w:val="24"/>
          <w:szCs w:val="24"/>
          <w:color w:val="auto"/>
        </w:rPr>
      </w:pPr>
    </w:p>
    <w:p>
      <w:pPr>
        <w:sectPr>
          <w:pgSz w:w="11900" w:h="16838" w:orient="portrait"/>
          <w:cols w:equalWidth="0" w:num="2">
            <w:col w:w="4880" w:space="60"/>
            <w:col w:w="6480"/>
          </w:cols>
          <w:pgMar w:left="240" w:top="223" w:right="239" w:bottom="1440" w:gutter="0" w:footer="0" w:header="0"/>
        </w:sectPr>
      </w:pPr>
    </w:p>
    <w:p>
      <w:pPr>
        <w:jc w:val="center"/>
        <w:spacing w:after="0"/>
        <w:rPr>
          <w:sz w:val="20"/>
          <w:szCs w:val="20"/>
          <w:color w:val="auto"/>
        </w:rPr>
      </w:pPr>
      <w:r>
        <w:rPr>
          <w:rFonts w:ascii="Arial" w:cs="Arial" w:eastAsia="Arial" w:hAnsi="Arial"/>
          <w:sz w:val="14"/>
          <w:szCs w:val="14"/>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36" w:lineRule="exact"/>
        <w:rPr>
          <w:sz w:val="24"/>
          <w:szCs w:val="24"/>
          <w:color w:val="auto"/>
        </w:rPr>
      </w:pPr>
    </w:p>
    <w:p>
      <w:pPr>
        <w:ind w:right="3960"/>
        <w:spacing w:after="0" w:line="498" w:lineRule="auto"/>
        <w:rPr>
          <w:sz w:val="20"/>
          <w:szCs w:val="20"/>
          <w:color w:val="auto"/>
        </w:rPr>
      </w:pPr>
      <w:r>
        <w:rPr>
          <w:rFonts w:ascii="Times New Roman" w:cs="Times New Roman" w:eastAsia="Times New Roman" w:hAnsi="Times New Roman"/>
          <w:sz w:val="16"/>
          <w:szCs w:val="16"/>
          <w:color w:val="auto"/>
        </w:rPr>
        <w:t xml:space="preserve">x </w:t>
      </w:r>
      <w:r>
        <w:rPr>
          <w:rFonts w:ascii="Arial" w:cs="Arial" w:eastAsia="Arial" w:hAnsi="Arial"/>
          <w:sz w:val="14"/>
          <w:szCs w:val="14"/>
          <w:color w:val="auto"/>
        </w:rPr>
        <w:t>QUARTERLY REPORT PURSUANT TO SECTION 13 OR 15(d) OF THE SECURITIES EXCHANGE ACT OF 1934</w:t>
      </w:r>
      <w:r>
        <w:rPr>
          <w:rFonts w:ascii="Times New Roman" w:cs="Times New Roman" w:eastAsia="Times New Roman" w:hAnsi="Times New Roman"/>
          <w:sz w:val="16"/>
          <w:szCs w:val="16"/>
          <w:color w:val="auto"/>
        </w:rPr>
        <w:t xml:space="preserve"> </w:t>
      </w:r>
      <w:r>
        <w:rPr>
          <w:rFonts w:ascii="Arial" w:cs="Arial" w:eastAsia="Arial" w:hAnsi="Arial"/>
          <w:sz w:val="14"/>
          <w:szCs w:val="14"/>
          <w:color w:val="auto"/>
        </w:rPr>
        <w:t>For the Quarterly Period ended September 30, 2019 OR</w:t>
      </w:r>
    </w:p>
    <w:p>
      <w:pPr>
        <w:sectPr>
          <w:pgSz w:w="11900" w:h="16838" w:orient="portrait"/>
          <w:cols w:equalWidth="0" w:num="1">
            <w:col w:w="11420"/>
          </w:cols>
          <w:pgMar w:left="240" w:top="223" w:right="239" w:bottom="1440" w:gutter="0" w:footer="0" w:header="0"/>
          <w:type w:val="continuous"/>
        </w:sectPr>
      </w:pPr>
    </w:p>
    <w:p>
      <w:pPr>
        <w:spacing w:after="0" w:line="20" w:lineRule="exact"/>
        <w:rPr>
          <w:sz w:val="24"/>
          <w:szCs w:val="24"/>
          <w:color w:val="auto"/>
        </w:rPr>
      </w:pPr>
    </w:p>
    <w:p>
      <w:pPr>
        <w:ind w:right="3840" w:firstLine="8"/>
        <w:spacing w:after="0" w:line="573" w:lineRule="auto"/>
        <w:tabs>
          <w:tab w:leader="none" w:pos="17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 (D) OF THE SECURITIES EXCHANGE ACT OF 1934 For the Transition Period from to</w:t>
      </w:r>
    </w:p>
    <w:p>
      <w:pPr>
        <w:spacing w:after="0" w:line="1" w:lineRule="exact"/>
        <w:rPr>
          <w:rFonts w:ascii="MS PGothic" w:cs="MS PGothic" w:eastAsia="MS PGothic" w:hAnsi="MS PGothic"/>
          <w:sz w:val="14"/>
          <w:szCs w:val="14"/>
          <w:color w:val="auto"/>
        </w:rPr>
      </w:pPr>
    </w:p>
    <w:p>
      <w:pPr>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001-38671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146050</wp:posOffset>
            </wp:positionV>
            <wp:extent cx="288988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988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6"/>
          </w:tcPr>
          <w:p>
            <w:pPr>
              <w:jc w:val="center"/>
              <w:ind w:right="4566"/>
              <w:spacing w:after="0"/>
              <w:rPr>
                <w:sz w:val="20"/>
                <w:szCs w:val="20"/>
                <w:color w:val="auto"/>
              </w:rPr>
            </w:pPr>
            <w:r>
              <w:rPr>
                <w:rFonts w:ascii="Times New Roman" w:cs="Times New Roman" w:eastAsia="Times New Roman" w:hAnsi="Times New Roman"/>
                <w:sz w:val="18"/>
                <w:szCs w:val="18"/>
                <w:b w:val="1"/>
                <w:bCs w:val="1"/>
                <w:color w:val="auto"/>
                <w:w w:val="98"/>
              </w:rPr>
              <w:t>CAPITAL BANCORP, INC.</w:t>
            </w:r>
          </w:p>
        </w:tc>
      </w:tr>
      <w:tr>
        <w:trPr>
          <w:trHeight w:val="20"/>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0"/>
        </w:trPr>
        <w:tc>
          <w:tcPr>
            <w:tcW w:w="4360" w:type="dxa"/>
            <w:vAlign w:val="bottom"/>
          </w:tcPr>
          <w:p>
            <w:pPr>
              <w:spacing w:after="0"/>
              <w:rPr>
                <w:sz w:val="16"/>
                <w:szCs w:val="16"/>
                <w:color w:val="auto"/>
              </w:rPr>
            </w:pPr>
          </w:p>
        </w:tc>
        <w:tc>
          <w:tcPr>
            <w:tcW w:w="7060" w:type="dxa"/>
            <w:vAlign w:val="bottom"/>
            <w:gridSpan w:val="7"/>
          </w:tcPr>
          <w:p>
            <w:pPr>
              <w:jc w:val="center"/>
              <w:ind w:right="4306"/>
              <w:spacing w:after="0"/>
              <w:rPr>
                <w:sz w:val="20"/>
                <w:szCs w:val="20"/>
                <w:color w:val="auto"/>
              </w:rPr>
            </w:pPr>
            <w:r>
              <w:rPr>
                <w:rFonts w:ascii="Arial" w:cs="Arial" w:eastAsia="Arial" w:hAnsi="Arial"/>
                <w:sz w:val="11"/>
                <w:szCs w:val="11"/>
                <w:color w:val="auto"/>
                <w:w w:val="98"/>
              </w:rPr>
              <w:t>(Exact name of registrant as specified in its charter)</w:t>
            </w:r>
          </w:p>
        </w:tc>
      </w:tr>
      <w:tr>
        <w:trPr>
          <w:trHeight w:val="418"/>
        </w:trPr>
        <w:tc>
          <w:tcPr>
            <w:tcW w:w="4360" w:type="dxa"/>
            <w:vAlign w:val="bottom"/>
          </w:tcPr>
          <w:p>
            <w:pPr>
              <w:jc w:val="center"/>
              <w:ind w:left="1210"/>
              <w:spacing w:after="0"/>
              <w:rPr>
                <w:sz w:val="20"/>
                <w:szCs w:val="20"/>
                <w:color w:val="auto"/>
              </w:rPr>
            </w:pPr>
            <w:r>
              <w:rPr>
                <w:rFonts w:ascii="Arial" w:cs="Arial" w:eastAsia="Arial" w:hAnsi="Arial"/>
                <w:sz w:val="16"/>
                <w:szCs w:val="16"/>
                <w:b w:val="1"/>
                <w:bCs w:val="1"/>
                <w:color w:val="auto"/>
              </w:rPr>
              <w:t>Maryland</w:t>
            </w:r>
          </w:p>
        </w:tc>
        <w:tc>
          <w:tcPr>
            <w:tcW w:w="7060" w:type="dxa"/>
            <w:vAlign w:val="bottom"/>
            <w:gridSpan w:val="7"/>
          </w:tcPr>
          <w:p>
            <w:pPr>
              <w:jc w:val="right"/>
              <w:ind w:right="2186"/>
              <w:spacing w:after="0"/>
              <w:rPr>
                <w:sz w:val="20"/>
                <w:szCs w:val="20"/>
                <w:color w:val="auto"/>
              </w:rPr>
            </w:pPr>
            <w:r>
              <w:rPr>
                <w:rFonts w:ascii="Arial" w:cs="Arial" w:eastAsia="Arial" w:hAnsi="Arial"/>
                <w:sz w:val="16"/>
                <w:szCs w:val="16"/>
                <w:b w:val="1"/>
                <w:bCs w:val="1"/>
                <w:color w:val="auto"/>
              </w:rPr>
              <w:t>52-2083046</w:t>
            </w:r>
          </w:p>
        </w:tc>
      </w:tr>
      <w:tr>
        <w:trPr>
          <w:trHeight w:val="35"/>
        </w:trPr>
        <w:tc>
          <w:tcPr>
            <w:tcW w:w="4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r>
      <w:tr>
        <w:trPr>
          <w:trHeight w:val="149"/>
        </w:trPr>
        <w:tc>
          <w:tcPr>
            <w:tcW w:w="4360" w:type="dxa"/>
            <w:vAlign w:val="bottom"/>
          </w:tcPr>
          <w:p>
            <w:pPr>
              <w:jc w:val="center"/>
              <w:ind w:left="1230"/>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20" w:type="dxa"/>
            <w:vAlign w:val="bottom"/>
          </w:tcPr>
          <w:p>
            <w:pPr>
              <w:jc w:val="center"/>
              <w:ind w:right="666"/>
              <w:spacing w:after="0"/>
              <w:rPr>
                <w:sz w:val="20"/>
                <w:szCs w:val="20"/>
                <w:color w:val="auto"/>
              </w:rPr>
            </w:pPr>
            <w:r>
              <w:rPr>
                <w:rFonts w:ascii="Arial" w:cs="Arial" w:eastAsia="Arial" w:hAnsi="Arial"/>
                <w:sz w:val="11"/>
                <w:szCs w:val="11"/>
                <w:color w:val="auto"/>
                <w:w w:val="98"/>
              </w:rPr>
              <w:t>(IRS Employer Identification No.)</w:t>
            </w:r>
          </w:p>
        </w:tc>
      </w:tr>
      <w:tr>
        <w:trPr>
          <w:trHeight w:val="297"/>
        </w:trPr>
        <w:tc>
          <w:tcPr>
            <w:tcW w:w="4360" w:type="dxa"/>
            <w:vAlign w:val="bottom"/>
          </w:tcPr>
          <w:p>
            <w:pPr>
              <w:jc w:val="center"/>
              <w:ind w:left="1230"/>
              <w:spacing w:after="0"/>
              <w:rPr>
                <w:sz w:val="20"/>
                <w:szCs w:val="20"/>
                <w:color w:val="auto"/>
              </w:rPr>
            </w:pPr>
            <w:r>
              <w:rPr>
                <w:rFonts w:ascii="Arial" w:cs="Arial" w:eastAsia="Arial" w:hAnsi="Arial"/>
                <w:sz w:val="16"/>
                <w:szCs w:val="16"/>
                <w:b w:val="1"/>
                <w:bCs w:val="1"/>
                <w:color w:val="auto"/>
              </w:rPr>
              <w:t>2275 Research Boulevard, Suite 600,</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32"/>
        </w:trPr>
        <w:tc>
          <w:tcPr>
            <w:tcW w:w="4360" w:type="dxa"/>
            <w:vAlign w:val="bottom"/>
          </w:tcPr>
          <w:p>
            <w:pPr>
              <w:jc w:val="center"/>
              <w:ind w:left="1210"/>
              <w:spacing w:after="0"/>
              <w:rPr>
                <w:sz w:val="20"/>
                <w:szCs w:val="20"/>
                <w:color w:val="auto"/>
              </w:rPr>
            </w:pPr>
            <w:r>
              <w:rPr>
                <w:rFonts w:ascii="Arial" w:cs="Arial" w:eastAsia="Arial" w:hAnsi="Arial"/>
                <w:sz w:val="16"/>
                <w:szCs w:val="16"/>
                <w:b w:val="1"/>
                <w:bCs w:val="1"/>
                <w:color w:val="auto"/>
              </w:rPr>
              <w:t>Rockville, Maryland 20850</w:t>
            </w:r>
          </w:p>
        </w:tc>
        <w:tc>
          <w:tcPr>
            <w:tcW w:w="7060" w:type="dxa"/>
            <w:vAlign w:val="bottom"/>
            <w:gridSpan w:val="7"/>
          </w:tcPr>
          <w:p>
            <w:pPr>
              <w:jc w:val="right"/>
              <w:ind w:right="2386"/>
              <w:spacing w:after="0"/>
              <w:rPr>
                <w:sz w:val="20"/>
                <w:szCs w:val="20"/>
                <w:color w:val="auto"/>
              </w:rPr>
            </w:pPr>
            <w:r>
              <w:rPr>
                <w:rFonts w:ascii="Arial" w:cs="Arial" w:eastAsia="Arial" w:hAnsi="Arial"/>
                <w:sz w:val="16"/>
                <w:szCs w:val="16"/>
                <w:b w:val="1"/>
                <w:bCs w:val="1"/>
                <w:color w:val="auto"/>
              </w:rPr>
              <w:t>20850</w:t>
            </w:r>
          </w:p>
        </w:tc>
      </w:tr>
      <w:tr>
        <w:trPr>
          <w:trHeight w:val="153"/>
        </w:trPr>
        <w:tc>
          <w:tcPr>
            <w:tcW w:w="4360" w:type="dxa"/>
            <w:vAlign w:val="bottom"/>
            <w:tcBorders>
              <w:top w:val="single" w:sz="8" w:color="auto"/>
            </w:tcBorders>
          </w:tcPr>
          <w:p>
            <w:pPr>
              <w:jc w:val="center"/>
              <w:ind w:left="1190"/>
              <w:spacing w:after="0"/>
              <w:rPr>
                <w:sz w:val="20"/>
                <w:szCs w:val="20"/>
                <w:color w:val="auto"/>
              </w:rPr>
            </w:pPr>
            <w:r>
              <w:rPr>
                <w:rFonts w:ascii="Arial" w:cs="Arial" w:eastAsia="Arial" w:hAnsi="Arial"/>
                <w:sz w:val="11"/>
                <w:szCs w:val="11"/>
                <w:color w:val="auto"/>
                <w:w w:val="98"/>
              </w:rPr>
              <w:t>(Address of principal executive offices)</w:t>
            </w: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620" w:type="dxa"/>
            <w:vAlign w:val="bottom"/>
            <w:tcBorders>
              <w:top w:val="single" w:sz="8" w:color="auto"/>
            </w:tcBorders>
          </w:tcPr>
          <w:p>
            <w:pPr>
              <w:jc w:val="center"/>
              <w:ind w:right="686"/>
              <w:spacing w:after="0"/>
              <w:rPr>
                <w:sz w:val="20"/>
                <w:szCs w:val="20"/>
                <w:color w:val="auto"/>
              </w:rPr>
            </w:pPr>
            <w:r>
              <w:rPr>
                <w:rFonts w:ascii="Arial" w:cs="Arial" w:eastAsia="Arial" w:hAnsi="Arial"/>
                <w:sz w:val="11"/>
                <w:szCs w:val="11"/>
                <w:color w:val="auto"/>
                <w:w w:val="99"/>
              </w:rPr>
              <w:t>(Zip Code)</w:t>
            </w:r>
          </w:p>
        </w:tc>
      </w:tr>
      <w:tr>
        <w:trPr>
          <w:trHeight w:val="466"/>
        </w:trPr>
        <w:tc>
          <w:tcPr>
            <w:tcW w:w="436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(301) 468-8848</w:t>
            </w:r>
          </w:p>
        </w:tc>
        <w:tc>
          <w:tcPr>
            <w:tcW w:w="6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139"/>
        </w:trPr>
        <w:tc>
          <w:tcPr>
            <w:tcW w:w="4360" w:type="dxa"/>
            <w:vAlign w:val="bottom"/>
          </w:tcPr>
          <w:p>
            <w:pPr>
              <w:spacing w:after="0"/>
              <w:rPr>
                <w:sz w:val="12"/>
                <w:szCs w:val="12"/>
                <w:color w:val="auto"/>
              </w:rPr>
            </w:pPr>
          </w:p>
        </w:tc>
        <w:tc>
          <w:tcPr>
            <w:tcW w:w="7060" w:type="dxa"/>
            <w:vAlign w:val="bottom"/>
            <w:gridSpan w:val="7"/>
          </w:tcPr>
          <w:p>
            <w:pPr>
              <w:jc w:val="center"/>
              <w:ind w:right="4306"/>
              <w:spacing w:after="0"/>
              <w:rPr>
                <w:sz w:val="20"/>
                <w:szCs w:val="20"/>
                <w:color w:val="auto"/>
              </w:rPr>
            </w:pPr>
            <w:r>
              <w:rPr>
                <w:rFonts w:ascii="Arial" w:cs="Arial" w:eastAsia="Arial" w:hAnsi="Arial"/>
                <w:sz w:val="11"/>
                <w:szCs w:val="11"/>
                <w:color w:val="auto"/>
                <w:w w:val="97"/>
              </w:rPr>
              <w:t>Registrant’s telephone number, including area code</w:t>
            </w:r>
          </w:p>
        </w:tc>
      </w:tr>
      <w:tr>
        <w:trPr>
          <w:trHeight w:val="189"/>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0" w:type="dxa"/>
            <w:vAlign w:val="bottom"/>
            <w:gridSpan w:val="6"/>
          </w:tcPr>
          <w:p>
            <w:pPr>
              <w:jc w:val="center"/>
              <w:ind w:right="4546"/>
              <w:spacing w:after="0"/>
              <w:rPr>
                <w:sz w:val="20"/>
                <w:szCs w:val="20"/>
                <w:color w:val="auto"/>
              </w:rPr>
            </w:pPr>
            <w:r>
              <w:rPr>
                <w:rFonts w:ascii="Arial" w:cs="Arial" w:eastAsia="Arial" w:hAnsi="Arial"/>
                <w:sz w:val="14"/>
                <w:szCs w:val="14"/>
                <w:b w:val="1"/>
                <w:bCs w:val="1"/>
                <w:u w:val="single" w:color="auto"/>
                <w:color w:val="auto"/>
              </w:rPr>
              <w:t>Not Applicable</w:t>
            </w:r>
          </w:p>
        </w:tc>
      </w:tr>
    </w:tbl>
    <w:p>
      <w:pPr>
        <w:jc w:val="center"/>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142" w:lineRule="exact"/>
        <w:rPr>
          <w:sz w:val="24"/>
          <w:szCs w:val="24"/>
          <w:color w:val="auto"/>
        </w:rPr>
      </w:pPr>
    </w:p>
    <w:p>
      <w:pPr>
        <w:jc w:val="both"/>
        <w:ind w:firstLine="648"/>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6"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540"/>
        <w:spacing w:after="0" w:line="185" w:lineRule="exact"/>
        <w:rPr>
          <w:sz w:val="20"/>
          <w:szCs w:val="20"/>
          <w:color w:val="auto"/>
        </w:rPr>
      </w:pPr>
      <w:r>
        <w:rPr>
          <w:rFonts w:ascii="Arial" w:cs="Arial" w:eastAsia="Arial" w:hAnsi="Arial"/>
          <w:sz w:val="16"/>
          <w:szCs w:val="16"/>
          <w:color w:val="auto"/>
        </w:rPr>
        <w:t xml:space="preserve">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jc w:val="both"/>
        <w:ind w:firstLine="648"/>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98" w:lineRule="exact"/>
        <w:rPr>
          <w:sz w:val="24"/>
          <w:szCs w:val="24"/>
          <w:color w:val="auto"/>
        </w:rPr>
      </w:pPr>
    </w:p>
    <w:tbl>
      <w:tblPr>
        <w:tblLayout w:type="fixed"/>
        <w:tblInd w:w="254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3100" w:type="dxa"/>
            <w:vAlign w:val="bottom"/>
          </w:tcPr>
          <w:p>
            <w:pPr>
              <w:ind w:left="98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9"/>
        </w:trPr>
        <w:tc>
          <w:tcPr>
            <w:tcW w:w="1740" w:type="dxa"/>
            <w:vAlign w:val="bottom"/>
          </w:tcPr>
          <w:p>
            <w:pPr>
              <w:spacing w:after="0"/>
              <w:rPr>
                <w:sz w:val="20"/>
                <w:szCs w:val="20"/>
                <w:color w:val="auto"/>
              </w:rPr>
            </w:pPr>
            <w:r>
              <w:rPr>
                <w:rFonts w:ascii="Arial" w:cs="Arial" w:eastAsia="Arial" w:hAnsi="Arial"/>
                <w:sz w:val="14"/>
                <w:szCs w:val="14"/>
                <w:color w:val="auto"/>
              </w:rPr>
              <w:t>Non-accelerated filer</w:t>
            </w:r>
          </w:p>
        </w:tc>
        <w:tc>
          <w:tcPr>
            <w:tcW w:w="1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3100" w:type="dxa"/>
            <w:vAlign w:val="bottom"/>
          </w:tcPr>
          <w:p>
            <w:pPr>
              <w:ind w:left="98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70"/>
        </w:trPr>
        <w:tc>
          <w:tcPr>
            <w:tcW w:w="17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100" w:type="dxa"/>
            <w:vAlign w:val="bottom"/>
          </w:tcPr>
          <w:p>
            <w:pPr>
              <w:ind w:left="98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r>
    </w:tbl>
    <w:p>
      <w:pPr>
        <w:spacing w:after="0" w:line="206" w:lineRule="exact"/>
        <w:rPr>
          <w:sz w:val="24"/>
          <w:szCs w:val="24"/>
          <w:color w:val="auto"/>
        </w:rPr>
      </w:pPr>
    </w:p>
    <w:p>
      <w:pPr>
        <w:ind w:right="20"/>
        <w:spacing w:after="0" w:line="29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x</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99" w:lineRule="exact"/>
        <w:rPr>
          <w:sz w:val="24"/>
          <w:szCs w:val="24"/>
          <w:color w:val="auto"/>
        </w:rPr>
      </w:pPr>
    </w:p>
    <w:p>
      <w:pPr>
        <w:ind w:left="7140"/>
        <w:spacing w:after="0" w:line="185"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x</w:t>
      </w:r>
    </w:p>
    <w:p>
      <w:pPr>
        <w:sectPr>
          <w:pgSz w:w="11900" w:h="16838" w:orient="portrait"/>
          <w:cols w:equalWidth="0" w:num="1">
            <w:col w:w="11420"/>
          </w:cols>
          <w:pgMar w:left="240" w:top="22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54" w:lineRule="exact"/>
        <w:rPr>
          <w:sz w:val="20"/>
          <w:szCs w:val="20"/>
          <w:color w:val="auto"/>
        </w:rPr>
      </w:pPr>
    </w:p>
    <w:tbl>
      <w:tblPr>
        <w:tblLayout w:type="fixed"/>
        <w:tblInd w:w="390" w:type="dxa"/>
        <w:tblCellMar>
          <w:top w:w="0" w:type="dxa"/>
          <w:left w:w="0" w:type="dxa"/>
          <w:bottom w:w="0" w:type="dxa"/>
          <w:right w:w="0" w:type="dxa"/>
        </w:tblCellMar>
      </w:tblPr>
      <w:tr>
        <w:trPr>
          <w:trHeight w:val="203"/>
        </w:trPr>
        <w:tc>
          <w:tcPr>
            <w:tcW w:w="1020" w:type="dxa"/>
            <w:vAlign w:val="bottom"/>
            <w:tcBorders>
              <w:top w:val="single" w:sz="8" w:color="auto"/>
              <w:left w:val="single" w:sz="8" w:color="auto"/>
            </w:tcBorders>
          </w:tcPr>
          <w:p>
            <w:pPr>
              <w:spacing w:after="0"/>
              <w:rPr>
                <w:sz w:val="17"/>
                <w:szCs w:val="17"/>
                <w:color w:val="auto"/>
              </w:rPr>
            </w:pPr>
          </w:p>
        </w:tc>
        <w:tc>
          <w:tcPr>
            <w:tcW w:w="2680" w:type="dxa"/>
            <w:vAlign w:val="bottom"/>
            <w:tcBorders>
              <w:top w:val="single" w:sz="8" w:color="auto"/>
            </w:tcBorders>
            <w:gridSpan w:val="2"/>
          </w:tcPr>
          <w:p>
            <w:pPr>
              <w:jc w:val="center"/>
              <w:ind w:right="15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20" w:type="dxa"/>
            <w:vAlign w:val="bottom"/>
            <w:tcBorders>
              <w:top w:val="single" w:sz="8" w:color="auto"/>
            </w:tcBorders>
            <w:gridSpan w:val="2"/>
          </w:tcPr>
          <w:p>
            <w:pPr>
              <w:jc w:val="center"/>
              <w:ind w:right="1680"/>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right w:val="single" w:sz="8" w:color="auto"/>
            </w:tcBorders>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020" w:type="dxa"/>
            <w:vAlign w:val="bottom"/>
            <w:tcBorders>
              <w:lef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r>
      <w:tr>
        <w:trPr>
          <w:trHeight w:val="291"/>
        </w:trPr>
        <w:tc>
          <w:tcPr>
            <w:tcW w:w="3700" w:type="dxa"/>
            <w:vAlign w:val="bottom"/>
            <w:tcBorders>
              <w:left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92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9"/>
              </w:rPr>
              <w:t>CBNK</w:t>
            </w:r>
          </w:p>
        </w:tc>
        <w:tc>
          <w:tcPr>
            <w:tcW w:w="4080" w:type="dxa"/>
            <w:vAlign w:val="bottom"/>
            <w:tcBorders>
              <w:right w:val="single" w:sz="8" w:color="auto"/>
            </w:tcBorders>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NASDAQ Stock Market</w:t>
            </w:r>
          </w:p>
        </w:tc>
      </w:tr>
      <w:tr>
        <w:trPr>
          <w:trHeight w:val="27"/>
        </w:trPr>
        <w:tc>
          <w:tcPr>
            <w:tcW w:w="1020" w:type="dxa"/>
            <w:vAlign w:val="bottom"/>
            <w:tcBorders>
              <w:left w:val="single" w:sz="8" w:color="auto"/>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October 31, 2019, the Company had 13,809,558 shares of common stock, par value $0.01 per share, outstanding.</w:t>
      </w:r>
    </w:p>
    <w:p>
      <w:pPr>
        <w:sectPr>
          <w:pgSz w:w="11900" w:h="16838" w:orient="portrait"/>
          <w:cols w:equalWidth="0" w:num="1">
            <w:col w:w="11080"/>
          </w:cols>
          <w:pgMar w:left="240" w:top="743" w:right="5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5"/>
          <w:szCs w:val="25"/>
          <w:b w:val="1"/>
          <w:bCs w:val="1"/>
          <w:color w:val="auto"/>
        </w:rPr>
        <w:t>Capital Bancorp, Inc. and Subsidiaries</w:t>
      </w:r>
    </w:p>
    <w:p>
      <w:pPr>
        <w:spacing w:after="0" w:line="7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29845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0" w:type="dxa"/>
            <w:vAlign w:val="bottom"/>
            <w:gridSpan w:val="2"/>
          </w:tcPr>
          <w:p>
            <w:pPr>
              <w:spacing w:after="0"/>
              <w:rPr>
                <w:sz w:val="20"/>
                <w:szCs w:val="20"/>
                <w:color w:val="auto"/>
              </w:rPr>
            </w:pPr>
            <w:r>
              <w:rPr>
                <w:rFonts w:ascii="Arial" w:cs="Arial" w:eastAsia="Arial" w:hAnsi="Arial"/>
                <w:sz w:val="16"/>
                <w:szCs w:val="16"/>
                <w:b w:val="1"/>
                <w:bCs w:val="1"/>
                <w:color w:val="auto"/>
              </w:rPr>
              <w:t>PART I - CONSOLIDATED FINANCIAL INFORMATION</w:t>
            </w:r>
          </w:p>
        </w:tc>
        <w:tc>
          <w:tcPr>
            <w:tcW w:w="1580" w:type="dxa"/>
            <w:vAlign w:val="bottom"/>
          </w:tcPr>
          <w:p>
            <w:pPr>
              <w:spacing w:after="0"/>
              <w:rPr>
                <w:sz w:val="16"/>
                <w:szCs w:val="16"/>
                <w:color w:val="auto"/>
              </w:rPr>
            </w:pPr>
          </w:p>
        </w:tc>
        <w:tc>
          <w:tcPr>
            <w:tcW w:w="4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9"/>
              </w:rPr>
              <w:t>Page</w:t>
            </w: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8280" w:type="dxa"/>
            <w:vAlign w:val="bottom"/>
          </w:tcPr>
          <w:p>
            <w:pPr>
              <w:ind w:left="340"/>
              <w:spacing w:after="0"/>
              <w:rPr>
                <w:sz w:val="20"/>
                <w:szCs w:val="20"/>
                <w:color w:val="auto"/>
              </w:rPr>
            </w:pPr>
            <w:r>
              <w:rPr>
                <w:rFonts w:ascii="Arial" w:cs="Arial" w:eastAsia="Arial" w:hAnsi="Arial"/>
                <w:sz w:val="16"/>
                <w:szCs w:val="16"/>
                <w:color w:val="auto"/>
              </w:rPr>
              <w:t>Consolidated Financial Statements</w:t>
            </w:r>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280" w:type="dxa"/>
            <w:vAlign w:val="bottom"/>
          </w:tcPr>
          <w:p>
            <w:pPr>
              <w:ind w:left="680"/>
              <w:spacing w:after="0"/>
              <w:rPr>
                <w:rFonts w:ascii="Arial" w:cs="Arial" w:eastAsia="Arial" w:hAnsi="Arial"/>
                <w:sz w:val="16"/>
                <w:szCs w:val="16"/>
                <w:color w:val="auto"/>
              </w:rPr>
            </w:pPr>
            <w:hyperlink w:anchor="page4">
              <w:r>
                <w:rPr>
                  <w:rFonts w:ascii="Arial" w:cs="Arial" w:eastAsia="Arial" w:hAnsi="Arial"/>
                  <w:sz w:val="16"/>
                  <w:szCs w:val="16"/>
                  <w:color w:val="auto"/>
                </w:rPr>
                <w:t>Consolidated Balance Sheets</w:t>
              </w:r>
            </w:hyperlink>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c>
          <w:tcPr>
            <w:tcW w:w="1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280" w:type="dxa"/>
            <w:vAlign w:val="bottom"/>
          </w:tcPr>
          <w:p>
            <w:pPr>
              <w:ind w:left="680"/>
              <w:spacing w:after="0"/>
              <w:rPr>
                <w:rFonts w:ascii="Arial" w:cs="Arial" w:eastAsia="Arial" w:hAnsi="Arial"/>
                <w:sz w:val="16"/>
                <w:szCs w:val="16"/>
                <w:color w:val="auto"/>
              </w:rPr>
            </w:pPr>
            <w:hyperlink w:anchor="page5">
              <w:r>
                <w:rPr>
                  <w:rFonts w:ascii="Arial" w:cs="Arial" w:eastAsia="Arial" w:hAnsi="Arial"/>
                  <w:sz w:val="16"/>
                  <w:szCs w:val="16"/>
                  <w:color w:val="auto"/>
                </w:rPr>
                <w:t>Consolidated Statements of Income</w:t>
              </w:r>
            </w:hyperlink>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c>
          <w:tcPr>
            <w:tcW w:w="1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280" w:type="dxa"/>
            <w:vAlign w:val="bottom"/>
          </w:tcPr>
          <w:p>
            <w:pPr>
              <w:ind w:left="680"/>
              <w:spacing w:after="0"/>
              <w:rPr>
                <w:rFonts w:ascii="Arial" w:cs="Arial" w:eastAsia="Arial" w:hAnsi="Arial"/>
                <w:sz w:val="16"/>
                <w:szCs w:val="16"/>
                <w:color w:val="auto"/>
              </w:rPr>
            </w:pPr>
            <w:hyperlink w:anchor="page6">
              <w:r>
                <w:rPr>
                  <w:rFonts w:ascii="Arial" w:cs="Arial" w:eastAsia="Arial" w:hAnsi="Arial"/>
                  <w:sz w:val="16"/>
                  <w:szCs w:val="16"/>
                  <w:color w:val="auto"/>
                </w:rPr>
                <w:t>Consolidated Statements of Comprehensive Income</w:t>
              </w:r>
            </w:hyperlink>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1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280" w:type="dxa"/>
            <w:vAlign w:val="bottom"/>
          </w:tcPr>
          <w:p>
            <w:pPr>
              <w:ind w:left="680"/>
              <w:spacing w:after="0"/>
              <w:rPr>
                <w:rFonts w:ascii="Arial" w:cs="Arial" w:eastAsia="Arial" w:hAnsi="Arial"/>
                <w:sz w:val="16"/>
                <w:szCs w:val="16"/>
                <w:color w:val="auto"/>
              </w:rPr>
            </w:pPr>
            <w:hyperlink w:anchor="page7">
              <w:r>
                <w:rPr>
                  <w:rFonts w:ascii="Arial" w:cs="Arial" w:eastAsia="Arial" w:hAnsi="Arial"/>
                  <w:sz w:val="16"/>
                  <w:szCs w:val="16"/>
                  <w:color w:val="auto"/>
                </w:rPr>
                <w:t>Consolidated Statements of Changes in Stockholders’ Equity</w:t>
              </w:r>
            </w:hyperlink>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c>
          <w:tcPr>
            <w:tcW w:w="1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280" w:type="dxa"/>
            <w:vAlign w:val="bottom"/>
          </w:tcPr>
          <w:p>
            <w:pPr>
              <w:ind w:left="680"/>
              <w:spacing w:after="0"/>
              <w:rPr>
                <w:rFonts w:ascii="Arial" w:cs="Arial" w:eastAsia="Arial" w:hAnsi="Arial"/>
                <w:sz w:val="16"/>
                <w:szCs w:val="16"/>
                <w:color w:val="auto"/>
              </w:rPr>
            </w:pPr>
            <w:hyperlink w:anchor="page9">
              <w:r>
                <w:rPr>
                  <w:rFonts w:ascii="Arial" w:cs="Arial" w:eastAsia="Arial" w:hAnsi="Arial"/>
                  <w:sz w:val="16"/>
                  <w:szCs w:val="16"/>
                  <w:color w:val="auto"/>
                </w:rPr>
                <w:t>Consolidated Statements of Cash Flows</w:t>
              </w:r>
            </w:hyperlink>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7</w:t>
              </w:r>
            </w:hyperlink>
          </w:p>
        </w:tc>
        <w:tc>
          <w:tcPr>
            <w:tcW w:w="1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280" w:type="dxa"/>
            <w:vAlign w:val="bottom"/>
          </w:tcPr>
          <w:p>
            <w:pPr>
              <w:ind w:left="680"/>
              <w:spacing w:after="0"/>
              <w:rPr>
                <w:rFonts w:ascii="Arial" w:cs="Arial" w:eastAsia="Arial" w:hAnsi="Arial"/>
                <w:sz w:val="16"/>
                <w:szCs w:val="16"/>
                <w:color w:val="auto"/>
              </w:rPr>
            </w:pPr>
            <w:hyperlink w:anchor="page11">
              <w:r>
                <w:rPr>
                  <w:rFonts w:ascii="Arial" w:cs="Arial" w:eastAsia="Arial" w:hAnsi="Arial"/>
                  <w:sz w:val="16"/>
                  <w:szCs w:val="16"/>
                  <w:color w:val="auto"/>
                </w:rPr>
                <w:t>Notes to Consolidated Financial Statements</w:t>
              </w:r>
            </w:hyperlink>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11">
              <w:r>
                <w:rPr>
                  <w:rFonts w:ascii="Arial" w:cs="Arial" w:eastAsia="Arial" w:hAnsi="Arial"/>
                  <w:sz w:val="16"/>
                  <w:szCs w:val="16"/>
                  <w:color w:val="0000EE"/>
                  <w:w w:val="89"/>
                </w:rPr>
                <w:t>9</w:t>
              </w:r>
            </w:hyperlink>
          </w:p>
        </w:tc>
        <w:tc>
          <w:tcPr>
            <w:tcW w:w="1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8280" w:type="dxa"/>
            <w:vAlign w:val="bottom"/>
          </w:tcPr>
          <w:p>
            <w:pPr>
              <w:ind w:left="34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820" w:type="dxa"/>
            <w:vAlign w:val="bottom"/>
            <w:gridSpan w:val="3"/>
          </w:tcPr>
          <w:p>
            <w:pPr>
              <w:jc w:val="center"/>
              <w:ind w:left="1559"/>
              <w:spacing w:after="0"/>
              <w:rPr>
                <w:rFonts w:ascii="Arial" w:cs="Arial" w:eastAsia="Arial" w:hAnsi="Arial"/>
                <w:sz w:val="16"/>
                <w:szCs w:val="16"/>
                <w:color w:val="0000EE"/>
              </w:rPr>
            </w:pPr>
            <w:hyperlink w:anchor="page40">
              <w:r>
                <w:rPr>
                  <w:rFonts w:ascii="Arial" w:cs="Arial" w:eastAsia="Arial" w:hAnsi="Arial"/>
                  <w:sz w:val="16"/>
                  <w:szCs w:val="16"/>
                  <w:color w:val="0000EE"/>
                </w:rPr>
                <w:t>38</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8280" w:type="dxa"/>
            <w:vAlign w:val="bottom"/>
          </w:tcPr>
          <w:p>
            <w:pPr>
              <w:ind w:left="340"/>
              <w:spacing w:after="0"/>
              <w:rPr>
                <w:sz w:val="20"/>
                <w:szCs w:val="20"/>
                <w:color w:val="auto"/>
              </w:rPr>
            </w:pPr>
            <w:r>
              <w:rPr>
                <w:rFonts w:ascii="Arial" w:cs="Arial" w:eastAsia="Arial" w:hAnsi="Arial"/>
                <w:sz w:val="16"/>
                <w:szCs w:val="16"/>
                <w:color w:val="auto"/>
              </w:rPr>
              <w:t>Quantitative and Qualitative Disclosures about Market Risk</w:t>
            </w:r>
          </w:p>
        </w:tc>
        <w:tc>
          <w:tcPr>
            <w:tcW w:w="1820" w:type="dxa"/>
            <w:vAlign w:val="bottom"/>
            <w:gridSpan w:val="3"/>
          </w:tcPr>
          <w:p>
            <w:pPr>
              <w:jc w:val="center"/>
              <w:ind w:left="1559"/>
              <w:spacing w:after="0"/>
              <w:rPr>
                <w:rFonts w:ascii="Arial" w:cs="Arial" w:eastAsia="Arial" w:hAnsi="Arial"/>
                <w:sz w:val="16"/>
                <w:szCs w:val="16"/>
                <w:color w:val="0000EE"/>
              </w:rPr>
            </w:pPr>
            <w:hyperlink w:anchor="page64">
              <w:r>
                <w:rPr>
                  <w:rFonts w:ascii="Arial" w:cs="Arial" w:eastAsia="Arial" w:hAnsi="Arial"/>
                  <w:sz w:val="16"/>
                  <w:szCs w:val="16"/>
                  <w:color w:val="0000EE"/>
                </w:rPr>
                <w:t>62</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8280" w:type="dxa"/>
            <w:vAlign w:val="bottom"/>
          </w:tcPr>
          <w:p>
            <w:pPr>
              <w:ind w:left="340"/>
              <w:spacing w:after="0"/>
              <w:rPr>
                <w:sz w:val="20"/>
                <w:szCs w:val="20"/>
                <w:color w:val="auto"/>
              </w:rPr>
            </w:pPr>
            <w:r>
              <w:rPr>
                <w:rFonts w:ascii="Arial" w:cs="Arial" w:eastAsia="Arial" w:hAnsi="Arial"/>
                <w:sz w:val="16"/>
                <w:szCs w:val="16"/>
                <w:color w:val="auto"/>
              </w:rPr>
              <w:t>Controls and Procedures</w:t>
            </w:r>
          </w:p>
        </w:tc>
        <w:tc>
          <w:tcPr>
            <w:tcW w:w="1820" w:type="dxa"/>
            <w:vAlign w:val="bottom"/>
            <w:gridSpan w:val="3"/>
          </w:tcPr>
          <w:p>
            <w:pPr>
              <w:jc w:val="center"/>
              <w:ind w:left="1559"/>
              <w:spacing w:after="0"/>
              <w:rPr>
                <w:rFonts w:ascii="Arial" w:cs="Arial" w:eastAsia="Arial" w:hAnsi="Arial"/>
                <w:sz w:val="16"/>
                <w:szCs w:val="16"/>
                <w:color w:val="0000EE"/>
              </w:rPr>
            </w:pPr>
            <w:hyperlink w:anchor="page67">
              <w:r>
                <w:rPr>
                  <w:rFonts w:ascii="Arial" w:cs="Arial" w:eastAsia="Arial" w:hAnsi="Arial"/>
                  <w:sz w:val="16"/>
                  <w:szCs w:val="16"/>
                  <w:color w:val="0000EE"/>
                </w:rPr>
                <w:t>65</w:t>
              </w:r>
            </w:hyperlink>
          </w:p>
        </w:tc>
        <w:tc>
          <w:tcPr>
            <w:tcW w:w="160" w:type="dxa"/>
            <w:vAlign w:val="bottom"/>
          </w:tcPr>
          <w:p>
            <w:pPr>
              <w:spacing w:after="0"/>
              <w:rPr>
                <w:sz w:val="19"/>
                <w:szCs w:val="19"/>
                <w:color w:val="auto"/>
              </w:rPr>
            </w:pPr>
          </w:p>
        </w:tc>
      </w:tr>
      <w:tr>
        <w:trPr>
          <w:trHeight w:val="297"/>
        </w:trPr>
        <w:tc>
          <w:tcPr>
            <w:tcW w:w="9200" w:type="dxa"/>
            <w:vAlign w:val="bottom"/>
            <w:gridSpan w:val="2"/>
          </w:tcPr>
          <w:p>
            <w:pPr>
              <w:spacing w:after="0"/>
              <w:rPr>
                <w:sz w:val="20"/>
                <w:szCs w:val="20"/>
                <w:color w:val="auto"/>
              </w:rPr>
            </w:pPr>
            <w:r>
              <w:rPr>
                <w:rFonts w:ascii="Arial" w:cs="Arial" w:eastAsia="Arial" w:hAnsi="Arial"/>
                <w:sz w:val="16"/>
                <w:szCs w:val="16"/>
                <w:b w:val="1"/>
                <w:bCs w:val="1"/>
                <w:color w:val="auto"/>
              </w:rPr>
              <w:t>PART II - OTHER INFORMATION</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197"/>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8280" w:type="dxa"/>
            <w:vAlign w:val="bottom"/>
          </w:tcPr>
          <w:p>
            <w:pPr>
              <w:ind w:left="340"/>
              <w:spacing w:after="0"/>
              <w:rPr>
                <w:sz w:val="20"/>
                <w:szCs w:val="20"/>
                <w:color w:val="auto"/>
              </w:rPr>
            </w:pPr>
            <w:r>
              <w:rPr>
                <w:rFonts w:ascii="Arial" w:cs="Arial" w:eastAsia="Arial" w:hAnsi="Arial"/>
                <w:sz w:val="16"/>
                <w:szCs w:val="16"/>
                <w:color w:val="auto"/>
              </w:rPr>
              <w:t>Legal Proceedings</w:t>
            </w:r>
          </w:p>
        </w:tc>
        <w:tc>
          <w:tcPr>
            <w:tcW w:w="1820" w:type="dxa"/>
            <w:vAlign w:val="bottom"/>
            <w:gridSpan w:val="3"/>
          </w:tcPr>
          <w:p>
            <w:pPr>
              <w:jc w:val="center"/>
              <w:ind w:left="1559"/>
              <w:spacing w:after="0"/>
              <w:rPr>
                <w:rFonts w:ascii="Arial" w:cs="Arial" w:eastAsia="Arial" w:hAnsi="Arial"/>
                <w:sz w:val="16"/>
                <w:szCs w:val="16"/>
                <w:color w:val="0000EE"/>
              </w:rPr>
            </w:pPr>
            <w:hyperlink w:anchor="page68">
              <w:r>
                <w:rPr>
                  <w:rFonts w:ascii="Arial" w:cs="Arial" w:eastAsia="Arial" w:hAnsi="Arial"/>
                  <w:sz w:val="16"/>
                  <w:szCs w:val="16"/>
                  <w:color w:val="0000EE"/>
                </w:rPr>
                <w:t>66</w:t>
              </w:r>
            </w:hyperlink>
          </w:p>
        </w:tc>
        <w:tc>
          <w:tcPr>
            <w:tcW w:w="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8280" w:type="dxa"/>
            <w:vAlign w:val="bottom"/>
          </w:tcPr>
          <w:p>
            <w:pPr>
              <w:ind w:left="340"/>
              <w:spacing w:after="0"/>
              <w:rPr>
                <w:sz w:val="20"/>
                <w:szCs w:val="20"/>
                <w:color w:val="auto"/>
              </w:rPr>
            </w:pPr>
            <w:r>
              <w:rPr>
                <w:rFonts w:ascii="Arial" w:cs="Arial" w:eastAsia="Arial" w:hAnsi="Arial"/>
                <w:sz w:val="16"/>
                <w:szCs w:val="16"/>
                <w:color w:val="auto"/>
              </w:rPr>
              <w:t>Risk Factors</w:t>
            </w:r>
          </w:p>
        </w:tc>
        <w:tc>
          <w:tcPr>
            <w:tcW w:w="1820" w:type="dxa"/>
            <w:vAlign w:val="bottom"/>
            <w:gridSpan w:val="3"/>
          </w:tcPr>
          <w:p>
            <w:pPr>
              <w:jc w:val="center"/>
              <w:ind w:left="1559"/>
              <w:spacing w:after="0"/>
              <w:rPr>
                <w:rFonts w:ascii="Arial" w:cs="Arial" w:eastAsia="Arial" w:hAnsi="Arial"/>
                <w:sz w:val="16"/>
                <w:szCs w:val="16"/>
                <w:color w:val="0000EE"/>
              </w:rPr>
            </w:pPr>
            <w:hyperlink w:anchor="page68">
              <w:r>
                <w:rPr>
                  <w:rFonts w:ascii="Arial" w:cs="Arial" w:eastAsia="Arial" w:hAnsi="Arial"/>
                  <w:sz w:val="16"/>
                  <w:szCs w:val="16"/>
                  <w:color w:val="0000EE"/>
                </w:rPr>
                <w:t>66</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8280" w:type="dxa"/>
            <w:vAlign w:val="bottom"/>
          </w:tcPr>
          <w:p>
            <w:pPr>
              <w:ind w:left="340"/>
              <w:spacing w:after="0"/>
              <w:rPr>
                <w:sz w:val="20"/>
                <w:szCs w:val="20"/>
                <w:color w:val="auto"/>
              </w:rPr>
            </w:pPr>
            <w:r>
              <w:rPr>
                <w:rFonts w:ascii="Arial" w:cs="Arial" w:eastAsia="Arial" w:hAnsi="Arial"/>
                <w:sz w:val="16"/>
                <w:szCs w:val="16"/>
                <w:color w:val="auto"/>
              </w:rPr>
              <w:t>Unregistered Sales of Equity Securities and Use of Proceeds</w:t>
            </w:r>
          </w:p>
        </w:tc>
        <w:tc>
          <w:tcPr>
            <w:tcW w:w="1820" w:type="dxa"/>
            <w:vAlign w:val="bottom"/>
            <w:gridSpan w:val="3"/>
          </w:tcPr>
          <w:p>
            <w:pPr>
              <w:jc w:val="center"/>
              <w:ind w:left="1559"/>
              <w:spacing w:after="0"/>
              <w:rPr>
                <w:rFonts w:ascii="Arial" w:cs="Arial" w:eastAsia="Arial" w:hAnsi="Arial"/>
                <w:sz w:val="16"/>
                <w:szCs w:val="16"/>
                <w:color w:val="0000EE"/>
              </w:rPr>
            </w:pPr>
            <w:hyperlink w:anchor="page68">
              <w:r>
                <w:rPr>
                  <w:rFonts w:ascii="Arial" w:cs="Arial" w:eastAsia="Arial" w:hAnsi="Arial"/>
                  <w:sz w:val="16"/>
                  <w:szCs w:val="16"/>
                  <w:color w:val="0000EE"/>
                </w:rPr>
                <w:t>66</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8280" w:type="dxa"/>
            <w:vAlign w:val="bottom"/>
          </w:tcPr>
          <w:p>
            <w:pPr>
              <w:ind w:left="340"/>
              <w:spacing w:after="0"/>
              <w:rPr>
                <w:sz w:val="20"/>
                <w:szCs w:val="20"/>
                <w:color w:val="auto"/>
              </w:rPr>
            </w:pPr>
            <w:r>
              <w:rPr>
                <w:rFonts w:ascii="Arial" w:cs="Arial" w:eastAsia="Arial" w:hAnsi="Arial"/>
                <w:sz w:val="16"/>
                <w:szCs w:val="16"/>
                <w:color w:val="auto"/>
              </w:rPr>
              <w:t>Defaults upon Senior Securities</w:t>
            </w:r>
          </w:p>
        </w:tc>
        <w:tc>
          <w:tcPr>
            <w:tcW w:w="1820" w:type="dxa"/>
            <w:vAlign w:val="bottom"/>
            <w:gridSpan w:val="3"/>
          </w:tcPr>
          <w:p>
            <w:pPr>
              <w:jc w:val="center"/>
              <w:ind w:left="1559"/>
              <w:spacing w:after="0"/>
              <w:rPr>
                <w:rFonts w:ascii="Arial" w:cs="Arial" w:eastAsia="Arial" w:hAnsi="Arial"/>
                <w:sz w:val="16"/>
                <w:szCs w:val="16"/>
                <w:color w:val="0000EE"/>
              </w:rPr>
            </w:pPr>
            <w:hyperlink w:anchor="page69">
              <w:r>
                <w:rPr>
                  <w:rFonts w:ascii="Arial" w:cs="Arial" w:eastAsia="Arial" w:hAnsi="Arial"/>
                  <w:sz w:val="16"/>
                  <w:szCs w:val="16"/>
                  <w:color w:val="0000EE"/>
                </w:rPr>
                <w:t>67</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8280" w:type="dxa"/>
            <w:vAlign w:val="bottom"/>
          </w:tcPr>
          <w:p>
            <w:pPr>
              <w:ind w:left="340"/>
              <w:spacing w:after="0"/>
              <w:rPr>
                <w:sz w:val="20"/>
                <w:szCs w:val="20"/>
                <w:color w:val="auto"/>
              </w:rPr>
            </w:pPr>
            <w:r>
              <w:rPr>
                <w:rFonts w:ascii="Arial" w:cs="Arial" w:eastAsia="Arial" w:hAnsi="Arial"/>
                <w:sz w:val="16"/>
                <w:szCs w:val="16"/>
                <w:color w:val="auto"/>
              </w:rPr>
              <w:t>Mine Safety Disclosures</w:t>
            </w:r>
          </w:p>
        </w:tc>
        <w:tc>
          <w:tcPr>
            <w:tcW w:w="1820" w:type="dxa"/>
            <w:vAlign w:val="bottom"/>
            <w:gridSpan w:val="3"/>
          </w:tcPr>
          <w:p>
            <w:pPr>
              <w:jc w:val="center"/>
              <w:ind w:left="1559"/>
              <w:spacing w:after="0"/>
              <w:rPr>
                <w:rFonts w:ascii="Arial" w:cs="Arial" w:eastAsia="Arial" w:hAnsi="Arial"/>
                <w:sz w:val="16"/>
                <w:szCs w:val="16"/>
                <w:color w:val="0000EE"/>
              </w:rPr>
            </w:pPr>
            <w:hyperlink w:anchor="page69">
              <w:r>
                <w:rPr>
                  <w:rFonts w:ascii="Arial" w:cs="Arial" w:eastAsia="Arial" w:hAnsi="Arial"/>
                  <w:sz w:val="16"/>
                  <w:szCs w:val="16"/>
                  <w:color w:val="0000EE"/>
                </w:rPr>
                <w:t>67</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5.</w:t>
            </w:r>
          </w:p>
        </w:tc>
        <w:tc>
          <w:tcPr>
            <w:tcW w:w="8280" w:type="dxa"/>
            <w:vAlign w:val="bottom"/>
          </w:tcPr>
          <w:p>
            <w:pPr>
              <w:ind w:left="340"/>
              <w:spacing w:after="0"/>
              <w:rPr>
                <w:sz w:val="20"/>
                <w:szCs w:val="20"/>
                <w:color w:val="auto"/>
              </w:rPr>
            </w:pPr>
            <w:r>
              <w:rPr>
                <w:rFonts w:ascii="Arial" w:cs="Arial" w:eastAsia="Arial" w:hAnsi="Arial"/>
                <w:sz w:val="16"/>
                <w:szCs w:val="16"/>
                <w:color w:val="auto"/>
              </w:rPr>
              <w:t>Other Information</w:t>
            </w:r>
          </w:p>
        </w:tc>
        <w:tc>
          <w:tcPr>
            <w:tcW w:w="1820" w:type="dxa"/>
            <w:vAlign w:val="bottom"/>
            <w:gridSpan w:val="3"/>
          </w:tcPr>
          <w:p>
            <w:pPr>
              <w:jc w:val="center"/>
              <w:ind w:left="1559"/>
              <w:spacing w:after="0"/>
              <w:rPr>
                <w:rFonts w:ascii="Arial" w:cs="Arial" w:eastAsia="Arial" w:hAnsi="Arial"/>
                <w:sz w:val="16"/>
                <w:szCs w:val="16"/>
                <w:color w:val="0000EE"/>
              </w:rPr>
            </w:pPr>
            <w:hyperlink w:anchor="page69">
              <w:r>
                <w:rPr>
                  <w:rFonts w:ascii="Arial" w:cs="Arial" w:eastAsia="Arial" w:hAnsi="Arial"/>
                  <w:sz w:val="16"/>
                  <w:szCs w:val="16"/>
                  <w:color w:val="0000EE"/>
                </w:rPr>
                <w:t>67</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8280" w:type="dxa"/>
            <w:vAlign w:val="bottom"/>
          </w:tcPr>
          <w:p>
            <w:pPr>
              <w:ind w:left="340"/>
              <w:spacing w:after="0"/>
              <w:rPr>
                <w:sz w:val="20"/>
                <w:szCs w:val="20"/>
                <w:color w:val="auto"/>
              </w:rPr>
            </w:pPr>
            <w:r>
              <w:rPr>
                <w:rFonts w:ascii="Arial" w:cs="Arial" w:eastAsia="Arial" w:hAnsi="Arial"/>
                <w:sz w:val="16"/>
                <w:szCs w:val="16"/>
                <w:color w:val="auto"/>
              </w:rPr>
              <w:t>Exhibits</w:t>
            </w:r>
          </w:p>
        </w:tc>
        <w:tc>
          <w:tcPr>
            <w:tcW w:w="1820" w:type="dxa"/>
            <w:vAlign w:val="bottom"/>
            <w:gridSpan w:val="3"/>
          </w:tcPr>
          <w:p>
            <w:pPr>
              <w:jc w:val="center"/>
              <w:ind w:left="1559"/>
              <w:spacing w:after="0"/>
              <w:rPr>
                <w:rFonts w:ascii="Arial" w:cs="Arial" w:eastAsia="Arial" w:hAnsi="Arial"/>
                <w:sz w:val="16"/>
                <w:szCs w:val="16"/>
                <w:color w:val="0000EE"/>
              </w:rPr>
            </w:pPr>
            <w:hyperlink w:anchor="page69">
              <w:r>
                <w:rPr>
                  <w:rFonts w:ascii="Arial" w:cs="Arial" w:eastAsia="Arial" w:hAnsi="Arial"/>
                  <w:sz w:val="16"/>
                  <w:szCs w:val="16"/>
                  <w:color w:val="0000EE"/>
                </w:rPr>
                <w:t>67</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80"/>
          </w:cols>
          <w:pgMar w:left="280" w:top="699"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00" w:type="dxa"/>
            <w:vAlign w:val="bottom"/>
          </w:tcPr>
          <w:p>
            <w:pPr>
              <w:spacing w:after="0"/>
              <w:rPr>
                <w:sz w:val="13"/>
                <w:szCs w:val="13"/>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September 30, 2019</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December 31, 2018</w:t>
            </w:r>
          </w:p>
        </w:tc>
        <w:tc>
          <w:tcPr>
            <w:tcW w:w="0" w:type="dxa"/>
            <w:vAlign w:val="bottom"/>
          </w:tcPr>
          <w:p>
            <w:pPr>
              <w:spacing w:after="0"/>
              <w:rPr>
                <w:sz w:val="1"/>
                <w:szCs w:val="1"/>
                <w:color w:val="auto"/>
              </w:rPr>
            </w:pPr>
          </w:p>
        </w:tc>
      </w:tr>
      <w:tr>
        <w:trPr>
          <w:trHeight w:val="180"/>
        </w:trPr>
        <w:tc>
          <w:tcPr>
            <w:tcW w:w="8700" w:type="dxa"/>
            <w:vAlign w:val="bottom"/>
          </w:tcPr>
          <w:p>
            <w:pPr>
              <w:ind w:left="40"/>
              <w:spacing w:after="0"/>
              <w:rPr>
                <w:sz w:val="20"/>
                <w:szCs w:val="20"/>
                <w:color w:val="auto"/>
              </w:rPr>
            </w:pPr>
            <w:r>
              <w:rPr>
                <w:rFonts w:ascii="Arial" w:cs="Arial" w:eastAsia="Arial" w:hAnsi="Arial"/>
                <w:sz w:val="11"/>
                <w:szCs w:val="11"/>
                <w:color w:val="auto"/>
              </w:rPr>
              <w:t>(in thousands except share data)</w:t>
            </w: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(unaudited)</w:t>
            </w:r>
          </w:p>
        </w:tc>
        <w:tc>
          <w:tcPr>
            <w:tcW w:w="220" w:type="dxa"/>
            <w:vAlign w:val="bottom"/>
          </w:tcPr>
          <w:p>
            <w:pPr>
              <w:spacing w:after="0"/>
              <w:rPr>
                <w:sz w:val="15"/>
                <w:szCs w:val="15"/>
                <w:color w:val="auto"/>
              </w:rPr>
            </w:pPr>
          </w:p>
        </w:tc>
        <w:tc>
          <w:tcPr>
            <w:tcW w:w="1020" w:type="dxa"/>
            <w:vAlign w:val="bottom"/>
          </w:tcPr>
          <w:p>
            <w:pPr>
              <w:jc w:val="right"/>
              <w:ind w:right="288"/>
              <w:spacing w:after="0"/>
              <w:rPr>
                <w:sz w:val="20"/>
                <w:szCs w:val="20"/>
                <w:color w:val="auto"/>
              </w:rPr>
            </w:pPr>
            <w:r>
              <w:rPr>
                <w:rFonts w:ascii="Arial" w:cs="Arial" w:eastAsia="Arial" w:hAnsi="Arial"/>
                <w:sz w:val="13"/>
                <w:szCs w:val="13"/>
                <w:b w:val="1"/>
                <w:bCs w:val="1"/>
                <w:color w:val="auto"/>
              </w:rPr>
              <w:t>(audited)</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due from banks</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10,431</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Interest bearing deposits at other financial institutions</w:t>
            </w:r>
          </w:p>
        </w:tc>
        <w:tc>
          <w:tcPr>
            <w:tcW w:w="22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40,521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22,007</w:t>
            </w:r>
          </w:p>
        </w:tc>
        <w:tc>
          <w:tcPr>
            <w:tcW w:w="0" w:type="dxa"/>
            <w:vAlign w:val="bottom"/>
          </w:tcPr>
          <w:p>
            <w:pPr>
              <w:spacing w:after="0"/>
              <w:rPr>
                <w:sz w:val="1"/>
                <w:szCs w:val="1"/>
                <w:color w:val="auto"/>
              </w:rPr>
            </w:pPr>
          </w:p>
        </w:tc>
      </w:tr>
      <w:tr>
        <w:trPr>
          <w:trHeight w:val="270"/>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Federal funds sold</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3,464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2,285</w:t>
            </w:r>
          </w:p>
        </w:tc>
        <w:tc>
          <w:tcPr>
            <w:tcW w:w="0" w:type="dxa"/>
            <w:vAlign w:val="bottom"/>
          </w:tcPr>
          <w:p>
            <w:pPr>
              <w:spacing w:after="0"/>
              <w:rPr>
                <w:sz w:val="1"/>
                <w:szCs w:val="1"/>
                <w:color w:val="auto"/>
              </w:rPr>
            </w:pPr>
          </w:p>
        </w:tc>
      </w:tr>
      <w:tr>
        <w:trPr>
          <w:trHeight w:val="250"/>
        </w:trPr>
        <w:tc>
          <w:tcPr>
            <w:tcW w:w="8700" w:type="dxa"/>
            <w:vAlign w:val="bottom"/>
          </w:tcPr>
          <w:p>
            <w:pPr>
              <w:ind w:left="520"/>
              <w:spacing w:after="0"/>
              <w:rPr>
                <w:sz w:val="20"/>
                <w:szCs w:val="20"/>
                <w:color w:val="auto"/>
              </w:rPr>
            </w:pPr>
            <w:r>
              <w:rPr>
                <w:rFonts w:ascii="Arial" w:cs="Arial" w:eastAsia="Arial" w:hAnsi="Arial"/>
                <w:sz w:val="14"/>
                <w:szCs w:val="14"/>
                <w:color w:val="auto"/>
              </w:rPr>
              <w:t>Total cash and cash equivalents</w:t>
            </w:r>
          </w:p>
        </w:tc>
        <w:tc>
          <w:tcPr>
            <w:tcW w:w="2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55,078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34,723</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available for sale</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37,073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46,932</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Restricted investments</w:t>
            </w:r>
          </w:p>
        </w:tc>
        <w:tc>
          <w:tcPr>
            <w:tcW w:w="22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4,007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2,503</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held for sale</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68,982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18,526</w:t>
            </w:r>
          </w:p>
        </w:tc>
        <w:tc>
          <w:tcPr>
            <w:tcW w:w="0" w:type="dxa"/>
            <w:vAlign w:val="bottom"/>
          </w:tcPr>
          <w:p>
            <w:pPr>
              <w:spacing w:after="0"/>
              <w:rPr>
                <w:sz w:val="1"/>
                <w:szCs w:val="1"/>
                <w:color w:val="auto"/>
              </w:rPr>
            </w:pPr>
          </w:p>
        </w:tc>
      </w:tr>
      <w:tr>
        <w:trPr>
          <w:trHeight w:val="176"/>
        </w:trPr>
        <w:tc>
          <w:tcPr>
            <w:tcW w:w="8700" w:type="dxa"/>
            <w:vAlign w:val="bottom"/>
          </w:tcPr>
          <w:p>
            <w:pPr>
              <w:ind w:left="40"/>
              <w:spacing w:after="0"/>
              <w:rPr>
                <w:sz w:val="20"/>
                <w:szCs w:val="20"/>
                <w:color w:val="auto"/>
              </w:rPr>
            </w:pPr>
            <w:r>
              <w:rPr>
                <w:rFonts w:ascii="Arial" w:cs="Arial" w:eastAsia="Arial" w:hAnsi="Arial"/>
                <w:sz w:val="14"/>
                <w:szCs w:val="14"/>
                <w:color w:val="auto"/>
              </w:rPr>
              <w:t>Loans receivable, net of allowance for loan losses of $12,808 and $11,308 at September 30, 2019 and December 31, 2018,</w:t>
            </w:r>
          </w:p>
        </w:tc>
        <w:tc>
          <w:tcPr>
            <w:tcW w:w="220" w:type="dxa"/>
            <w:vAlign w:val="bottom"/>
          </w:tcPr>
          <w:p>
            <w:pPr>
              <w:spacing w:after="0"/>
              <w:rPr>
                <w:sz w:val="15"/>
                <w:szCs w:val="15"/>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1,127,502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700" w:type="dxa"/>
            <w:vAlign w:val="bottom"/>
          </w:tcPr>
          <w:p>
            <w:pPr>
              <w:ind w:left="200"/>
              <w:spacing w:after="0"/>
              <w:rPr>
                <w:sz w:val="20"/>
                <w:szCs w:val="20"/>
                <w:color w:val="auto"/>
              </w:rPr>
            </w:pPr>
            <w:r>
              <w:rPr>
                <w:rFonts w:ascii="Arial" w:cs="Arial" w:eastAsia="Arial" w:hAnsi="Arial"/>
                <w:sz w:val="14"/>
                <w:szCs w:val="14"/>
                <w:color w:val="auto"/>
              </w:rPr>
              <w:t>respectively</w:t>
            </w:r>
          </w:p>
        </w:tc>
        <w:tc>
          <w:tcPr>
            <w:tcW w:w="2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988,960</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Premises and equipment, net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6,667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2,975</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Accrued interest receivable</w:t>
            </w:r>
          </w:p>
        </w:tc>
        <w:tc>
          <w:tcPr>
            <w:tcW w:w="22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4,636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4,462</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3,654</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Foreclosed real estate</w:t>
            </w:r>
          </w:p>
        </w:tc>
        <w:tc>
          <w:tcPr>
            <w:tcW w:w="22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149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income taxes</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69"/>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3,403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38"/>
        </w:trPr>
        <w:tc>
          <w:tcPr>
            <w:tcW w:w="8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1,311,406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1,105,058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700" w:type="dxa"/>
            <w:vAlign w:val="bottom"/>
          </w:tcPr>
          <w:p>
            <w:pPr>
              <w:ind w:left="40"/>
              <w:spacing w:after="0"/>
              <w:rPr>
                <w:sz w:val="20"/>
                <w:szCs w:val="20"/>
                <w:color w:val="auto"/>
              </w:rPr>
            </w:pPr>
            <w:r>
              <w:rPr>
                <w:rFonts w:ascii="Arial" w:cs="Arial" w:eastAsia="Arial" w:hAnsi="Arial"/>
                <w:sz w:val="14"/>
                <w:szCs w:val="14"/>
                <w:color w:val="auto"/>
              </w:rPr>
              <w:t>Deposits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Noninterest-bearing, including related party balances of $12,128 and $11,214 at September 30, 2019 and December 31, 2018,</w:t>
            </w:r>
          </w:p>
        </w:tc>
        <w:tc>
          <w:tcPr>
            <w:tcW w:w="2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293,378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respectively</w:t>
            </w:r>
          </w:p>
        </w:tc>
        <w:tc>
          <w:tcPr>
            <w:tcW w:w="2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242,259</w:t>
            </w:r>
          </w:p>
        </w:tc>
        <w:tc>
          <w:tcPr>
            <w:tcW w:w="0" w:type="dxa"/>
            <w:vAlign w:val="bottom"/>
          </w:tcPr>
          <w:p>
            <w:pPr>
              <w:spacing w:after="0"/>
              <w:rPr>
                <w:sz w:val="1"/>
                <w:szCs w:val="1"/>
                <w:color w:val="auto"/>
              </w:rPr>
            </w:pPr>
          </w:p>
        </w:tc>
      </w:tr>
      <w:tr>
        <w:trPr>
          <w:trHeight w:val="176"/>
        </w:trPr>
        <w:tc>
          <w:tcPr>
            <w:tcW w:w="8700" w:type="dxa"/>
            <w:vAlign w:val="bottom"/>
          </w:tcPr>
          <w:p>
            <w:pPr>
              <w:ind w:left="200"/>
              <w:spacing w:after="0"/>
              <w:rPr>
                <w:sz w:val="20"/>
                <w:szCs w:val="20"/>
                <w:color w:val="auto"/>
              </w:rPr>
            </w:pPr>
            <w:r>
              <w:rPr>
                <w:rFonts w:ascii="Arial" w:cs="Arial" w:eastAsia="Arial" w:hAnsi="Arial"/>
                <w:sz w:val="14"/>
                <w:szCs w:val="14"/>
                <w:color w:val="auto"/>
              </w:rPr>
              <w:t>Interest-bearing, including related party balances of $127,964 and $144,624 at September 30, 2019 and December 31, 2018,</w:t>
            </w:r>
          </w:p>
        </w:tc>
        <w:tc>
          <w:tcPr>
            <w:tcW w:w="220" w:type="dxa"/>
            <w:vAlign w:val="bottom"/>
          </w:tcPr>
          <w:p>
            <w:pPr>
              <w:spacing w:after="0"/>
              <w:rPr>
                <w:sz w:val="15"/>
                <w:szCs w:val="15"/>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819,066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7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respectively</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712,981</w:t>
            </w:r>
          </w:p>
        </w:tc>
        <w:tc>
          <w:tcPr>
            <w:tcW w:w="0" w:type="dxa"/>
            <w:vAlign w:val="bottom"/>
          </w:tcPr>
          <w:p>
            <w:pPr>
              <w:spacing w:after="0"/>
              <w:rPr>
                <w:sz w:val="1"/>
                <w:szCs w:val="1"/>
                <w:color w:val="auto"/>
              </w:rPr>
            </w:pPr>
          </w:p>
        </w:tc>
      </w:tr>
      <w:tr>
        <w:trPr>
          <w:trHeight w:val="251"/>
        </w:trPr>
        <w:tc>
          <w:tcPr>
            <w:tcW w:w="87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deposits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1,112,444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955,240</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Securities sold under agreements to repurchase</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Federal funds purchased</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Federal Home Loan Bank advances</w:t>
            </w:r>
          </w:p>
        </w:tc>
        <w:tc>
          <w:tcPr>
            <w:tcW w:w="22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35,556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borrowed funds</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15,393</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Accrued interest payable</w:t>
            </w:r>
          </w:p>
        </w:tc>
        <w:tc>
          <w:tcPr>
            <w:tcW w:w="22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2,113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270"/>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18,048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10,964</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1,183,577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990,494</w:t>
            </w:r>
          </w:p>
        </w:tc>
        <w:tc>
          <w:tcPr>
            <w:tcW w:w="0" w:type="dxa"/>
            <w:vAlign w:val="bottom"/>
          </w:tcPr>
          <w:p>
            <w:pPr>
              <w:spacing w:after="0"/>
              <w:rPr>
                <w:sz w:val="1"/>
                <w:szCs w:val="1"/>
                <w:color w:val="auto"/>
              </w:rPr>
            </w:pPr>
          </w:p>
        </w:tc>
      </w:tr>
      <w:tr>
        <w:trPr>
          <w:trHeight w:val="265"/>
        </w:trPr>
        <w:tc>
          <w:tcPr>
            <w:tcW w:w="8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8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Preferred stock, $.01 par value; 1,000,000 shares authorized; no shares issued or outstanding at September 30, 2019 and</w:t>
            </w:r>
          </w:p>
        </w:tc>
        <w:tc>
          <w:tcPr>
            <w:tcW w:w="2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December 31, 2018</w:t>
            </w:r>
          </w:p>
        </w:tc>
        <w:tc>
          <w:tcPr>
            <w:tcW w:w="2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700" w:type="dxa"/>
            <w:vAlign w:val="bottom"/>
          </w:tcPr>
          <w:p>
            <w:pPr>
              <w:ind w:left="200"/>
              <w:spacing w:after="0"/>
              <w:rPr>
                <w:sz w:val="20"/>
                <w:szCs w:val="20"/>
                <w:color w:val="auto"/>
              </w:rPr>
            </w:pPr>
            <w:r>
              <w:rPr>
                <w:rFonts w:ascii="Arial" w:cs="Arial" w:eastAsia="Arial" w:hAnsi="Arial"/>
                <w:sz w:val="14"/>
                <w:szCs w:val="14"/>
                <w:color w:val="auto"/>
              </w:rPr>
              <w:t>Common stock, $.01 par value; 49,000,000 shares authorized; 13,782,538 and 13,672,479 issued and outstanding at September 30,</w:t>
            </w:r>
          </w:p>
        </w:tc>
        <w:tc>
          <w:tcPr>
            <w:tcW w:w="220" w:type="dxa"/>
            <w:vAlign w:val="bottom"/>
          </w:tcPr>
          <w:p>
            <w:pPr>
              <w:spacing w:after="0"/>
              <w:rPr>
                <w:sz w:val="15"/>
                <w:szCs w:val="15"/>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700" w:type="dxa"/>
            <w:vAlign w:val="bottom"/>
          </w:tcPr>
          <w:p>
            <w:pPr>
              <w:ind w:left="360"/>
              <w:spacing w:after="0"/>
              <w:rPr>
                <w:sz w:val="20"/>
                <w:szCs w:val="20"/>
                <w:color w:val="auto"/>
              </w:rPr>
            </w:pPr>
            <w:r>
              <w:rPr>
                <w:rFonts w:ascii="Arial" w:cs="Arial" w:eastAsia="Arial" w:hAnsi="Arial"/>
                <w:sz w:val="14"/>
                <w:szCs w:val="14"/>
                <w:color w:val="auto"/>
              </w:rPr>
              <w:t>2019 and December 31, 2018, respectively</w:t>
            </w:r>
          </w:p>
        </w:tc>
        <w:tc>
          <w:tcPr>
            <w:tcW w:w="2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50,585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49,321</w:t>
            </w:r>
          </w:p>
        </w:tc>
        <w:tc>
          <w:tcPr>
            <w:tcW w:w="0" w:type="dxa"/>
            <w:vAlign w:val="bottom"/>
          </w:tcPr>
          <w:p>
            <w:pPr>
              <w:spacing w:after="0"/>
              <w:rPr>
                <w:sz w:val="1"/>
                <w:szCs w:val="1"/>
                <w:color w:val="auto"/>
              </w:rPr>
            </w:pPr>
          </w:p>
        </w:tc>
      </w:tr>
      <w:tr>
        <w:trPr>
          <w:trHeight w:val="269"/>
        </w:trPr>
        <w:tc>
          <w:tcPr>
            <w:tcW w:w="87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77,095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65,701</w:t>
            </w:r>
          </w:p>
        </w:tc>
        <w:tc>
          <w:tcPr>
            <w:tcW w:w="0" w:type="dxa"/>
            <w:vAlign w:val="bottom"/>
          </w:tcPr>
          <w:p>
            <w:pPr>
              <w:spacing w:after="0"/>
              <w:rPr>
                <w:sz w:val="1"/>
                <w:szCs w:val="1"/>
                <w:color w:val="auto"/>
              </w:rPr>
            </w:pPr>
          </w:p>
        </w:tc>
      </w:tr>
      <w:tr>
        <w:trPr>
          <w:trHeight w:val="270"/>
        </w:trPr>
        <w:tc>
          <w:tcPr>
            <w:tcW w:w="8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127,829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114,564</w:t>
            </w:r>
          </w:p>
        </w:tc>
        <w:tc>
          <w:tcPr>
            <w:tcW w:w="0" w:type="dxa"/>
            <w:vAlign w:val="bottom"/>
          </w:tcPr>
          <w:p>
            <w:pPr>
              <w:spacing w:after="0"/>
              <w:rPr>
                <w:sz w:val="1"/>
                <w:szCs w:val="1"/>
                <w:color w:val="auto"/>
              </w:rPr>
            </w:pPr>
          </w:p>
        </w:tc>
      </w:tr>
      <w:tr>
        <w:trPr>
          <w:trHeight w:val="238"/>
        </w:trPr>
        <w:tc>
          <w:tcPr>
            <w:tcW w:w="8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1,311,406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1,105,058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58" w:right="239" w:bottom="1440" w:gutter="0" w:footer="0" w:header="0"/>
        </w:sectPr>
      </w:pPr>
    </w:p>
    <w:p>
      <w:pPr>
        <w:spacing w:after="0" w:line="210"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58" w:right="239" w:bottom="144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September 30,</w:t>
            </w:r>
          </w:p>
        </w:tc>
        <w:tc>
          <w:tcPr>
            <w:tcW w:w="300" w:type="dxa"/>
            <w:vAlign w:val="bottom"/>
          </w:tcPr>
          <w:p>
            <w:pPr>
              <w:spacing w:after="0"/>
              <w:rPr>
                <w:sz w:val="15"/>
                <w:szCs w:val="15"/>
                <w:color w:val="auto"/>
              </w:rPr>
            </w:pPr>
          </w:p>
        </w:tc>
        <w:tc>
          <w:tcPr>
            <w:tcW w:w="2740" w:type="dxa"/>
            <w:vAlign w:val="bottom"/>
            <w:gridSpan w:val="4"/>
          </w:tcPr>
          <w:p>
            <w:pPr>
              <w:jc w:val="right"/>
              <w:ind w:right="408"/>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26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(dollars in thousands except per share data)</w:t>
            </w:r>
          </w:p>
        </w:tc>
        <w:tc>
          <w:tcPr>
            <w:tcW w:w="30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5"/>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 income</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180"/>
              <w:spacing w:after="0"/>
              <w:rPr>
                <w:sz w:val="20"/>
                <w:szCs w:val="20"/>
                <w:color w:val="auto"/>
              </w:rPr>
            </w:pPr>
            <w:r>
              <w:rPr>
                <w:rFonts w:ascii="Arial" w:cs="Arial" w:eastAsia="Arial" w:hAnsi="Arial"/>
                <w:sz w:val="14"/>
                <w:szCs w:val="14"/>
                <w:color w:val="auto"/>
              </w:rPr>
              <w:t>Loans, including fees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21,900</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16,955</w:t>
            </w:r>
          </w:p>
        </w:tc>
        <w:tc>
          <w:tcPr>
            <w:tcW w:w="100" w:type="dxa"/>
            <w:vAlign w:val="bottom"/>
          </w:tcPr>
          <w:p>
            <w:pPr>
              <w:spacing w:after="0"/>
              <w:rPr>
                <w:sz w:val="23"/>
                <w:szCs w:val="23"/>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59,548</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49,455</w:t>
            </w:r>
          </w:p>
        </w:tc>
        <w:tc>
          <w:tcPr>
            <w:tcW w:w="0" w:type="dxa"/>
            <w:vAlign w:val="bottom"/>
          </w:tcPr>
          <w:p>
            <w:pPr>
              <w:spacing w:after="0"/>
              <w:rPr>
                <w:sz w:val="1"/>
                <w:szCs w:val="1"/>
                <w:color w:val="auto"/>
              </w:rPr>
            </w:pPr>
          </w:p>
        </w:tc>
      </w:tr>
      <w:tr>
        <w:trPr>
          <w:trHeight w:val="271"/>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 available for sale</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707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Federal funds sold and other</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706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250"/>
        </w:trPr>
        <w:tc>
          <w:tcPr>
            <w:tcW w:w="51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interest income</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22,354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17,447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60,961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50,890</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 expense</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140" w:type="dxa"/>
            <w:vAlign w:val="bottom"/>
          </w:tcPr>
          <w:p>
            <w:pPr>
              <w:ind w:left="180"/>
              <w:spacing w:after="0"/>
              <w:rPr>
                <w:sz w:val="20"/>
                <w:szCs w:val="20"/>
                <w:color w:val="auto"/>
              </w:rPr>
            </w:pPr>
            <w:r>
              <w:rPr>
                <w:rFonts w:ascii="Arial" w:cs="Arial" w:eastAsia="Arial" w:hAnsi="Arial"/>
                <w:sz w:val="14"/>
                <w:szCs w:val="14"/>
                <w:color w:val="auto"/>
              </w:rPr>
              <w:t>Deposits, includes payments to related parties of $479 and $1,448 for the</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40" w:type="dxa"/>
            <w:vAlign w:val="bottom"/>
          </w:tcPr>
          <w:p>
            <w:pPr>
              <w:ind w:left="180"/>
              <w:spacing w:after="0"/>
              <w:rPr>
                <w:sz w:val="20"/>
                <w:szCs w:val="20"/>
                <w:color w:val="auto"/>
              </w:rPr>
            </w:pPr>
            <w:r>
              <w:rPr>
                <w:rFonts w:ascii="Arial" w:cs="Arial" w:eastAsia="Arial" w:hAnsi="Arial"/>
                <w:sz w:val="14"/>
                <w:szCs w:val="14"/>
                <w:color w:val="auto"/>
              </w:rPr>
              <w:t>three and nine months ended September 30, 2019, respectively, and $453</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40" w:type="dxa"/>
            <w:vAlign w:val="bottom"/>
          </w:tcPr>
          <w:p>
            <w:pPr>
              <w:ind w:left="180"/>
              <w:spacing w:after="0"/>
              <w:rPr>
                <w:sz w:val="20"/>
                <w:szCs w:val="20"/>
                <w:color w:val="auto"/>
              </w:rPr>
            </w:pPr>
            <w:r>
              <w:rPr>
                <w:rFonts w:ascii="Arial" w:cs="Arial" w:eastAsia="Arial" w:hAnsi="Arial"/>
                <w:sz w:val="14"/>
                <w:szCs w:val="14"/>
                <w:color w:val="auto"/>
              </w:rPr>
              <w:t>and $1,142 for the three and nine months ended September 30, 2018,</w:t>
            </w:r>
          </w:p>
        </w:tc>
        <w:tc>
          <w:tcPr>
            <w:tcW w:w="300" w:type="dxa"/>
            <w:vAlign w:val="bottom"/>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3,449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9,887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3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6,876</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Borrowed funds</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1,615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interest expense</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4,170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11,502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7,891</w:t>
            </w:r>
          </w:p>
        </w:tc>
        <w:tc>
          <w:tcPr>
            <w:tcW w:w="0" w:type="dxa"/>
            <w:vAlign w:val="bottom"/>
          </w:tcPr>
          <w:p>
            <w:pPr>
              <w:spacing w:after="0"/>
              <w:rPr>
                <w:sz w:val="1"/>
                <w:szCs w:val="1"/>
                <w:color w:val="auto"/>
              </w:rPr>
            </w:pPr>
          </w:p>
        </w:tc>
      </w:tr>
      <w:tr>
        <w:trPr>
          <w:trHeight w:val="265"/>
        </w:trPr>
        <w:tc>
          <w:tcPr>
            <w:tcW w:w="5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Net interest income</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18,184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14,492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49,459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42,999</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loan losses</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1,071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interest income after provision for loan losses</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17,113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13,997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47,590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41,359</w:t>
            </w:r>
          </w:p>
        </w:tc>
        <w:tc>
          <w:tcPr>
            <w:tcW w:w="0" w:type="dxa"/>
            <w:vAlign w:val="bottom"/>
          </w:tcPr>
          <w:p>
            <w:pPr>
              <w:spacing w:after="0"/>
              <w:rPr>
                <w:sz w:val="1"/>
                <w:szCs w:val="1"/>
                <w:color w:val="auto"/>
              </w:rPr>
            </w:pPr>
          </w:p>
        </w:tc>
      </w:tr>
      <w:tr>
        <w:trPr>
          <w:trHeight w:val="265"/>
        </w:trPr>
        <w:tc>
          <w:tcPr>
            <w:tcW w:w="5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Noninterest income</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 charges on deposits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69"/>
        </w:trPr>
        <w:tc>
          <w:tcPr>
            <w:tcW w:w="5140" w:type="dxa"/>
            <w:vAlign w:val="bottom"/>
          </w:tcPr>
          <w:p>
            <w:pPr>
              <w:ind w:left="180"/>
              <w:spacing w:after="0"/>
              <w:rPr>
                <w:sz w:val="20"/>
                <w:szCs w:val="20"/>
                <w:color w:val="auto"/>
              </w:rPr>
            </w:pPr>
            <w:r>
              <w:rPr>
                <w:rFonts w:ascii="Arial" w:cs="Arial" w:eastAsia="Arial" w:hAnsi="Arial"/>
                <w:sz w:val="14"/>
                <w:szCs w:val="14"/>
                <w:color w:val="auto"/>
              </w:rPr>
              <w:t>Credit card fees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2,059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1,592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5,521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4,609</w:t>
            </w:r>
          </w:p>
        </w:tc>
        <w:tc>
          <w:tcPr>
            <w:tcW w:w="0" w:type="dxa"/>
            <w:vAlign w:val="bottom"/>
          </w:tcPr>
          <w:p>
            <w:pPr>
              <w:spacing w:after="0"/>
              <w:rPr>
                <w:sz w:val="1"/>
                <w:szCs w:val="1"/>
                <w:color w:val="auto"/>
              </w:rPr>
            </w:pPr>
          </w:p>
        </w:tc>
      </w:tr>
      <w:tr>
        <w:trPr>
          <w:trHeight w:val="271"/>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 banking revenue</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10,991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7,379</w:t>
            </w:r>
          </w:p>
        </w:tc>
        <w:tc>
          <w:tcPr>
            <w:tcW w:w="0" w:type="dxa"/>
            <w:vAlign w:val="bottom"/>
          </w:tcPr>
          <w:p>
            <w:pPr>
              <w:spacing w:after="0"/>
              <w:rPr>
                <w:sz w:val="1"/>
                <w:szCs w:val="1"/>
                <w:color w:val="auto"/>
              </w:rPr>
            </w:pPr>
          </w:p>
        </w:tc>
      </w:tr>
      <w:tr>
        <w:trPr>
          <w:trHeight w:val="269"/>
        </w:trPr>
        <w:tc>
          <w:tcPr>
            <w:tcW w:w="5140" w:type="dxa"/>
            <w:vAlign w:val="bottom"/>
          </w:tcPr>
          <w:p>
            <w:pPr>
              <w:ind w:left="180"/>
              <w:spacing w:after="0"/>
              <w:rPr>
                <w:sz w:val="20"/>
                <w:szCs w:val="20"/>
                <w:color w:val="auto"/>
              </w:rPr>
            </w:pPr>
            <w:r>
              <w:rPr>
                <w:rFonts w:ascii="Arial" w:cs="Arial" w:eastAsia="Arial" w:hAnsi="Arial"/>
                <w:sz w:val="14"/>
                <w:szCs w:val="14"/>
                <w:color w:val="auto"/>
              </w:rPr>
              <w:t>Gain (loss) on sale of investment securities available for sale</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fees and charges</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noninterest income</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7,221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17,240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12,657</w:t>
            </w:r>
          </w:p>
        </w:tc>
        <w:tc>
          <w:tcPr>
            <w:tcW w:w="0" w:type="dxa"/>
            <w:vAlign w:val="bottom"/>
          </w:tcPr>
          <w:p>
            <w:pPr>
              <w:spacing w:after="0"/>
              <w:rPr>
                <w:sz w:val="1"/>
                <w:szCs w:val="1"/>
                <w:color w:val="auto"/>
              </w:rPr>
            </w:pPr>
          </w:p>
        </w:tc>
      </w:tr>
      <w:tr>
        <w:trPr>
          <w:trHeight w:val="265"/>
        </w:trPr>
        <w:tc>
          <w:tcPr>
            <w:tcW w:w="5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Noninterest expenses</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Salaries and employee benefits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9,238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6,571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24,136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19,083</w:t>
            </w:r>
          </w:p>
        </w:tc>
        <w:tc>
          <w:tcPr>
            <w:tcW w:w="0" w:type="dxa"/>
            <w:vAlign w:val="bottom"/>
          </w:tcPr>
          <w:p>
            <w:pPr>
              <w:spacing w:after="0"/>
              <w:rPr>
                <w:sz w:val="1"/>
                <w:szCs w:val="1"/>
                <w:color w:val="auto"/>
              </w:rPr>
            </w:pPr>
          </w:p>
        </w:tc>
      </w:tr>
      <w:tr>
        <w:trPr>
          <w:trHeight w:val="269"/>
        </w:trPr>
        <w:tc>
          <w:tcPr>
            <w:tcW w:w="5140" w:type="dxa"/>
            <w:vAlign w:val="bottom"/>
          </w:tcPr>
          <w:p>
            <w:pPr>
              <w:ind w:left="180"/>
              <w:spacing w:after="0"/>
              <w:rPr>
                <w:sz w:val="20"/>
                <w:szCs w:val="20"/>
                <w:color w:val="auto"/>
              </w:rPr>
            </w:pPr>
            <w:r>
              <w:rPr>
                <w:rFonts w:ascii="Arial" w:cs="Arial" w:eastAsia="Arial" w:hAnsi="Arial"/>
                <w:sz w:val="14"/>
                <w:szCs w:val="14"/>
                <w:color w:val="auto"/>
              </w:rPr>
              <w:t>Occupancy and equipment</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1,111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3,307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3,241</w:t>
            </w:r>
          </w:p>
        </w:tc>
        <w:tc>
          <w:tcPr>
            <w:tcW w:w="0" w:type="dxa"/>
            <w:vAlign w:val="bottom"/>
          </w:tcPr>
          <w:p>
            <w:pPr>
              <w:spacing w:after="0"/>
              <w:rPr>
                <w:sz w:val="1"/>
                <w:szCs w:val="1"/>
                <w:color w:val="auto"/>
              </w:rPr>
            </w:pPr>
          </w:p>
        </w:tc>
      </w:tr>
      <w:tr>
        <w:trPr>
          <w:trHeight w:val="271"/>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fees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1,952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1,365</w:t>
            </w:r>
          </w:p>
        </w:tc>
        <w:tc>
          <w:tcPr>
            <w:tcW w:w="0" w:type="dxa"/>
            <w:vAlign w:val="bottom"/>
          </w:tcPr>
          <w:p>
            <w:pPr>
              <w:spacing w:after="0"/>
              <w:rPr>
                <w:sz w:val="1"/>
                <w:szCs w:val="1"/>
                <w:color w:val="auto"/>
              </w:rPr>
            </w:pPr>
          </w:p>
        </w:tc>
      </w:tr>
      <w:tr>
        <w:trPr>
          <w:trHeight w:val="269"/>
        </w:trPr>
        <w:tc>
          <w:tcPr>
            <w:tcW w:w="5140" w:type="dxa"/>
            <w:vAlign w:val="bottom"/>
          </w:tcPr>
          <w:p>
            <w:pPr>
              <w:ind w:left="180"/>
              <w:spacing w:after="0"/>
              <w:rPr>
                <w:sz w:val="20"/>
                <w:szCs w:val="20"/>
                <w:color w:val="auto"/>
              </w:rPr>
            </w:pPr>
            <w:r>
              <w:rPr>
                <w:rFonts w:ascii="Arial" w:cs="Arial" w:eastAsia="Arial" w:hAnsi="Arial"/>
                <w:sz w:val="14"/>
                <w:szCs w:val="14"/>
                <w:color w:val="auto"/>
              </w:rPr>
              <w:t>Data processing</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4,193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3,636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11,222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10,858</w:t>
            </w:r>
          </w:p>
        </w:tc>
        <w:tc>
          <w:tcPr>
            <w:tcW w:w="0" w:type="dxa"/>
            <w:vAlign w:val="bottom"/>
          </w:tcPr>
          <w:p>
            <w:pPr>
              <w:spacing w:after="0"/>
              <w:rPr>
                <w:sz w:val="1"/>
                <w:szCs w:val="1"/>
                <w:color w:val="auto"/>
              </w:rPr>
            </w:pPr>
          </w:p>
        </w:tc>
      </w:tr>
      <w:tr>
        <w:trPr>
          <w:trHeight w:val="271"/>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Advertising</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1,557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269"/>
        </w:trPr>
        <w:tc>
          <w:tcPr>
            <w:tcW w:w="5140" w:type="dxa"/>
            <w:vAlign w:val="bottom"/>
          </w:tcPr>
          <w:p>
            <w:pPr>
              <w:ind w:left="180"/>
              <w:spacing w:after="0"/>
              <w:rPr>
                <w:sz w:val="20"/>
                <w:szCs w:val="20"/>
                <w:color w:val="auto"/>
              </w:rPr>
            </w:pPr>
            <w:r>
              <w:rPr>
                <w:rFonts w:ascii="Arial" w:cs="Arial" w:eastAsia="Arial" w:hAnsi="Arial"/>
                <w:sz w:val="14"/>
                <w:szCs w:val="14"/>
                <w:color w:val="auto"/>
              </w:rPr>
              <w:t>Loan processing</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634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1,279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271"/>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real estate owned expenses, net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1,737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5,258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4,519</w:t>
            </w:r>
          </w:p>
        </w:tc>
        <w:tc>
          <w:tcPr>
            <w:tcW w:w="0" w:type="dxa"/>
            <w:vAlign w:val="bottom"/>
          </w:tcPr>
          <w:p>
            <w:pPr>
              <w:spacing w:after="0"/>
              <w:rPr>
                <w:sz w:val="1"/>
                <w:szCs w:val="1"/>
                <w:color w:val="auto"/>
              </w:rPr>
            </w:pPr>
          </w:p>
        </w:tc>
      </w:tr>
      <w:tr>
        <w:trPr>
          <w:trHeight w:val="250"/>
        </w:trPr>
        <w:tc>
          <w:tcPr>
            <w:tcW w:w="51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noninterest expenses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18,228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13,900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48,768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41,028</w:t>
            </w:r>
          </w:p>
        </w:tc>
        <w:tc>
          <w:tcPr>
            <w:tcW w:w="0" w:type="dxa"/>
            <w:vAlign w:val="bottom"/>
          </w:tcPr>
          <w:p>
            <w:pPr>
              <w:spacing w:after="0"/>
              <w:rPr>
                <w:sz w:val="1"/>
                <w:szCs w:val="1"/>
                <w:color w:val="auto"/>
              </w:rPr>
            </w:pPr>
          </w:p>
        </w:tc>
      </w:tr>
      <w:tr>
        <w:trPr>
          <w:trHeight w:val="250"/>
        </w:trPr>
        <w:tc>
          <w:tcPr>
            <w:tcW w:w="514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30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6,106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4,337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16,062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12,988</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1,625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4,239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3,706</w:t>
            </w:r>
          </w:p>
        </w:tc>
        <w:tc>
          <w:tcPr>
            <w:tcW w:w="0" w:type="dxa"/>
            <w:vAlign w:val="bottom"/>
          </w:tcPr>
          <w:p>
            <w:pPr>
              <w:spacing w:after="0"/>
              <w:rPr>
                <w:sz w:val="1"/>
                <w:szCs w:val="1"/>
                <w:color w:val="auto"/>
              </w:rPr>
            </w:pPr>
          </w:p>
        </w:tc>
      </w:tr>
      <w:tr>
        <w:trPr>
          <w:trHeight w:val="278"/>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4,481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11,823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9,282</w:t>
            </w:r>
          </w:p>
        </w:tc>
        <w:tc>
          <w:tcPr>
            <w:tcW w:w="0" w:type="dxa"/>
            <w:vAlign w:val="bottom"/>
          </w:tcPr>
          <w:p>
            <w:pPr>
              <w:spacing w:after="0"/>
              <w:rPr>
                <w:sz w:val="1"/>
                <w:szCs w:val="1"/>
                <w:color w:val="auto"/>
              </w:rPr>
            </w:pPr>
          </w:p>
        </w:tc>
      </w:tr>
      <w:tr>
        <w:trPr>
          <w:trHeight w:val="251"/>
        </w:trPr>
        <w:tc>
          <w:tcPr>
            <w:tcW w:w="5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Basic earnings per share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0.33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0.86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0.32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0.85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13,727,519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11,719,946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13,714,260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11,631,927</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13,986,382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12,102,692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13,921,995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12,033,175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726" w:right="259" w:bottom="214"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726" w:right="259" w:bottom="214" w:gutter="0" w:footer="0" w:header="0"/>
          <w:type w:val="continuous"/>
        </w:sectPr>
      </w:pPr>
    </w:p>
    <w:bookmarkStart w:id="5" w:name="page6"/>
    <w:bookmarkEnd w:id="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September 30,</w:t>
            </w:r>
          </w:p>
        </w:tc>
        <w:tc>
          <w:tcPr>
            <w:tcW w:w="320" w:type="dxa"/>
            <w:vAlign w:val="bottom"/>
          </w:tcPr>
          <w:p>
            <w:pPr>
              <w:spacing w:after="0"/>
              <w:rPr>
                <w:sz w:val="15"/>
                <w:szCs w:val="15"/>
                <w:color w:val="auto"/>
              </w:rPr>
            </w:pPr>
          </w:p>
        </w:tc>
        <w:tc>
          <w:tcPr>
            <w:tcW w:w="2740" w:type="dxa"/>
            <w:vAlign w:val="bottom"/>
            <w:gridSpan w:val="4"/>
          </w:tcPr>
          <w:p>
            <w:pPr>
              <w:jc w:val="right"/>
              <w:ind w:right="399"/>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4,481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3,147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11,823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9,282</w:t>
            </w:r>
          </w:p>
        </w:tc>
        <w:tc>
          <w:tcPr>
            <w:tcW w:w="0" w:type="dxa"/>
            <w:vAlign w:val="bottom"/>
          </w:tcPr>
          <w:p>
            <w:pPr>
              <w:spacing w:after="0"/>
              <w:rPr>
                <w:sz w:val="1"/>
                <w:szCs w:val="1"/>
                <w:color w:val="auto"/>
              </w:rPr>
            </w:pPr>
          </w:p>
        </w:tc>
      </w:tr>
      <w:tr>
        <w:trPr>
          <w:trHeight w:val="267"/>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6"/>
                <w:szCs w:val="16"/>
                <w:color w:val="auto"/>
              </w:rPr>
              <w:t>Unrealized gain (loss) on investment securities available for sale</w:t>
            </w:r>
          </w:p>
        </w:tc>
        <w:tc>
          <w:tcPr>
            <w:tcW w:w="30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867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realized (gain) loss on sale of investment securities</w:t>
            </w:r>
          </w:p>
        </w:tc>
        <w:tc>
          <w:tcPr>
            <w:tcW w:w="3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available for sale</w:t>
            </w:r>
          </w:p>
        </w:tc>
        <w:tc>
          <w:tcPr>
            <w:tcW w:w="3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6"/>
                <w:szCs w:val="16"/>
                <w:color w:val="auto"/>
              </w:rPr>
              <w:t>Unrealized gain (loss) on cash flow hedging derivative</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4"/>
        </w:trPr>
        <w:tc>
          <w:tcPr>
            <w:tcW w:w="516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57</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836</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6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 benefit relating to the items above</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606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4,522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12,429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8,661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26" w:right="239" w:bottom="1440" w:gutter="0" w:footer="0" w:header="0"/>
        </w:sectPr>
      </w:pPr>
    </w:p>
    <w:bookmarkStart w:id="6" w:name="page7"/>
    <w:bookmarkEnd w:id="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340" w:type="dxa"/>
            <w:vAlign w:val="bottom"/>
            <w:gridSpan w:val="5"/>
          </w:tcPr>
          <w:p>
            <w:pPr>
              <w:ind w:left="66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3"/>
                <w:szCs w:val="3"/>
                <w:color w:val="auto"/>
              </w:rPr>
            </w:pPr>
          </w:p>
        </w:tc>
        <w:tc>
          <w:tcPr>
            <w:tcW w:w="96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3"/>
                <w:szCs w:val="3"/>
                <w:color w:val="auto"/>
              </w:rPr>
            </w:pPr>
          </w:p>
        </w:tc>
        <w:tc>
          <w:tcPr>
            <w:tcW w:w="14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3"/>
                <w:szCs w:val="3"/>
                <w:color w:val="auto"/>
              </w:rPr>
            </w:pPr>
          </w:p>
        </w:tc>
        <w:tc>
          <w:tcPr>
            <w:tcW w:w="1080" w:type="dxa"/>
            <w:vAlign w:val="bottom"/>
            <w:vMerge w:val="restart"/>
          </w:tcPr>
          <w:p>
            <w:pPr>
              <w:jc w:val="center"/>
              <w:ind w:right="89"/>
              <w:spacing w:after="0" w:line="135"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78"/>
        </w:trPr>
        <w:tc>
          <w:tcPr>
            <w:tcW w:w="4000" w:type="dxa"/>
            <w:vAlign w:val="bottom"/>
          </w:tcPr>
          <w:p>
            <w:pPr>
              <w:spacing w:after="0"/>
              <w:rPr>
                <w:sz w:val="6"/>
                <w:szCs w:val="6"/>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000" w:type="dxa"/>
            <w:vAlign w:val="bottom"/>
          </w:tcPr>
          <w:p>
            <w:pPr>
              <w:ind w:left="40"/>
              <w:spacing w:after="0"/>
              <w:rPr>
                <w:sz w:val="20"/>
                <w:szCs w:val="20"/>
                <w:color w:val="auto"/>
              </w:rPr>
            </w:pPr>
            <w:r>
              <w:rPr>
                <w:rFonts w:ascii="Arial" w:cs="Arial" w:eastAsia="Arial" w:hAnsi="Arial"/>
                <w:sz w:val="11"/>
                <w:szCs w:val="11"/>
                <w:color w:val="auto"/>
              </w:rPr>
              <w:t>(dollars in thousands)</w:t>
            </w: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5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Comprehensive Loss</w:t>
            </w: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54"/>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11,537,196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27,051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53,200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80,119</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2,990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 investment securities available for sale,</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76"/>
        </w:trPr>
        <w:tc>
          <w:tcPr>
            <w:tcW w:w="4000" w:type="dxa"/>
            <w:vAlign w:val="bottom"/>
          </w:tcPr>
          <w:p>
            <w:pPr>
              <w:ind w:left="40"/>
              <w:spacing w:after="0"/>
              <w:rPr>
                <w:sz w:val="20"/>
                <w:szCs w:val="20"/>
                <w:color w:val="auto"/>
              </w:rPr>
            </w:pPr>
            <w:r>
              <w:rPr>
                <w:rFonts w:ascii="Arial" w:cs="Arial" w:eastAsia="Arial" w:hAnsi="Arial"/>
                <w:sz w:val="14"/>
                <w:szCs w:val="14"/>
                <w:color w:val="auto"/>
              </w:rPr>
              <w:t>Unrealized gain on cash flow hedging derivative, net of</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00"/>
              <w:spacing w:after="0"/>
              <w:rPr>
                <w:sz w:val="20"/>
                <w:szCs w:val="20"/>
                <w:color w:val="auto"/>
              </w:rPr>
            </w:pPr>
            <w:r>
              <w:rPr>
                <w:rFonts w:ascii="Arial" w:cs="Arial" w:eastAsia="Arial" w:hAnsi="Arial"/>
                <w:sz w:val="14"/>
                <w:szCs w:val="14"/>
                <w:color w:val="auto"/>
              </w:rPr>
              <w:t>income taxes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 including tax benefit</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10,408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Shares issued as compensation</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4,068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1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11,551,672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27,601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56,190</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83,367</w:t>
            </w:r>
          </w:p>
        </w:tc>
        <w:tc>
          <w:tcPr>
            <w:tcW w:w="0" w:type="dxa"/>
            <w:vAlign w:val="bottom"/>
          </w:tcPr>
          <w:p>
            <w:pPr>
              <w:spacing w:after="0"/>
              <w:rPr>
                <w:sz w:val="1"/>
                <w:szCs w:val="1"/>
                <w:color w:val="auto"/>
              </w:rPr>
            </w:pPr>
          </w:p>
        </w:tc>
      </w:tr>
      <w:tr>
        <w:trPr>
          <w:trHeight w:val="251"/>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3,145</w:t>
            </w:r>
          </w:p>
        </w:tc>
        <w:tc>
          <w:tcPr>
            <w:tcW w:w="0" w:type="dxa"/>
            <w:vAlign w:val="bottom"/>
          </w:tcPr>
          <w:p>
            <w:pPr>
              <w:spacing w:after="0"/>
              <w:rPr>
                <w:sz w:val="1"/>
                <w:szCs w:val="1"/>
                <w:color w:val="auto"/>
              </w:rPr>
            </w:pPr>
          </w:p>
        </w:tc>
      </w:tr>
      <w:tr>
        <w:trPr>
          <w:trHeight w:val="176"/>
        </w:trPr>
        <w:tc>
          <w:tcPr>
            <w:tcW w:w="4000" w:type="dxa"/>
            <w:vAlign w:val="bottom"/>
          </w:tcPr>
          <w:p>
            <w:pPr>
              <w:ind w:left="40"/>
              <w:spacing w:after="0"/>
              <w:rPr>
                <w:sz w:val="20"/>
                <w:szCs w:val="20"/>
                <w:color w:val="auto"/>
              </w:rPr>
            </w:pPr>
            <w:r>
              <w:rPr>
                <w:rFonts w:ascii="Arial" w:cs="Arial" w:eastAsia="Arial" w:hAnsi="Arial"/>
                <w:sz w:val="14"/>
                <w:szCs w:val="14"/>
                <w:color w:val="auto"/>
              </w:rPr>
              <w:t>Unrealized loss on investment securities available for sale,</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 cash flow hedging derivative, net of</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Stock options exercised, including tax benefit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63,124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as compensation</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36,076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Shares repurchased and retired</w:t>
            </w:r>
          </w:p>
        </w:tc>
        <w:tc>
          <w:tcPr>
            <w:tcW w:w="1160" w:type="dxa"/>
            <w:vAlign w:val="bottom"/>
          </w:tcPr>
          <w:p>
            <w:pPr>
              <w:jc w:val="right"/>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54"/>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11,661,372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28,294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59,335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86,994</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3,147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3,147</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 investment securities available for sale,</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76"/>
        </w:trPr>
        <w:tc>
          <w:tcPr>
            <w:tcW w:w="4000" w:type="dxa"/>
            <w:vAlign w:val="bottom"/>
          </w:tcPr>
          <w:p>
            <w:pPr>
              <w:ind w:left="40"/>
              <w:spacing w:after="0"/>
              <w:rPr>
                <w:sz w:val="20"/>
                <w:szCs w:val="20"/>
                <w:color w:val="auto"/>
              </w:rPr>
            </w:pPr>
            <w:r>
              <w:rPr>
                <w:rFonts w:ascii="Arial" w:cs="Arial" w:eastAsia="Arial" w:hAnsi="Arial"/>
                <w:sz w:val="14"/>
                <w:szCs w:val="14"/>
                <w:color w:val="auto"/>
              </w:rPr>
              <w:t>Unrealized loss on cash flow hedging derivative, net of</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00"/>
              <w:spacing w:after="0"/>
              <w:rPr>
                <w:sz w:val="20"/>
                <w:szCs w:val="20"/>
                <w:color w:val="auto"/>
              </w:rPr>
            </w:pPr>
            <w:r>
              <w:rPr>
                <w:rFonts w:ascii="Arial" w:cs="Arial" w:eastAsia="Arial" w:hAnsi="Arial"/>
                <w:sz w:val="14"/>
                <w:szCs w:val="14"/>
                <w:color w:val="auto"/>
              </w:rPr>
              <w:t>income taxes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 including tax benefit</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29,652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Shares issued as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Shares issued</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repurchased and retired</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000" w:type="dxa"/>
            <w:vAlign w:val="bottom"/>
          </w:tcPr>
          <w:p>
            <w:pPr>
              <w:ind w:left="40"/>
              <w:spacing w:after="0"/>
              <w:rPr>
                <w:sz w:val="20"/>
                <w:szCs w:val="20"/>
                <w:color w:val="auto"/>
              </w:rPr>
            </w:pPr>
            <w:r>
              <w:rPr>
                <w:rFonts w:ascii="Arial" w:cs="Arial" w:eastAsia="Arial" w:hAnsi="Arial"/>
                <w:sz w:val="14"/>
                <w:szCs w:val="14"/>
                <w:color w:val="auto"/>
              </w:rPr>
              <w:t>Initial public offering, common stock issued, net of costs and</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00"/>
              <w:spacing w:after="0"/>
              <w:rPr>
                <w:sz w:val="20"/>
                <w:szCs w:val="20"/>
                <w:color w:val="auto"/>
              </w:rPr>
            </w:pPr>
            <w:r>
              <w:rPr>
                <w:rFonts w:ascii="Arial" w:cs="Arial" w:eastAsia="Arial" w:hAnsi="Arial"/>
                <w:sz w:val="14"/>
                <w:szCs w:val="14"/>
                <w:color w:val="auto"/>
              </w:rPr>
              <w:t>underwriting discount of $2.4 million</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1,500,000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16,318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16,333</w:t>
            </w:r>
          </w:p>
        </w:tc>
        <w:tc>
          <w:tcPr>
            <w:tcW w:w="0" w:type="dxa"/>
            <w:vAlign w:val="bottom"/>
          </w:tcPr>
          <w:p>
            <w:pPr>
              <w:spacing w:after="0"/>
              <w:rPr>
                <w:sz w:val="1"/>
                <w:szCs w:val="1"/>
                <w:color w:val="auto"/>
              </w:rPr>
            </w:pPr>
          </w:p>
        </w:tc>
      </w:tr>
      <w:tr>
        <w:trPr>
          <w:trHeight w:val="241"/>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13,191,024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44,911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62,482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106,657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26" w:right="239" w:bottom="1440" w:gutter="0" w:footer="0" w:header="0"/>
        </w:sectPr>
      </w:pPr>
    </w:p>
    <w:bookmarkStart w:id="7" w:name="page8"/>
    <w:bookmarkEnd w:id="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340" w:type="dxa"/>
            <w:vAlign w:val="bottom"/>
            <w:gridSpan w:val="5"/>
          </w:tcPr>
          <w:p>
            <w:pPr>
              <w:ind w:left="66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3"/>
                <w:szCs w:val="13"/>
                <w:color w:val="auto"/>
              </w:rPr>
            </w:pPr>
          </w:p>
        </w:tc>
        <w:tc>
          <w:tcPr>
            <w:tcW w:w="1080" w:type="dxa"/>
            <w:vAlign w:val="bottom"/>
          </w:tcPr>
          <w:p>
            <w:pPr>
              <w:jc w:val="center"/>
              <w:ind w:right="8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3"/>
                <w:szCs w:val="3"/>
                <w:color w:val="auto"/>
              </w:rPr>
            </w:pPr>
          </w:p>
        </w:tc>
        <w:tc>
          <w:tcPr>
            <w:tcW w:w="96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3"/>
                <w:szCs w:val="3"/>
                <w:color w:val="auto"/>
              </w:rPr>
            </w:pPr>
          </w:p>
        </w:tc>
        <w:tc>
          <w:tcPr>
            <w:tcW w:w="14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3"/>
                <w:szCs w:val="3"/>
                <w:color w:val="auto"/>
              </w:rPr>
            </w:pPr>
          </w:p>
        </w:tc>
        <w:tc>
          <w:tcPr>
            <w:tcW w:w="1080" w:type="dxa"/>
            <w:vAlign w:val="bottom"/>
            <w:vMerge w:val="restart"/>
          </w:tcPr>
          <w:p>
            <w:pPr>
              <w:jc w:val="center"/>
              <w:ind w:right="89"/>
              <w:spacing w:after="0" w:line="135"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78"/>
        </w:trPr>
        <w:tc>
          <w:tcPr>
            <w:tcW w:w="4000" w:type="dxa"/>
            <w:vAlign w:val="bottom"/>
          </w:tcPr>
          <w:p>
            <w:pPr>
              <w:spacing w:after="0"/>
              <w:rPr>
                <w:sz w:val="6"/>
                <w:szCs w:val="6"/>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000" w:type="dxa"/>
            <w:vAlign w:val="bottom"/>
          </w:tcPr>
          <w:p>
            <w:pPr>
              <w:ind w:left="40"/>
              <w:spacing w:after="0"/>
              <w:rPr>
                <w:sz w:val="20"/>
                <w:szCs w:val="20"/>
                <w:color w:val="auto"/>
              </w:rPr>
            </w:pPr>
            <w:r>
              <w:rPr>
                <w:rFonts w:ascii="Arial" w:cs="Arial" w:eastAsia="Arial" w:hAnsi="Arial"/>
                <w:sz w:val="11"/>
                <w:szCs w:val="11"/>
                <w:color w:val="auto"/>
              </w:rPr>
              <w:t>(dollars in thousands)</w:t>
            </w: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Income (Loss)</w:t>
            </w: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54"/>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13,672,479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49,321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65,701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114,564</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3,319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3,319</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76"/>
        </w:trPr>
        <w:tc>
          <w:tcPr>
            <w:tcW w:w="4000" w:type="dxa"/>
            <w:vAlign w:val="bottom"/>
          </w:tcPr>
          <w:p>
            <w:pPr>
              <w:ind w:left="40"/>
              <w:spacing w:after="0"/>
              <w:rPr>
                <w:sz w:val="20"/>
                <w:szCs w:val="20"/>
                <w:color w:val="auto"/>
              </w:rPr>
            </w:pPr>
            <w:r>
              <w:rPr>
                <w:rFonts w:ascii="Arial" w:cs="Arial" w:eastAsia="Arial" w:hAnsi="Arial"/>
                <w:sz w:val="14"/>
                <w:szCs w:val="14"/>
                <w:color w:val="auto"/>
              </w:rPr>
              <w:t>Unrealized loss on cash flow hedging derivative, net of</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00"/>
              <w:spacing w:after="0"/>
              <w:rPr>
                <w:sz w:val="20"/>
                <w:szCs w:val="20"/>
                <w:color w:val="auto"/>
              </w:rPr>
            </w:pPr>
            <w:r>
              <w:rPr>
                <w:rFonts w:ascii="Arial" w:cs="Arial" w:eastAsia="Arial" w:hAnsi="Arial"/>
                <w:sz w:val="14"/>
                <w:szCs w:val="14"/>
                <w:color w:val="auto"/>
              </w:rPr>
              <w:t>income taxes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 including tax benefit</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21,706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Shares issued as compensation</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18,380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Adoption of lease standard</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53"/>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13,712,565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49,825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68,918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118,550</w:t>
            </w:r>
          </w:p>
        </w:tc>
        <w:tc>
          <w:tcPr>
            <w:tcW w:w="0" w:type="dxa"/>
            <w:vAlign w:val="bottom"/>
          </w:tcPr>
          <w:p>
            <w:pPr>
              <w:spacing w:after="0"/>
              <w:rPr>
                <w:sz w:val="1"/>
                <w:szCs w:val="1"/>
                <w:color w:val="auto"/>
              </w:rPr>
            </w:pPr>
          </w:p>
        </w:tc>
      </w:tr>
      <w:tr>
        <w:trPr>
          <w:trHeight w:val="247"/>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4,023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4,023</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Stock options exercised, including tax benefit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6,100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49"/>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1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13,718,665</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50,071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72,940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123,118</w:t>
            </w:r>
          </w:p>
        </w:tc>
        <w:tc>
          <w:tcPr>
            <w:tcW w:w="0" w:type="dxa"/>
            <w:vAlign w:val="bottom"/>
          </w:tcPr>
          <w:p>
            <w:pPr>
              <w:spacing w:after="0"/>
              <w:rPr>
                <w:sz w:val="1"/>
                <w:szCs w:val="1"/>
                <w:color w:val="auto"/>
              </w:rPr>
            </w:pPr>
          </w:p>
        </w:tc>
      </w:tr>
      <w:tr>
        <w:trPr>
          <w:trHeight w:val="271"/>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4,481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4,481</w:t>
            </w:r>
          </w:p>
        </w:tc>
        <w:tc>
          <w:tcPr>
            <w:tcW w:w="0" w:type="dxa"/>
            <w:vAlign w:val="bottom"/>
          </w:tcPr>
          <w:p>
            <w:pPr>
              <w:spacing w:after="0"/>
              <w:rPr>
                <w:sz w:val="1"/>
                <w:szCs w:val="1"/>
                <w:color w:val="auto"/>
              </w:rPr>
            </w:pPr>
          </w:p>
        </w:tc>
      </w:tr>
      <w:tr>
        <w:trPr>
          <w:trHeight w:val="176"/>
        </w:trPr>
        <w:tc>
          <w:tcPr>
            <w:tcW w:w="4000" w:type="dxa"/>
            <w:vAlign w:val="bottom"/>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3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201"/>
        </w:trPr>
        <w:tc>
          <w:tcPr>
            <w:tcW w:w="400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 including tax benefit</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85,003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269"/>
        </w:trPr>
        <w:tc>
          <w:tcPr>
            <w:tcW w:w="400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199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199</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repurchased and retired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w:t>
            </w:r>
          </w:p>
        </w:tc>
        <w:tc>
          <w:tcPr>
            <w:tcW w:w="0" w:type="dxa"/>
            <w:vAlign w:val="bottom"/>
          </w:tcPr>
          <w:p>
            <w:pPr>
              <w:spacing w:after="0"/>
              <w:rPr>
                <w:sz w:val="1"/>
                <w:szCs w:val="1"/>
                <w:color w:val="auto"/>
              </w:rPr>
            </w:pPr>
          </w:p>
        </w:tc>
      </w:tr>
      <w:tr>
        <w:trPr>
          <w:trHeight w:val="238"/>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2019</w:t>
            </w:r>
          </w:p>
        </w:tc>
        <w:tc>
          <w:tcPr>
            <w:tcW w:w="1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13,782,538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50,585</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77,095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127,829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26"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8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23495</wp:posOffset>
            </wp:positionV>
            <wp:extent cx="1946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r>
      <w:tr>
        <w:trPr>
          <w:trHeight w:val="26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8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11,823</w:t>
            </w:r>
          </w:p>
        </w:tc>
        <w:tc>
          <w:tcPr>
            <w:tcW w:w="12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9,282</w:t>
            </w:r>
          </w:p>
        </w:tc>
      </w:tr>
      <w:tr>
        <w:trPr>
          <w:trHeight w:val="274"/>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8320" w:type="dxa"/>
            <w:vAlign w:val="bottom"/>
          </w:tcPr>
          <w:p>
            <w:pPr>
              <w:ind w:left="280"/>
              <w:spacing w:after="0"/>
              <w:rPr>
                <w:sz w:val="20"/>
                <w:szCs w:val="20"/>
                <w:color w:val="auto"/>
              </w:rPr>
            </w:pPr>
            <w:r>
              <w:rPr>
                <w:rFonts w:ascii="Arial" w:cs="Arial" w:eastAsia="Arial" w:hAnsi="Arial"/>
                <w:sz w:val="18"/>
                <w:szCs w:val="18"/>
                <w:color w:val="auto"/>
              </w:rPr>
              <w:t>Provision for loan losses</w:t>
            </w: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1,869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1,640</w:t>
            </w:r>
          </w:p>
        </w:tc>
      </w:tr>
      <w:tr>
        <w:trPr>
          <w:trHeight w:val="274"/>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Provision for losses on mortgage loans sold</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r>
      <w:tr>
        <w:trPr>
          <w:trHeight w:val="266"/>
        </w:trPr>
        <w:tc>
          <w:tcPr>
            <w:tcW w:w="8320" w:type="dxa"/>
            <w:vAlign w:val="bottom"/>
          </w:tcPr>
          <w:p>
            <w:pPr>
              <w:ind w:left="280"/>
              <w:spacing w:after="0"/>
              <w:rPr>
                <w:sz w:val="20"/>
                <w:szCs w:val="20"/>
                <w:color w:val="auto"/>
              </w:rPr>
            </w:pPr>
            <w:r>
              <w:rPr>
                <w:rFonts w:ascii="Arial" w:cs="Arial" w:eastAsia="Arial" w:hAnsi="Arial"/>
                <w:sz w:val="18"/>
                <w:szCs w:val="18"/>
                <w:color w:val="auto"/>
              </w:rPr>
              <w:t>Provision for off balance sheet credit risk</w:t>
            </w: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274"/>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amortization on investments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66"/>
        </w:trPr>
        <w:tc>
          <w:tcPr>
            <w:tcW w:w="83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844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795</w:t>
            </w:r>
          </w:p>
        </w:tc>
      </w:tr>
      <w:tr>
        <w:trPr>
          <w:trHeight w:val="274"/>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r>
      <w:tr>
        <w:trPr>
          <w:trHeight w:val="266"/>
        </w:trPr>
        <w:tc>
          <w:tcPr>
            <w:tcW w:w="8320" w:type="dxa"/>
            <w:vAlign w:val="bottom"/>
          </w:tcPr>
          <w:p>
            <w:pPr>
              <w:ind w:left="280"/>
              <w:spacing w:after="0"/>
              <w:rPr>
                <w:sz w:val="20"/>
                <w:szCs w:val="20"/>
                <w:color w:val="auto"/>
              </w:rPr>
            </w:pPr>
            <w:r>
              <w:rPr>
                <w:rFonts w:ascii="Arial" w:cs="Arial" w:eastAsia="Arial" w:hAnsi="Arial"/>
                <w:sz w:val="18"/>
                <w:szCs w:val="18"/>
                <w:color w:val="auto"/>
              </w:rPr>
              <w:t>Director and employee compensation paid in Company stock</w:t>
            </w: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323</w:t>
            </w:r>
          </w:p>
        </w:tc>
      </w:tr>
      <w:tr>
        <w:trPr>
          <w:trHeight w:val="274"/>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income tax benefit (expense)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66"/>
        </w:trPr>
        <w:tc>
          <w:tcPr>
            <w:tcW w:w="8320" w:type="dxa"/>
            <w:vAlign w:val="bottom"/>
          </w:tcPr>
          <w:p>
            <w:pPr>
              <w:ind w:left="280"/>
              <w:spacing w:after="0"/>
              <w:rPr>
                <w:sz w:val="20"/>
                <w:szCs w:val="20"/>
                <w:color w:val="auto"/>
              </w:rPr>
            </w:pPr>
            <w:r>
              <w:rPr>
                <w:rFonts w:ascii="Arial" w:cs="Arial" w:eastAsia="Arial" w:hAnsi="Arial"/>
                <w:sz w:val="18"/>
                <w:szCs w:val="18"/>
                <w:color w:val="auto"/>
              </w:rPr>
              <w:t>Amortization of debt issuance expense</w:t>
            </w: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4"/>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loss on sale of securities available for sale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66"/>
        </w:trPr>
        <w:tc>
          <w:tcPr>
            <w:tcW w:w="8320" w:type="dxa"/>
            <w:vAlign w:val="bottom"/>
          </w:tcPr>
          <w:p>
            <w:pPr>
              <w:ind w:left="280"/>
              <w:spacing w:after="0"/>
              <w:rPr>
                <w:sz w:val="20"/>
                <w:szCs w:val="20"/>
                <w:color w:val="auto"/>
              </w:rPr>
            </w:pPr>
            <w:r>
              <w:rPr>
                <w:rFonts w:ascii="Arial" w:cs="Arial" w:eastAsia="Arial" w:hAnsi="Arial"/>
                <w:sz w:val="18"/>
                <w:szCs w:val="18"/>
                <w:color w:val="auto"/>
              </w:rPr>
              <w:t>Loss on sale of foreclosed real estate</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4"/>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Mortgage banking revenue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(10,991)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(7,379)</w:t>
            </w:r>
          </w:p>
        </w:tc>
      </w:tr>
      <w:tr>
        <w:trPr>
          <w:trHeight w:val="266"/>
        </w:trPr>
        <w:tc>
          <w:tcPr>
            <w:tcW w:w="8320" w:type="dxa"/>
            <w:vAlign w:val="bottom"/>
          </w:tcPr>
          <w:p>
            <w:pPr>
              <w:ind w:left="280"/>
              <w:spacing w:after="0"/>
              <w:rPr>
                <w:sz w:val="20"/>
                <w:szCs w:val="20"/>
                <w:color w:val="auto"/>
              </w:rPr>
            </w:pPr>
            <w:r>
              <w:rPr>
                <w:rFonts w:ascii="Arial" w:cs="Arial" w:eastAsia="Arial" w:hAnsi="Arial"/>
                <w:sz w:val="18"/>
                <w:szCs w:val="18"/>
                <w:color w:val="auto"/>
              </w:rPr>
              <w:t>Proceeds from sales of loans held for sale</w:t>
            </w: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367,986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278,436</w:t>
            </w:r>
          </w:p>
        </w:tc>
      </w:tr>
      <w:tr>
        <w:trPr>
          <w:trHeight w:val="274"/>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Originations of loans held for sale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(407,451)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(266,299)</w:t>
            </w:r>
          </w:p>
        </w:tc>
      </w:tr>
      <w:tr>
        <w:trPr>
          <w:trHeight w:val="265"/>
        </w:trPr>
        <w:tc>
          <w:tcPr>
            <w:tcW w:w="832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66"/>
        </w:trPr>
        <w:tc>
          <w:tcPr>
            <w:tcW w:w="8320" w:type="dxa"/>
            <w:vAlign w:val="bottom"/>
          </w:tcPr>
          <w:p>
            <w:pPr>
              <w:ind w:left="380"/>
              <w:spacing w:after="0"/>
              <w:rPr>
                <w:sz w:val="20"/>
                <w:szCs w:val="20"/>
                <w:color w:val="auto"/>
              </w:rPr>
            </w:pPr>
            <w:r>
              <w:rPr>
                <w:rFonts w:ascii="Arial" w:cs="Arial" w:eastAsia="Arial" w:hAnsi="Arial"/>
                <w:sz w:val="18"/>
                <w:szCs w:val="18"/>
                <w:color w:val="auto"/>
              </w:rPr>
              <w:t>Prepaid income taxes and taxes payable</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1,003</w:t>
            </w:r>
          </w:p>
        </w:tc>
      </w:tr>
      <w:tr>
        <w:trPr>
          <w:trHeight w:val="274"/>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w:t>
            </w:r>
          </w:p>
        </w:tc>
      </w:tr>
      <w:tr>
        <w:trPr>
          <w:trHeight w:val="266"/>
        </w:trPr>
        <w:tc>
          <w:tcPr>
            <w:tcW w:w="8320" w:type="dxa"/>
            <w:vAlign w:val="bottom"/>
          </w:tcPr>
          <w:p>
            <w:pPr>
              <w:ind w:left="380"/>
              <w:spacing w:after="0"/>
              <w:rPr>
                <w:sz w:val="20"/>
                <w:szCs w:val="20"/>
                <w:color w:val="auto"/>
              </w:rPr>
            </w:pPr>
            <w:r>
              <w:rPr>
                <w:rFonts w:ascii="Arial" w:cs="Arial" w:eastAsia="Arial" w:hAnsi="Arial"/>
                <w:sz w:val="18"/>
                <w:szCs w:val="18"/>
                <w:color w:val="auto"/>
              </w:rPr>
              <w:t>Accrued interest payable</w:t>
            </w: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548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588</w:t>
            </w:r>
          </w:p>
        </w:tc>
      </w:tr>
      <w:tr>
        <w:trPr>
          <w:trHeight w:val="274"/>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1,601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w:t>
            </w:r>
          </w:p>
        </w:tc>
      </w:tr>
      <w:tr>
        <w:trPr>
          <w:trHeight w:val="246"/>
        </w:trPr>
        <w:tc>
          <w:tcPr>
            <w:tcW w:w="83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(used) by operating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(34,529)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17,909</w:t>
            </w:r>
          </w:p>
        </w:tc>
      </w:tr>
      <w:tr>
        <w:trPr>
          <w:trHeight w:val="321"/>
        </w:trPr>
        <w:tc>
          <w:tcPr>
            <w:tcW w:w="8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1"/>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securities available for sale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(8,202)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6"/>
        </w:trPr>
        <w:tc>
          <w:tcPr>
            <w:tcW w:w="8320" w:type="dxa"/>
            <w:vAlign w:val="bottom"/>
          </w:tcPr>
          <w:p>
            <w:pPr>
              <w:ind w:left="160"/>
              <w:spacing w:after="0"/>
              <w:rPr>
                <w:sz w:val="20"/>
                <w:szCs w:val="20"/>
                <w:color w:val="auto"/>
              </w:rPr>
            </w:pPr>
            <w:r>
              <w:rPr>
                <w:rFonts w:ascii="Arial" w:cs="Arial" w:eastAsia="Arial" w:hAnsi="Arial"/>
                <w:sz w:val="18"/>
                <w:szCs w:val="18"/>
                <w:color w:val="auto"/>
              </w:rPr>
              <w:t>Maturities, calls and principal paydowns of securities available for sale</w:t>
            </w: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15,535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4,573</w:t>
            </w:r>
          </w:p>
        </w:tc>
      </w:tr>
      <w:tr>
        <w:trPr>
          <w:trHeight w:val="274"/>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securities available for sale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3,280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r>
      <w:tr>
        <w:trPr>
          <w:trHeight w:val="266"/>
        </w:trPr>
        <w:tc>
          <w:tcPr>
            <w:tcW w:w="8320" w:type="dxa"/>
            <w:vAlign w:val="bottom"/>
          </w:tcPr>
          <w:p>
            <w:pPr>
              <w:ind w:left="160"/>
              <w:spacing w:after="0"/>
              <w:rPr>
                <w:sz w:val="20"/>
                <w:szCs w:val="20"/>
                <w:color w:val="auto"/>
              </w:rPr>
            </w:pPr>
            <w:r>
              <w:rPr>
                <w:rFonts w:ascii="Arial" w:cs="Arial" w:eastAsia="Arial" w:hAnsi="Arial"/>
                <w:sz w:val="18"/>
                <w:szCs w:val="18"/>
                <w:color w:val="auto"/>
              </w:rPr>
              <w:t>Purchases of restricted investments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(756)</w:t>
            </w:r>
          </w:p>
        </w:tc>
      </w:tr>
      <w:tr>
        <w:trPr>
          <w:trHeight w:val="274"/>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loans receivable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(140,468)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(69,200)</w:t>
            </w:r>
          </w:p>
        </w:tc>
      </w:tr>
      <w:tr>
        <w:trPr>
          <w:trHeight w:val="266"/>
        </w:trPr>
        <w:tc>
          <w:tcPr>
            <w:tcW w:w="8320" w:type="dxa"/>
            <w:vAlign w:val="bottom"/>
          </w:tcPr>
          <w:p>
            <w:pPr>
              <w:ind w:left="160"/>
              <w:spacing w:after="0"/>
              <w:rPr>
                <w:sz w:val="20"/>
                <w:szCs w:val="20"/>
                <w:color w:val="auto"/>
              </w:rPr>
            </w:pPr>
            <w:r>
              <w:rPr>
                <w:rFonts w:ascii="Arial" w:cs="Arial" w:eastAsia="Arial" w:hAnsi="Arial"/>
                <w:sz w:val="18"/>
                <w:szCs w:val="18"/>
                <w:color w:val="auto"/>
              </w:rPr>
              <w:t>Net disposals (purchases) of premises and equipment</w:t>
            </w: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622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(1,036)</w:t>
            </w:r>
          </w:p>
        </w:tc>
      </w:tr>
      <w:tr>
        <w:trPr>
          <w:trHeight w:val="274"/>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foreclosed real estate</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r>
      <w:tr>
        <w:trPr>
          <w:trHeight w:val="246"/>
        </w:trPr>
        <w:tc>
          <w:tcPr>
            <w:tcW w:w="8320" w:type="dxa"/>
            <w:vAlign w:val="bottom"/>
          </w:tcPr>
          <w:p>
            <w:pPr>
              <w:ind w:left="480"/>
              <w:spacing w:after="0"/>
              <w:rPr>
                <w:sz w:val="20"/>
                <w:szCs w:val="20"/>
                <w:color w:val="auto"/>
              </w:rPr>
            </w:pPr>
            <w:r>
              <w:rPr>
                <w:rFonts w:ascii="Arial" w:cs="Arial" w:eastAsia="Arial" w:hAnsi="Arial"/>
                <w:sz w:val="18"/>
                <w:szCs w:val="18"/>
                <w:color w:val="auto"/>
              </w:rPr>
              <w:t>Net cash used by investing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(130,687)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(65,817)</w:t>
            </w:r>
          </w:p>
        </w:tc>
      </w:tr>
    </w:tbl>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94" w:right="259" w:bottom="1440" w:gutter="0" w:footer="0" w:header="0"/>
        </w:sectPr>
      </w:pPr>
    </w:p>
    <w:bookmarkStart w:id="9" w:name="page10"/>
    <w:bookmarkEnd w:id="9"/>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8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23495</wp:posOffset>
            </wp:positionV>
            <wp:extent cx="1946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4"/>
        </w:trPr>
        <w:tc>
          <w:tcPr>
            <w:tcW w:w="8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increase (decrease) in: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8320" w:type="dxa"/>
            <w:vAlign w:val="bottom"/>
          </w:tcPr>
          <w:p>
            <w:pPr>
              <w:ind w:left="280"/>
              <w:spacing w:after="0"/>
              <w:rPr>
                <w:sz w:val="20"/>
                <w:szCs w:val="20"/>
                <w:color w:val="auto"/>
              </w:rPr>
            </w:pPr>
            <w:r>
              <w:rPr>
                <w:rFonts w:ascii="Arial" w:cs="Arial" w:eastAsia="Arial" w:hAnsi="Arial"/>
                <w:sz w:val="16"/>
                <w:szCs w:val="16"/>
                <w:color w:val="auto"/>
              </w:rPr>
              <w:t>Noninterest-bearing deposits</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51,119</w:t>
            </w:r>
          </w:p>
        </w:tc>
        <w:tc>
          <w:tcPr>
            <w:tcW w:w="12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37,459</w:t>
            </w:r>
          </w:p>
        </w:tc>
      </w:tr>
      <w:tr>
        <w:trPr>
          <w:trHeight w:val="274"/>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Interest-bearing deposits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106,085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(31,242)</w:t>
            </w:r>
          </w:p>
        </w:tc>
      </w:tr>
      <w:tr>
        <w:trPr>
          <w:trHeight w:val="266"/>
        </w:trPr>
        <w:tc>
          <w:tcPr>
            <w:tcW w:w="832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(3,332)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4"/>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Federal funds purchased</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6"/>
        </w:trPr>
        <w:tc>
          <w:tcPr>
            <w:tcW w:w="8320" w:type="dxa"/>
            <w:vAlign w:val="bottom"/>
          </w:tcPr>
          <w:p>
            <w:pPr>
              <w:ind w:left="280"/>
              <w:spacing w:after="0"/>
              <w:rPr>
                <w:sz w:val="20"/>
                <w:szCs w:val="20"/>
                <w:color w:val="auto"/>
              </w:rPr>
            </w:pPr>
            <w:r>
              <w:rPr>
                <w:rFonts w:ascii="Arial" w:cs="Arial" w:eastAsia="Arial" w:hAnsi="Arial"/>
                <w:sz w:val="16"/>
                <w:szCs w:val="16"/>
                <w:color w:val="auto"/>
              </w:rPr>
              <w:t>Federal Home Loan Bank advances, net</w:t>
            </w: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33,556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274"/>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borrowed funds</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66"/>
        </w:trPr>
        <w:tc>
          <w:tcPr>
            <w:tcW w:w="8320" w:type="dxa"/>
            <w:vAlign w:val="bottom"/>
          </w:tcPr>
          <w:p>
            <w:pPr>
              <w:ind w:left="160"/>
              <w:spacing w:after="0"/>
              <w:rPr>
                <w:sz w:val="20"/>
                <w:szCs w:val="20"/>
                <w:color w:val="auto"/>
              </w:rPr>
            </w:pPr>
            <w:r>
              <w:rPr>
                <w:rFonts w:ascii="Arial" w:cs="Arial" w:eastAsia="Arial" w:hAnsi="Arial"/>
                <w:sz w:val="16"/>
                <w:szCs w:val="16"/>
                <w:color w:val="auto"/>
              </w:rPr>
              <w:t>Repurchase of common stock</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74"/>
        </w:trPr>
        <w:tc>
          <w:tcPr>
            <w:tcW w:w="8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r>
      <w:tr>
        <w:trPr>
          <w:trHeight w:val="266"/>
        </w:trPr>
        <w:tc>
          <w:tcPr>
            <w:tcW w:w="8320" w:type="dxa"/>
            <w:vAlign w:val="bottom"/>
          </w:tcPr>
          <w:p>
            <w:pPr>
              <w:ind w:left="160"/>
              <w:spacing w:after="0"/>
              <w:rPr>
                <w:sz w:val="20"/>
                <w:szCs w:val="20"/>
                <w:color w:val="auto"/>
              </w:rPr>
            </w:pPr>
            <w:r>
              <w:rPr>
                <w:rFonts w:ascii="Arial" w:cs="Arial" w:eastAsia="Arial" w:hAnsi="Arial"/>
                <w:sz w:val="16"/>
                <w:szCs w:val="16"/>
                <w:color w:val="auto"/>
              </w:rPr>
              <w:t>Proceeds from shares issued</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16,530</w:t>
            </w:r>
          </w:p>
        </w:tc>
      </w:tr>
      <w:tr>
        <w:trPr>
          <w:trHeight w:val="250"/>
        </w:trPr>
        <w:tc>
          <w:tcPr>
            <w:tcW w:w="83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185,571</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36,322</w:t>
            </w:r>
          </w:p>
        </w:tc>
      </w:tr>
      <w:tr>
        <w:trPr>
          <w:trHeight w:val="321"/>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20,355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(11,586)</w:t>
            </w:r>
          </w:p>
        </w:tc>
      </w:tr>
      <w:tr>
        <w:trPr>
          <w:trHeight w:val="324"/>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34,723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52,311</w:t>
            </w:r>
          </w:p>
        </w:tc>
      </w:tr>
      <w:tr>
        <w:trPr>
          <w:trHeight w:val="321"/>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55,078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40,725</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5"/>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96"/>
        </w:trPr>
        <w:tc>
          <w:tcPr>
            <w:tcW w:w="83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Loans transferred to foreclosed real estate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427</w:t>
            </w:r>
          </w:p>
        </w:tc>
      </w:tr>
      <w:tr>
        <w:trPr>
          <w:trHeight w:val="224"/>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 unrealized gains (losses) on investments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Change in fair value of cash flow hedging derivative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r>
      <w:tr>
        <w:trPr>
          <w:trHeight w:val="224"/>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Establishment of lease right-of-use asset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5,158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Establishment of lease liability</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5,358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79"/>
        </w:trPr>
        <w:tc>
          <w:tcPr>
            <w:tcW w:w="8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9"/>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Taxes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1,955</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8320" w:type="dxa"/>
            <w:vAlign w:val="bottom"/>
          </w:tcPr>
          <w:p>
            <w:pPr>
              <w:ind w:left="160"/>
              <w:spacing w:after="0"/>
              <w:rPr>
                <w:sz w:val="20"/>
                <w:szCs w:val="20"/>
                <w:color w:val="auto"/>
              </w:rPr>
            </w:pPr>
            <w:r>
              <w:rPr>
                <w:rFonts w:ascii="Arial" w:cs="Arial" w:eastAsia="Arial" w:hAnsi="Arial"/>
                <w:sz w:val="16"/>
                <w:szCs w:val="16"/>
                <w:color w:val="auto"/>
              </w:rPr>
              <w:t>Interest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10,954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7,303</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94"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690245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Capital Bancorp, Inc. is a Maryland corporation and bank holding company (the “Company”) for Capital Bank, N.A. (the “Bank”). The Company's primary operations are conducted by the Bank, which operates branches in Rockville, Columbia and North Bethesda,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our residential mortgage banking arm; and issues credit cards through OpenSky®, a secured, digitally-driven nationwide credit card platform.</w:t>
      </w:r>
    </w:p>
    <w:p>
      <w:pPr>
        <w:spacing w:after="0" w:line="17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formed Church Street Capital, LLC (“Church Street Capital”) in 2014 to provide short-term secured real estate financing to Washington, D.C. area investors and developers that may not meet all Bank credit criteria.</w:t>
      </w:r>
    </w:p>
    <w:p>
      <w:pPr>
        <w:spacing w:after="0" w:line="14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4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October 2018, the Company completed its initial public offering (“IPO”) of 2,563,046 shares of its common stock at a price to the public of $12.50 per share, 1,834,310 shares of which were sold by the Company and 728,736 shares of which were sold by certain of the Company’s shareholders (the “selling shareholders”). The net proceeds to the Company from the IPO were $19.8 million after deducting the underwriting discount and offering expenses of $3.2 million. The Company did not receive any proceeds from the sales of shares by the selling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accompanying consolidated financial statements include the activity of the Company and its wholly-owned subsidiaries, the Bank and Church Street Capital. All intercompany transactions have been eliminated in consolidation. The Company reports its activities as a single business segment.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On August 15, 2018, the Company completed a four-for-one stock split of the Company's authorized, issued, and outstanding common stock, par value $0.01 per share (the “Stock Split”). At the effective time of the Stock Split, each share of the Company's issued and outstanding common stock was automatically increased to four shares issued and outstanding. No fractional shares were issued in connection with the Stock Split. All share and share-related information presented in these consolidated financial statements have been retroactively adjusted to reflect the increased number of shares resulting from the Stock Split.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Significant Accounting Policies: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preparation of consolidated financial statements in accordance with GAAP requires estimates and judgments that affect the reported amounts of assets, liabilities, revenues and expenses and related disclosures of contingent assets and liabilities. The basis of the estimates is on historical experience and on various other assumptions that are believed to be reasonable under current circumstances, results of which form the basis for making judgments about the carrying value of certain assets and liabilities that are</w:t>
      </w:r>
    </w:p>
    <w:p>
      <w:pPr>
        <w:sectPr>
          <w:pgSz w:w="11900" w:h="16838" w:orient="portrait"/>
          <w:cols w:equalWidth="0" w:num="1">
            <w:col w:w="11420"/>
          </w:cols>
          <w:pgMar w:left="240" w:top="699" w:right="2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699" w:right="23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8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not readily available from other sources. Estimates are evaluated on an ongoing basis. Actual results may differ from these estimates under different assumptions or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financial institutions, interest bearing deposits with financial institutions and federal funds sold. Generally, federal funds are sold for one-day periods.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will be charged to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and, therefore, it has no intangible asset recorded for the value of such servicing. Interest on loans held for sale is credited to income based on the principal amounts outstanding.</w:t>
      </w:r>
    </w:p>
    <w:p>
      <w:pPr>
        <w:spacing w:after="0" w:line="175"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19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elected to measure loans held for sale at fair value to better align reported results with the underlying economic changes in value of the loans on the Company’s balance sheet.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Loans and the Allowance for Loan Losses</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Loans are stated at the principal amount outstanding, adjusted for deferred origination fees, deferred origination costs, discounts on loans acquired, and the allowance for loan losses. Interest is accrued based on the loan principal balances and stated interest rates. Origination fees and costs are recognized as an adjustment to the related loan yield using approximate interest methods. The Company discontinues the accrual of interest when any portion of the principal and interest is 90 days past due and collateral is insufficient to discharge the debt in full. Generally, interest payments on nonaccrual loans are recorded as a reduction of the principal balance.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Loans are considered impaired when, based on current information, management believes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26"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(“TDR”) status. If collection of principal is evaluated as doubtful, all payments are applied to principal. A modification of a loan is considered a TDR when a borrower is experiencing financial difficulty and the modification constitutes a concession. The Company may consider interest rate reductions, changes to payment terms, extensions of maturities and/or principal reductions.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projected beyond reasonable time frames, client bankruptcy and lack of assets, and/or collateral deficiencies.</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for qualitative factors. There may be an unallocated component of the allowance, which reflects the margin of imprecision inherent in the underlying assumptions used in the method for estimating specific and general losses in the portfolio. Actual loan performance may differ from those estimates. A loss is recognized as a charge to the allowance when management believes that collection of the loan is unlikely. Collections of loans previously charged off are added to the allowance at the time of recovery.</w:t>
      </w:r>
    </w:p>
    <w:p>
      <w:pPr>
        <w:spacing w:after="0" w:line="1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determine the allowance for loan losses based on the accumulation of various components that are calculated independently in accordance with ASC 450 for pools of loans, ASC 310 for Troubled Debt Restructuring, and ASC 310 for individually evaluated loans. The process for determining an appropriate allowance for loan losses is based on a comprehensive and consistently applied analysis of the loan portfolio. The analysis considers all significant factors that affect the collectibility of the portfolio and supports the credit losses estimated by this process. It is important to recognize that the related process, methodology, and underlying assumptions require a substantial degree of judgment.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Premises and equipment are stated at cost less accumulated depreciation and amortization over two to seven years. Depreciation and amortization are computed using the straight-line method over the estimated useful lives of the related property. Leasehold improvements are amortized over the estimated useful lives of the improvements, approximately ten years, or the term of the lease, whichever is less. Expenditures for maintenance, repairs, and minor replacements are charged to noninterest expenses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During the first quarter of 2019, the Company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ASU 2016-02 applies a right-of-use (“ROU”) model that requires a lessee to record, for all leases with a lease term of more than 12 months, an asset representing its right to use the underlying asset and a liability to make lease payments. The Company has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has elected not to apply the recognition requirements of ASC 842 to short-term leases, defined as leases with a term of</w:t>
      </w: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26"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12 months or less, and to recognize the lease payments in net income on short-term leases on a straight-line basis over the lease term.</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adopted the guidance using the modified retrospective approach on January 1, 2019 and elected the practical expedients for transition including the transition option provided in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which allowed the Company to initially apply the new leases standard at the adoption date. Consequently, the reporting for the comparative periods presented continued to be in accordance with ASC Topic 840, </w:t>
      </w:r>
      <w:r>
        <w:rPr>
          <w:rFonts w:ascii="Arial" w:cs="Arial" w:eastAsia="Arial" w:hAnsi="Arial"/>
          <w:sz w:val="18"/>
          <w:szCs w:val="18"/>
          <w:i w:val="1"/>
          <w:iCs w:val="1"/>
          <w:color w:val="auto"/>
        </w:rPr>
        <w:t>Leases</w:t>
      </w:r>
      <w:r>
        <w:rPr>
          <w:rFonts w:ascii="Arial" w:cs="Arial" w:eastAsia="Arial" w:hAnsi="Arial"/>
          <w:sz w:val="18"/>
          <w:szCs w:val="18"/>
          <w:color w:val="auto"/>
        </w:rPr>
        <w:t>. Therefore, the 2018 financial results and disclosures have not been adjusted.</w:t>
      </w:r>
    </w:p>
    <w:p>
      <w:pPr>
        <w:spacing w:after="0" w:line="17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is largely accounting for our existing operating leases consistent with prior guidance except for the incremental balance sheet recognition for leases. The adoption of this standard resulted in the Company recognizing lease right-of-use assets and related lease liabilities totaling $5.2 million and $5.4 million, respectively, as of January 1, 2019. The difference between the lease assets and the lease liabilities was $146 thousand of deferred rent, which was reclassified to lease liabilities, and the remainder was recorded as an adjustment to retained earnings in the amount of $54 thousand. The adoption of this ASU did not have a significant impact on the Company’s consolidated statement of income. Additional information is included in Note 5 - Leases.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Derivative Financial Instruments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manages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1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The Company accounts for derivative instruments and hedging activities according to guidelines established in Financial Accounting Standards Board (“FASB”) Accounting Standards Codification (“ASC”) 815-10,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The Company recognizes all derivatives as either assets or liabilities on the balance sheet and measures those instruments at fair value. 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endeavor to maximize the use of observable</w:t>
      </w: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26"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inputs and minimize the use of unobservable inputs.</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Additional information is included in Note 6 -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per share:</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September 30, 2019 and 2018, there were 273,600 and 266,600 stock options, respectively, that were not included in the calculation as their effect would have been anti-dilutive. The following is a reconciliation of the numerators and denominators used in computing basic and diluted earnings per common share as adjusted for the Stock Split:</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9"/>
          </w:tcPr>
          <w:p>
            <w:pPr>
              <w:ind w:left="800"/>
              <w:spacing w:after="0"/>
              <w:rPr>
                <w:sz w:val="20"/>
                <w:szCs w:val="20"/>
                <w:color w:val="auto"/>
              </w:rPr>
            </w:pPr>
            <w:r>
              <w:rPr>
                <w:rFonts w:ascii="Arial" w:cs="Arial" w:eastAsia="Arial" w:hAnsi="Arial"/>
                <w:sz w:val="14"/>
                <w:szCs w:val="14"/>
                <w:b w:val="1"/>
                <w:bCs w:val="1"/>
                <w:color w:val="auto"/>
              </w:rPr>
              <w:t>For the Three Months Ended September 30,</w:t>
            </w: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64"/>
        </w:trPr>
        <w:tc>
          <w:tcPr>
            <w:tcW w:w="40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66"/>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r>
      <w:tr>
        <w:trPr>
          <w:trHeight w:val="133"/>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3" w:lineRule="exact"/>
              <w:rPr>
                <w:sz w:val="20"/>
                <w:szCs w:val="20"/>
                <w:color w:val="auto"/>
              </w:rPr>
            </w:pPr>
            <w:r>
              <w:rPr>
                <w:rFonts w:ascii="Arial" w:cs="Arial" w:eastAsia="Arial" w:hAnsi="Arial"/>
                <w:sz w:val="13"/>
                <w:szCs w:val="13"/>
                <w:b w:val="1"/>
                <w:bCs w:val="1"/>
                <w:color w:val="auto"/>
                <w:w w:val="96"/>
              </w:rPr>
              <w:t>Income</w:t>
            </w:r>
          </w:p>
        </w:tc>
        <w:tc>
          <w:tcPr>
            <w:tcW w:w="146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96"/>
              </w:rPr>
              <w:t>Shares</w:t>
            </w:r>
          </w:p>
        </w:tc>
        <w:tc>
          <w:tcPr>
            <w:tcW w:w="900" w:type="dxa"/>
            <w:vAlign w:val="bottom"/>
            <w:gridSpan w:val="3"/>
          </w:tcPr>
          <w:p>
            <w:pPr>
              <w:jc w:val="right"/>
              <w:ind w:right="220"/>
              <w:spacing w:after="0" w:line="133" w:lineRule="exact"/>
              <w:rPr>
                <w:sz w:val="20"/>
                <w:szCs w:val="20"/>
                <w:color w:val="auto"/>
              </w:rPr>
            </w:pPr>
            <w:r>
              <w:rPr>
                <w:rFonts w:ascii="Arial" w:cs="Arial" w:eastAsia="Arial" w:hAnsi="Arial"/>
                <w:sz w:val="13"/>
                <w:szCs w:val="13"/>
                <w:b w:val="1"/>
                <w:bCs w:val="1"/>
                <w:color w:val="auto"/>
              </w:rPr>
              <w:t>Per Share</w:t>
            </w:r>
          </w:p>
        </w:tc>
        <w:tc>
          <w:tcPr>
            <w:tcW w:w="200" w:type="dxa"/>
            <w:vAlign w:val="bottom"/>
          </w:tcPr>
          <w:p>
            <w:pPr>
              <w:spacing w:after="0"/>
              <w:rPr>
                <w:sz w:val="11"/>
                <w:szCs w:val="11"/>
                <w:color w:val="auto"/>
              </w:rPr>
            </w:pPr>
          </w:p>
        </w:tc>
        <w:tc>
          <w:tcPr>
            <w:tcW w:w="1320" w:type="dxa"/>
            <w:vAlign w:val="bottom"/>
            <w:gridSpan w:val="3"/>
          </w:tcPr>
          <w:p>
            <w:pPr>
              <w:jc w:val="center"/>
              <w:ind w:right="460"/>
              <w:spacing w:after="0" w:line="133" w:lineRule="exact"/>
              <w:rPr>
                <w:sz w:val="20"/>
                <w:szCs w:val="20"/>
                <w:color w:val="auto"/>
              </w:rPr>
            </w:pPr>
            <w:r>
              <w:rPr>
                <w:rFonts w:ascii="Arial" w:cs="Arial" w:eastAsia="Arial" w:hAnsi="Arial"/>
                <w:sz w:val="13"/>
                <w:szCs w:val="13"/>
                <w:color w:val="auto"/>
                <w:w w:val="98"/>
              </w:rPr>
              <w:t>Income</w:t>
            </w:r>
          </w:p>
        </w:tc>
        <w:tc>
          <w:tcPr>
            <w:tcW w:w="1300" w:type="dxa"/>
            <w:vAlign w:val="bottom"/>
            <w:gridSpan w:val="2"/>
          </w:tcPr>
          <w:p>
            <w:pPr>
              <w:jc w:val="center"/>
              <w:ind w:right="260"/>
              <w:spacing w:after="0" w:line="133" w:lineRule="exact"/>
              <w:rPr>
                <w:sz w:val="20"/>
                <w:szCs w:val="20"/>
                <w:color w:val="auto"/>
              </w:rPr>
            </w:pPr>
            <w:r>
              <w:rPr>
                <w:rFonts w:ascii="Arial" w:cs="Arial" w:eastAsia="Arial" w:hAnsi="Arial"/>
                <w:sz w:val="13"/>
                <w:szCs w:val="13"/>
                <w:color w:val="auto"/>
                <w:w w:val="97"/>
              </w:rPr>
              <w:t>Shares</w:t>
            </w:r>
          </w:p>
        </w:tc>
        <w:tc>
          <w:tcPr>
            <w:tcW w:w="800" w:type="dxa"/>
            <w:vAlign w:val="bottom"/>
            <w:gridSpan w:val="2"/>
          </w:tcPr>
          <w:p>
            <w:pPr>
              <w:jc w:val="right"/>
              <w:ind w:right="45"/>
              <w:spacing w:after="0" w:line="133" w:lineRule="exact"/>
              <w:rPr>
                <w:sz w:val="20"/>
                <w:szCs w:val="20"/>
                <w:color w:val="auto"/>
              </w:rPr>
            </w:pPr>
            <w:r>
              <w:rPr>
                <w:rFonts w:ascii="Arial" w:cs="Arial" w:eastAsia="Arial" w:hAnsi="Arial"/>
                <w:sz w:val="13"/>
                <w:szCs w:val="13"/>
                <w:color w:val="auto"/>
              </w:rPr>
              <w:t>Per Share</w:t>
            </w:r>
          </w:p>
        </w:tc>
      </w:tr>
      <w:tr>
        <w:trPr>
          <w:trHeight w:val="182"/>
        </w:trPr>
        <w:tc>
          <w:tcPr>
            <w:tcW w:w="4020" w:type="dxa"/>
            <w:vAlign w:val="bottom"/>
          </w:tcPr>
          <w:p>
            <w:pPr>
              <w:ind w:left="40"/>
              <w:spacing w:after="0"/>
              <w:rPr>
                <w:sz w:val="20"/>
                <w:szCs w:val="20"/>
                <w:color w:val="auto"/>
              </w:rPr>
            </w:pPr>
            <w:r>
              <w:rPr>
                <w:rFonts w:ascii="Arial" w:cs="Arial" w:eastAsia="Arial" w:hAnsi="Arial"/>
                <w:sz w:val="11"/>
                <w:szCs w:val="11"/>
                <w:color w:val="auto"/>
              </w:rPr>
              <w:t>(dollars in thousands, except per share information)</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(Numerator)</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(Denominator)</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1320" w:type="dxa"/>
            <w:vAlign w:val="bottom"/>
            <w:gridSpan w:val="3"/>
          </w:tcPr>
          <w:p>
            <w:pPr>
              <w:jc w:val="center"/>
              <w:ind w:right="480"/>
              <w:spacing w:after="0"/>
              <w:rPr>
                <w:sz w:val="20"/>
                <w:szCs w:val="20"/>
                <w:color w:val="auto"/>
              </w:rPr>
            </w:pPr>
            <w:r>
              <w:rPr>
                <w:rFonts w:ascii="Arial" w:cs="Arial" w:eastAsia="Arial" w:hAnsi="Arial"/>
                <w:sz w:val="13"/>
                <w:szCs w:val="13"/>
                <w:color w:val="auto"/>
                <w:w w:val="96"/>
              </w:rPr>
              <w:t>(Numerator)</w:t>
            </w: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color w:val="auto"/>
                <w:w w:val="96"/>
              </w:rPr>
              <w:t>(Denominator)</w:t>
            </w:r>
          </w:p>
        </w:tc>
        <w:tc>
          <w:tcPr>
            <w:tcW w:w="1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Arial" w:cs="Arial" w:eastAsia="Arial" w:hAnsi="Arial"/>
                <w:sz w:val="13"/>
                <w:szCs w:val="13"/>
                <w:color w:val="auto"/>
                <w:w w:val="98"/>
              </w:rPr>
              <w:t>Amount</w:t>
            </w:r>
          </w:p>
        </w:tc>
      </w:tr>
      <w:tr>
        <w:trPr>
          <w:trHeight w:val="268"/>
        </w:trPr>
        <w:tc>
          <w:tcPr>
            <w:tcW w:w="4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EPS</w:t>
            </w:r>
          </w:p>
        </w:tc>
        <w:tc>
          <w:tcPr>
            <w:tcW w:w="2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r>
      <w:tr>
        <w:trPr>
          <w:trHeight w:val="297"/>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available to common stockholders</w:t>
            </w:r>
          </w:p>
        </w:tc>
        <w:tc>
          <w:tcPr>
            <w:tcW w:w="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tcPr>
          <w:p>
            <w:pPr>
              <w:jc w:val="right"/>
              <w:ind w:right="44"/>
              <w:spacing w:after="0"/>
              <w:rPr>
                <w:sz w:val="20"/>
                <w:szCs w:val="20"/>
                <w:color w:val="auto"/>
              </w:rPr>
            </w:pPr>
            <w:r>
              <w:rPr>
                <w:rFonts w:ascii="Arial" w:cs="Arial" w:eastAsia="Arial" w:hAnsi="Arial"/>
                <w:sz w:val="18"/>
                <w:szCs w:val="18"/>
                <w:b w:val="1"/>
                <w:bCs w:val="1"/>
                <w:color w:val="auto"/>
              </w:rPr>
              <w:t>4,480</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27"/>
              <w:spacing w:after="0"/>
              <w:rPr>
                <w:sz w:val="20"/>
                <w:szCs w:val="20"/>
                <w:color w:val="auto"/>
              </w:rPr>
            </w:pPr>
            <w:r>
              <w:rPr>
                <w:rFonts w:ascii="Arial" w:cs="Arial" w:eastAsia="Arial" w:hAnsi="Arial"/>
                <w:sz w:val="16"/>
                <w:szCs w:val="16"/>
                <w:b w:val="1"/>
                <w:bCs w:val="1"/>
                <w:color w:val="auto"/>
              </w:rPr>
              <w:t>13,727,519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0.33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color w:val="auto"/>
              </w:rPr>
              <w:t>3,147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color w:val="auto"/>
              </w:rPr>
              <w:t>11,719,946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0.27</w:t>
            </w:r>
          </w:p>
        </w:tc>
      </w:tr>
      <w:tr>
        <w:trPr>
          <w:trHeight w:val="278"/>
        </w:trPr>
        <w:tc>
          <w:tcPr>
            <w:tcW w:w="4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6"/>
        </w:trPr>
        <w:tc>
          <w:tcPr>
            <w:tcW w:w="4020" w:type="dxa"/>
            <w:vAlign w:val="bottom"/>
          </w:tcPr>
          <w:p>
            <w:pPr>
              <w:ind w:left="40"/>
              <w:spacing w:after="0"/>
              <w:rPr>
                <w:sz w:val="20"/>
                <w:szCs w:val="20"/>
                <w:color w:val="auto"/>
              </w:rPr>
            </w:pPr>
            <w:r>
              <w:rPr>
                <w:rFonts w:ascii="Arial" w:cs="Arial" w:eastAsia="Arial" w:hAnsi="Arial"/>
                <w:sz w:val="16"/>
                <w:szCs w:val="16"/>
                <w:color w:val="auto"/>
              </w:rPr>
              <w:t>Effect of dilutive securities</w:t>
            </w:r>
          </w:p>
        </w:tc>
        <w:tc>
          <w:tcPr>
            <w:tcW w:w="20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27"/>
              <w:spacing w:after="0"/>
              <w:rPr>
                <w:sz w:val="20"/>
                <w:szCs w:val="20"/>
                <w:color w:val="auto"/>
              </w:rPr>
            </w:pPr>
            <w:r>
              <w:rPr>
                <w:rFonts w:ascii="Arial" w:cs="Arial" w:eastAsia="Arial" w:hAnsi="Arial"/>
                <w:sz w:val="16"/>
                <w:szCs w:val="16"/>
                <w:b w:val="1"/>
                <w:bCs w:val="1"/>
                <w:color w:val="auto"/>
              </w:rPr>
              <w:t>258,863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6"/>
              <w:spacing w:after="0"/>
              <w:rPr>
                <w:sz w:val="20"/>
                <w:szCs w:val="20"/>
                <w:color w:val="auto"/>
              </w:rPr>
            </w:pPr>
            <w:r>
              <w:rPr>
                <w:rFonts w:ascii="Arial" w:cs="Arial" w:eastAsia="Arial" w:hAnsi="Arial"/>
                <w:sz w:val="16"/>
                <w:szCs w:val="16"/>
                <w:color w:val="auto"/>
              </w:rPr>
              <w:t>382,746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39"/>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Dilutive EPS per common share</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4,480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b w:val="1"/>
                <w:bCs w:val="1"/>
                <w:color w:val="auto"/>
              </w:rPr>
              <w:t>13,986,382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CCEEFF"/>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0.32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3,147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12,102,692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CCEEFF"/>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0.26</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26" w:right="239" w:bottom="1440" w:gutter="0" w:footer="0" w:header="0"/>
        </w:sectPr>
      </w:pPr>
    </w:p>
    <w:bookmarkStart w:id="15" w:name="page16"/>
    <w:bookmarkEnd w:id="1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9"/>
          </w:tcPr>
          <w:p>
            <w:pPr>
              <w:ind w:left="840"/>
              <w:spacing w:after="0"/>
              <w:rPr>
                <w:sz w:val="20"/>
                <w:szCs w:val="20"/>
                <w:color w:val="auto"/>
              </w:rPr>
            </w:pPr>
            <w:r>
              <w:rPr>
                <w:rFonts w:ascii="Arial" w:cs="Arial" w:eastAsia="Arial" w:hAnsi="Arial"/>
                <w:sz w:val="14"/>
                <w:szCs w:val="14"/>
                <w:b w:val="1"/>
                <w:bCs w:val="1"/>
                <w:color w:val="auto"/>
              </w:rPr>
              <w:t>For the Nine Months Ended September 30,</w:t>
            </w: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64"/>
        </w:trPr>
        <w:tc>
          <w:tcPr>
            <w:tcW w:w="40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66"/>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r>
      <w:tr>
        <w:trPr>
          <w:trHeight w:val="133"/>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3" w:lineRule="exact"/>
              <w:rPr>
                <w:sz w:val="20"/>
                <w:szCs w:val="20"/>
                <w:color w:val="auto"/>
              </w:rPr>
            </w:pPr>
            <w:r>
              <w:rPr>
                <w:rFonts w:ascii="Arial" w:cs="Arial" w:eastAsia="Arial" w:hAnsi="Arial"/>
                <w:sz w:val="13"/>
                <w:szCs w:val="13"/>
                <w:b w:val="1"/>
                <w:bCs w:val="1"/>
                <w:color w:val="auto"/>
                <w:w w:val="96"/>
              </w:rPr>
              <w:t>Income</w:t>
            </w:r>
          </w:p>
        </w:tc>
        <w:tc>
          <w:tcPr>
            <w:tcW w:w="146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96"/>
              </w:rPr>
              <w:t>Shares</w:t>
            </w:r>
          </w:p>
        </w:tc>
        <w:tc>
          <w:tcPr>
            <w:tcW w:w="900" w:type="dxa"/>
            <w:vAlign w:val="bottom"/>
            <w:gridSpan w:val="3"/>
          </w:tcPr>
          <w:p>
            <w:pPr>
              <w:jc w:val="right"/>
              <w:ind w:right="220"/>
              <w:spacing w:after="0" w:line="133" w:lineRule="exact"/>
              <w:rPr>
                <w:sz w:val="20"/>
                <w:szCs w:val="20"/>
                <w:color w:val="auto"/>
              </w:rPr>
            </w:pPr>
            <w:r>
              <w:rPr>
                <w:rFonts w:ascii="Arial" w:cs="Arial" w:eastAsia="Arial" w:hAnsi="Arial"/>
                <w:sz w:val="13"/>
                <w:szCs w:val="13"/>
                <w:b w:val="1"/>
                <w:bCs w:val="1"/>
                <w:color w:val="auto"/>
              </w:rPr>
              <w:t>Per Share</w:t>
            </w:r>
          </w:p>
        </w:tc>
        <w:tc>
          <w:tcPr>
            <w:tcW w:w="200" w:type="dxa"/>
            <w:vAlign w:val="bottom"/>
          </w:tcPr>
          <w:p>
            <w:pPr>
              <w:spacing w:after="0"/>
              <w:rPr>
                <w:sz w:val="11"/>
                <w:szCs w:val="11"/>
                <w:color w:val="auto"/>
              </w:rPr>
            </w:pPr>
          </w:p>
        </w:tc>
        <w:tc>
          <w:tcPr>
            <w:tcW w:w="1300" w:type="dxa"/>
            <w:vAlign w:val="bottom"/>
            <w:gridSpan w:val="3"/>
          </w:tcPr>
          <w:p>
            <w:pPr>
              <w:jc w:val="center"/>
              <w:ind w:right="440"/>
              <w:spacing w:after="0" w:line="133" w:lineRule="exact"/>
              <w:rPr>
                <w:sz w:val="20"/>
                <w:szCs w:val="20"/>
                <w:color w:val="auto"/>
              </w:rPr>
            </w:pPr>
            <w:r>
              <w:rPr>
                <w:rFonts w:ascii="Arial" w:cs="Arial" w:eastAsia="Arial" w:hAnsi="Arial"/>
                <w:sz w:val="13"/>
                <w:szCs w:val="13"/>
                <w:color w:val="auto"/>
                <w:w w:val="98"/>
              </w:rPr>
              <w:t>Income</w:t>
            </w:r>
          </w:p>
        </w:tc>
        <w:tc>
          <w:tcPr>
            <w:tcW w:w="1320" w:type="dxa"/>
            <w:vAlign w:val="bottom"/>
            <w:gridSpan w:val="2"/>
          </w:tcPr>
          <w:p>
            <w:pPr>
              <w:jc w:val="center"/>
              <w:ind w:right="240"/>
              <w:spacing w:after="0" w:line="133" w:lineRule="exact"/>
              <w:rPr>
                <w:sz w:val="20"/>
                <w:szCs w:val="20"/>
                <w:color w:val="auto"/>
              </w:rPr>
            </w:pPr>
            <w:r>
              <w:rPr>
                <w:rFonts w:ascii="Arial" w:cs="Arial" w:eastAsia="Arial" w:hAnsi="Arial"/>
                <w:sz w:val="13"/>
                <w:szCs w:val="13"/>
                <w:color w:val="auto"/>
                <w:w w:val="97"/>
              </w:rPr>
              <w:t>Shares</w:t>
            </w:r>
          </w:p>
        </w:tc>
        <w:tc>
          <w:tcPr>
            <w:tcW w:w="800" w:type="dxa"/>
            <w:vAlign w:val="bottom"/>
            <w:gridSpan w:val="2"/>
          </w:tcPr>
          <w:p>
            <w:pPr>
              <w:jc w:val="right"/>
              <w:ind w:right="45"/>
              <w:spacing w:after="0" w:line="133" w:lineRule="exact"/>
              <w:rPr>
                <w:sz w:val="20"/>
                <w:szCs w:val="20"/>
                <w:color w:val="auto"/>
              </w:rPr>
            </w:pPr>
            <w:r>
              <w:rPr>
                <w:rFonts w:ascii="Arial" w:cs="Arial" w:eastAsia="Arial" w:hAnsi="Arial"/>
                <w:sz w:val="13"/>
                <w:szCs w:val="13"/>
                <w:color w:val="auto"/>
              </w:rPr>
              <w:t>Per Share</w:t>
            </w:r>
          </w:p>
        </w:tc>
      </w:tr>
      <w:tr>
        <w:trPr>
          <w:trHeight w:val="182"/>
        </w:trPr>
        <w:tc>
          <w:tcPr>
            <w:tcW w:w="4020" w:type="dxa"/>
            <w:vAlign w:val="bottom"/>
          </w:tcPr>
          <w:p>
            <w:pPr>
              <w:ind w:left="40"/>
              <w:spacing w:after="0"/>
              <w:rPr>
                <w:sz w:val="20"/>
                <w:szCs w:val="20"/>
                <w:color w:val="auto"/>
              </w:rPr>
            </w:pPr>
            <w:r>
              <w:rPr>
                <w:rFonts w:ascii="Arial" w:cs="Arial" w:eastAsia="Arial" w:hAnsi="Arial"/>
                <w:sz w:val="11"/>
                <w:szCs w:val="11"/>
                <w:color w:val="auto"/>
              </w:rPr>
              <w:t>(dollars in thousands, except per share information)</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(Numerator)</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(Denominator)</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3"/>
                <w:szCs w:val="13"/>
                <w:color w:val="auto"/>
                <w:w w:val="96"/>
              </w:rPr>
              <w:t>(Numerator)</w:t>
            </w: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color w:val="auto"/>
                <w:w w:val="96"/>
              </w:rPr>
              <w:t>(Denominator)</w:t>
            </w:r>
          </w:p>
        </w:tc>
        <w:tc>
          <w:tcPr>
            <w:tcW w:w="1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Arial" w:cs="Arial" w:eastAsia="Arial" w:hAnsi="Arial"/>
                <w:sz w:val="13"/>
                <w:szCs w:val="13"/>
                <w:color w:val="auto"/>
                <w:w w:val="98"/>
              </w:rPr>
              <w:t>Amount</w:t>
            </w:r>
          </w:p>
        </w:tc>
      </w:tr>
      <w:tr>
        <w:trPr>
          <w:trHeight w:val="268"/>
        </w:trPr>
        <w:tc>
          <w:tcPr>
            <w:tcW w:w="4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EPS</w:t>
            </w:r>
          </w:p>
        </w:tc>
        <w:tc>
          <w:tcPr>
            <w:tcW w:w="2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r>
      <w:tr>
        <w:trPr>
          <w:trHeight w:val="297"/>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available to common stockholders</w:t>
            </w:r>
          </w:p>
        </w:tc>
        <w:tc>
          <w:tcPr>
            <w:tcW w:w="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tcPr>
          <w:p>
            <w:pPr>
              <w:jc w:val="right"/>
              <w:ind w:right="44"/>
              <w:spacing w:after="0"/>
              <w:rPr>
                <w:sz w:val="20"/>
                <w:szCs w:val="20"/>
                <w:color w:val="auto"/>
              </w:rPr>
            </w:pPr>
            <w:r>
              <w:rPr>
                <w:rFonts w:ascii="Arial" w:cs="Arial" w:eastAsia="Arial" w:hAnsi="Arial"/>
                <w:sz w:val="18"/>
                <w:szCs w:val="18"/>
                <w:b w:val="1"/>
                <w:bCs w:val="1"/>
                <w:color w:val="auto"/>
              </w:rPr>
              <w:t>11,822</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27"/>
              <w:spacing w:after="0"/>
              <w:rPr>
                <w:sz w:val="20"/>
                <w:szCs w:val="20"/>
                <w:color w:val="auto"/>
              </w:rPr>
            </w:pPr>
            <w:r>
              <w:rPr>
                <w:rFonts w:ascii="Arial" w:cs="Arial" w:eastAsia="Arial" w:hAnsi="Arial"/>
                <w:sz w:val="16"/>
                <w:szCs w:val="16"/>
                <w:b w:val="1"/>
                <w:bCs w:val="1"/>
                <w:color w:val="auto"/>
              </w:rPr>
              <w:t>13,714,260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0.86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color w:val="auto"/>
              </w:rPr>
              <w:t>9,282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color w:val="auto"/>
              </w:rPr>
              <w:t>11,631,927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0.80</w:t>
            </w:r>
          </w:p>
        </w:tc>
      </w:tr>
      <w:tr>
        <w:trPr>
          <w:trHeight w:val="278"/>
        </w:trPr>
        <w:tc>
          <w:tcPr>
            <w:tcW w:w="4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6"/>
        </w:trPr>
        <w:tc>
          <w:tcPr>
            <w:tcW w:w="4020" w:type="dxa"/>
            <w:vAlign w:val="bottom"/>
          </w:tcPr>
          <w:p>
            <w:pPr>
              <w:ind w:left="40"/>
              <w:spacing w:after="0"/>
              <w:rPr>
                <w:sz w:val="20"/>
                <w:szCs w:val="20"/>
                <w:color w:val="auto"/>
              </w:rPr>
            </w:pPr>
            <w:r>
              <w:rPr>
                <w:rFonts w:ascii="Arial" w:cs="Arial" w:eastAsia="Arial" w:hAnsi="Arial"/>
                <w:sz w:val="16"/>
                <w:szCs w:val="16"/>
                <w:color w:val="auto"/>
              </w:rPr>
              <w:t>Effect of dilutive securities</w:t>
            </w:r>
          </w:p>
        </w:tc>
        <w:tc>
          <w:tcPr>
            <w:tcW w:w="20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27"/>
              <w:spacing w:after="0"/>
              <w:rPr>
                <w:sz w:val="20"/>
                <w:szCs w:val="20"/>
                <w:color w:val="auto"/>
              </w:rPr>
            </w:pPr>
            <w:r>
              <w:rPr>
                <w:rFonts w:ascii="Arial" w:cs="Arial" w:eastAsia="Arial" w:hAnsi="Arial"/>
                <w:sz w:val="16"/>
                <w:szCs w:val="16"/>
                <w:b w:val="1"/>
                <w:bCs w:val="1"/>
                <w:color w:val="auto"/>
              </w:rPr>
              <w:t>207,735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6"/>
              <w:spacing w:after="0"/>
              <w:rPr>
                <w:sz w:val="20"/>
                <w:szCs w:val="20"/>
                <w:color w:val="auto"/>
              </w:rPr>
            </w:pPr>
            <w:r>
              <w:rPr>
                <w:rFonts w:ascii="Arial" w:cs="Arial" w:eastAsia="Arial" w:hAnsi="Arial"/>
                <w:sz w:val="16"/>
                <w:szCs w:val="16"/>
                <w:color w:val="auto"/>
              </w:rPr>
              <w:t>401,248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39"/>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Dilutive EPS per common share</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11,822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b w:val="1"/>
                <w:bCs w:val="1"/>
                <w:color w:val="auto"/>
              </w:rPr>
              <w:t>13,921,995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CCEEFF"/>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0.85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9,282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12,033,175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CCEEFF"/>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0.77</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reports as comprehensive income all changes in stockholders' equity during the year from sources other than stockholders. Other comprehensive income refers to all components (income, expenses, gains, and losses) of comprehensive income that are excluded from net income.</w:t>
      </w:r>
    </w:p>
    <w:p>
      <w:pPr>
        <w:spacing w:after="0" w:line="1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Company's only two components of other comprehensive income are unrealized gains and losses on investment securities available for sale, net of income taxes, and unrealized gains and losses on cash flow hedges, net of income taxes. Information concerning the Company's accumulated other comprehensive income (loss) as of September 30, 2019 and December 31, 2018 are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September 30, 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December 31, 2018</w:t>
            </w:r>
          </w:p>
        </w:tc>
      </w:tr>
      <w:tr>
        <w:trPr>
          <w:trHeight w:val="254"/>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Unrealized gains (losses) on securities available for sale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0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r>
      <w:tr>
        <w:trPr>
          <w:trHeight w:val="266"/>
        </w:trPr>
        <w:tc>
          <w:tcPr>
            <w:tcW w:w="6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Deferred tax (expense) benefit</w:t>
            </w:r>
          </w:p>
        </w:tc>
        <w:tc>
          <w:tcPr>
            <w:tcW w:w="2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w:t>
            </w:r>
          </w:p>
        </w:tc>
      </w:tr>
      <w:tr>
        <w:trPr>
          <w:trHeight w:val="25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281"/>
        </w:trPr>
        <w:tc>
          <w:tcPr>
            <w:tcW w:w="6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0"/>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Unrealized gains on cash flow hedges</w:t>
            </w:r>
          </w:p>
        </w:tc>
        <w:tc>
          <w:tcPr>
            <w:tcW w:w="24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66"/>
        </w:trPr>
        <w:tc>
          <w:tcPr>
            <w:tcW w:w="6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Deferred tax expense</w:t>
            </w:r>
          </w:p>
        </w:tc>
        <w:tc>
          <w:tcPr>
            <w:tcW w:w="2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5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 of tax</w:t>
            </w:r>
          </w:p>
        </w:tc>
        <w:tc>
          <w:tcPr>
            <w:tcW w:w="24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81"/>
        </w:trPr>
        <w:tc>
          <w:tcPr>
            <w:tcW w:w="6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r>
      <w:tr>
        <w:trPr>
          <w:trHeight w:val="256"/>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accumulated comprehensive income (loss)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0"/>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issued accounting pronouncements:</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June 2016, the FASB issued guidance to change the accounting for credit losses and modify the impairment model for certain debt securities. In October 2019, the FASB voted to delay implementation and the new standard is now effective for fiscal years beginning after December 15, 2022, including the interim periods within those fiscal years. The Company expects the provisions of this standard to impact the Company’s consolidated financial statements, in particular, the level of the reserve for credit losses. The Company is continuing to evaluate the extent of the potential impact and expects that portfolio composition and economic conditions at the time of adoption will be a factor.</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26" w:right="239" w:bottom="1440" w:gutter="0" w:footer="0" w:header="0"/>
        </w:sectPr>
      </w:pPr>
    </w:p>
    <w:bookmarkStart w:id="16" w:name="page17"/>
    <w:bookmarkEnd w:id="1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will apply the amendments to the ASU through a cumulative-effect adjustment to retained earnings as of the beginning of the year of adoption. While early adoption is permitted beginning in first quarter 2019, the Company does not expect to elect that option. The Company is evaluating the impact of the ASU on our consolidated financial statements. In addition to our allowance for loan losses, the Company will also record an allowance for credit losses on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the FASB amended the Fair Value Measurement Topic 820 disclosure framework. These amendments include additions, removals and modifications to the fair value disclosure requirements in Topic 820, and are effective for the Company for fiscal years, and interim periods within those fiscal years, beginning after December 15, 2019. Early adoption is permitted on removed or modified disclosures. The Company does not expect these amendments to have a material effect on its financial statements.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March 2019, the FASB issued codification improvements to ASU Topic 842 - Leases, which clarifies fair value of leases, cash presentation and accounting change disclosures. These codification improvements were adopted to coincide with the adoption of ASU Topic 842 Leases. The adoption of this ASU did not have a material impact on the Company’s Consolidated Financial Statements.</w:t>
      </w:r>
    </w:p>
    <w:p>
      <w:pPr>
        <w:spacing w:after="0" w:line="1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2019, the FASB issued codification improvements to ASU Topic 326 - Financial Instruments - Credit Loss, Topic 815 - Derivatives and Hedging, and Subtopic 825-10 - Financial Instruments. This codification provides technical corrections and clarifies issues related to fair value hedges. The Company early adopted this guidance upon issuance, and it did not have a material impact on the Company’s Consolidated Financial Statements.</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Certain reclassifications have been made to the amounts reported in prior periods to conform to the current period presentation. The reclassifications had no effect on net income or total stockholders' equity.</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26"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69208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0865"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9208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0865" cy="1714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Investment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amortized cost and estimated fair value of investment securities at September 30, 2019 and December 31, 2018 are summarized as follows:</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Investment Securities Available for Sale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70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7"/>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Unrealized</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Fair</w:t>
            </w:r>
          </w:p>
        </w:tc>
      </w:tr>
      <w:tr>
        <w:trPr>
          <w:trHeight w:val="203"/>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Losses</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Value</w:t>
            </w:r>
          </w:p>
        </w:tc>
      </w:tr>
      <w:tr>
        <w:trPr>
          <w:trHeight w:val="265"/>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Available for sale</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9"/>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U.S. government-sponsored enterprises</w:t>
            </w: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6,000</w:t>
            </w:r>
          </w:p>
        </w:tc>
        <w:tc>
          <w:tcPr>
            <w:tcW w:w="14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5,992</w:t>
            </w: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Municipal</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515</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528</w:t>
            </w:r>
          </w:p>
        </w:tc>
      </w:tr>
      <w:tr>
        <w:trPr>
          <w:trHeight w:val="269"/>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Corporate</w:t>
            </w:r>
          </w:p>
        </w:tc>
        <w:tc>
          <w:tcPr>
            <w:tcW w:w="3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2,663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2,672</w:t>
            </w: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27,879</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86</w:t>
            </w:r>
          </w:p>
        </w:tc>
        <w:tc>
          <w:tcPr>
            <w:tcW w:w="1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27,881</w:t>
            </w:r>
          </w:p>
        </w:tc>
      </w:tr>
      <w:tr>
        <w:trPr>
          <w:trHeight w:val="277"/>
        </w:trPr>
        <w:tc>
          <w:tcPr>
            <w:tcW w:w="4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37,057</w:t>
            </w: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140</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37,073</w:t>
            </w:r>
          </w:p>
        </w:tc>
      </w:tr>
      <w:tr>
        <w:trPr>
          <w:trHeight w:val="279"/>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r>
      <w:tr>
        <w:trPr>
          <w:trHeight w:val="25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Available for sale</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6"/>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U.S. government-sponsored enterprises</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17,496</w:t>
            </w:r>
          </w:p>
        </w:tc>
        <w:tc>
          <w:tcPr>
            <w:tcW w:w="14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17,360</w:t>
            </w: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Municipal</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517</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r>
      <w:tr>
        <w:trPr>
          <w:trHeight w:val="266"/>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Corporate</w:t>
            </w:r>
          </w:p>
        </w:tc>
        <w:tc>
          <w:tcPr>
            <w:tcW w:w="3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2,908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2,885</w:t>
            </w: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26,836</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26,186</w:t>
            </w: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47,757</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46,932</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Proceeds from sales of securities sold during the nine months ended September 30, 2019 and 2018 were $ 3.3 million and $345 thousand, respectively. The investment sales resulted in realized gains of $26 thousand for the nine months ended September 30, 2019 period. Investment sales resulted in losses of $ 2 thousand for the nine months ended September 30, 2018 period. There were no securities sold during the three months ended September 30, 2019 or 2018.</w:t>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26"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Investment Securities (continued)</w:t>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unrealized losses in the investment portfolio as of September 30, 2019 and December 31, 2018 are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Investment Securities Unrealized Losses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4"/>
                <w:szCs w:val="14"/>
                <w:b w:val="1"/>
                <w:bCs w:val="1"/>
                <w:color w:val="auto"/>
              </w:rPr>
              <w:t>Less than 12 months</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7"/>
                <w:szCs w:val="17"/>
                <w:color w:val="auto"/>
              </w:rPr>
            </w:pPr>
          </w:p>
        </w:tc>
      </w:tr>
      <w:tr>
        <w:trPr>
          <w:trHeight w:val="168"/>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w:t>
            </w:r>
          </w:p>
        </w:tc>
        <w:tc>
          <w:tcPr>
            <w:tcW w:w="1000" w:type="dxa"/>
            <w:vAlign w:val="bottom"/>
          </w:tcPr>
          <w:p>
            <w:pPr>
              <w:jc w:val="center"/>
              <w:ind w:left="208"/>
              <w:spacing w:after="0"/>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Unrealized</w:t>
            </w:r>
          </w:p>
        </w:tc>
      </w:tr>
      <w:tr>
        <w:trPr>
          <w:trHeight w:val="203"/>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Losses</w:t>
            </w:r>
          </w:p>
        </w:tc>
      </w:tr>
      <w:tr>
        <w:trPr>
          <w:trHeight w:val="25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U.S. government-sponsored enterprises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ind w:right="808"/>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5,992</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5,992</w:t>
            </w: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271"/>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Municipal</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9"/>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23"/>
                <w:szCs w:val="23"/>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631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631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3,786</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12,132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w:t>
            </w:r>
          </w:p>
        </w:tc>
      </w:tr>
      <w:tr>
        <w:trPr>
          <w:trHeight w:val="27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3,786</w:t>
            </w:r>
          </w:p>
        </w:tc>
        <w:tc>
          <w:tcPr>
            <w:tcW w:w="120" w:type="dxa"/>
            <w:vAlign w:val="bottom"/>
          </w:tcPr>
          <w:p>
            <w:pPr>
              <w:spacing w:after="0"/>
              <w:rPr>
                <w:sz w:val="24"/>
                <w:szCs w:val="24"/>
                <w:color w:val="auto"/>
              </w:rPr>
            </w:pPr>
          </w:p>
        </w:tc>
        <w:tc>
          <w:tcPr>
            <w:tcW w:w="1000" w:type="dxa"/>
            <w:vAlign w:val="bottom"/>
          </w:tcPr>
          <w:p>
            <w:pPr>
              <w:jc w:val="center"/>
              <w:ind w:right="80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14,969</w:t>
            </w:r>
          </w:p>
        </w:tc>
        <w:tc>
          <w:tcPr>
            <w:tcW w:w="10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18,755</w:t>
            </w: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(124)</w:t>
            </w:r>
          </w:p>
        </w:tc>
      </w:tr>
      <w:tr>
        <w:trPr>
          <w:trHeight w:val="252"/>
        </w:trPr>
        <w:tc>
          <w:tcPr>
            <w:tcW w:w="39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266"/>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r>
      <w:tr>
        <w:trPr>
          <w:trHeight w:val="254"/>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government-sponsored enterprises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ind w:right="80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17,360</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66"/>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Municipal</w:t>
            </w:r>
          </w:p>
        </w:tc>
        <w:tc>
          <w:tcPr>
            <w:tcW w:w="22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23"/>
                <w:szCs w:val="23"/>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4"/>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Corporate</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66"/>
        </w:trPr>
        <w:tc>
          <w:tcPr>
            <w:tcW w:w="4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2,294</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21,037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23,331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r>
      <w:tr>
        <w:trPr>
          <w:trHeight w:val="237"/>
        </w:trPr>
        <w:tc>
          <w:tcPr>
            <w:tcW w:w="3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right="80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39,259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42,049</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At September 30, 2019, there were three U.S. government-sponsored enterprises securities, two corporate securities, and six mortgage-backed securities that had been in a loss position for greater than twelve months. At December 31, 2018, there were nine U.S. government-sponsored enterprises securities, two corporate securities, and fifteen mortgage-backed securities that had been in a loss position for greater than twelve months. Management believes that all unrealized losses have resulted from changes in the interest rates and current market conditions and not as a result of credit deterioration. Management has the ability and the intent to hold these investment securities until maturity or until they recover in value.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pledged securities at September 30, 2019 and December 31, 2018 are shown below:</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Pledged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color w:val="auto"/>
              </w:rPr>
              <w:t>December 31, 2018</w:t>
            </w:r>
          </w:p>
        </w:tc>
      </w:tr>
      <w:tr>
        <w:trPr>
          <w:trHeight w:val="168"/>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Amortized</w:t>
            </w:r>
          </w:p>
        </w:tc>
        <w:tc>
          <w:tcPr>
            <w:tcW w:w="280" w:type="dxa"/>
            <w:vAlign w:val="bottom"/>
          </w:tcPr>
          <w:p>
            <w:pPr>
              <w:spacing w:after="0"/>
              <w:rPr>
                <w:sz w:val="14"/>
                <w:szCs w:val="14"/>
                <w:color w:val="auto"/>
              </w:rPr>
            </w:pP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Fair</w:t>
            </w:r>
          </w:p>
        </w:tc>
      </w:tr>
      <w:tr>
        <w:trPr>
          <w:trHeight w:val="203"/>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Cost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Value</w:t>
            </w: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16,032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15,862</w:t>
            </w:r>
          </w:p>
        </w:tc>
      </w:tr>
      <w:tr>
        <w:trPr>
          <w:trHeight w:val="269"/>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Federal Home Loan Bank advances</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1,587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1,596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6,713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6,662</w:t>
            </w:r>
          </w:p>
        </w:tc>
      </w:tr>
      <w:tr>
        <w:trPr>
          <w:trHeight w:val="237"/>
        </w:trPr>
        <w:tc>
          <w:tcPr>
            <w:tcW w:w="5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1,587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22,524</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2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Investment Securities (continued)</w:t>
      </w: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Contractual maturities of U.S. government-sponsored enterprises, municipals and corporate securities at September 30, 2019 and December 31, 2018 are shown below. Actual maturities will differ from contractual maturities because borrowers may have the right to call or prepay obligations with or without call or prepayment penalties.</w: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Contractual Maturities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Amortized</w:t>
            </w:r>
          </w:p>
        </w:tc>
        <w:tc>
          <w:tcPr>
            <w:tcW w:w="280" w:type="dxa"/>
            <w:vAlign w:val="bottom"/>
          </w:tcPr>
          <w:p>
            <w:pPr>
              <w:spacing w:after="0"/>
              <w:rPr>
                <w:sz w:val="14"/>
                <w:szCs w:val="14"/>
                <w:color w:val="auto"/>
              </w:rPr>
            </w:pP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203"/>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Cost</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Within one year</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6,000</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5,992</w:t>
            </w:r>
          </w:p>
        </w:tc>
        <w:tc>
          <w:tcPr>
            <w:tcW w:w="10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16,496</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16,377</w:t>
            </w:r>
          </w:p>
        </w:tc>
        <w:tc>
          <w:tcPr>
            <w:tcW w:w="0" w:type="dxa"/>
            <w:vAlign w:val="bottom"/>
          </w:tcPr>
          <w:p>
            <w:pPr>
              <w:spacing w:after="0"/>
              <w:rPr>
                <w:sz w:val="1"/>
                <w:szCs w:val="1"/>
                <w:color w:val="auto"/>
              </w:rPr>
            </w:pPr>
          </w:p>
        </w:tc>
      </w:tr>
      <w:tr>
        <w:trPr>
          <w:trHeight w:val="27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Over one to five years</w:t>
            </w: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69"/>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Over five to ten years</w:t>
            </w:r>
          </w:p>
        </w:tc>
        <w:tc>
          <w:tcPr>
            <w:tcW w:w="2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2,041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27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Over ten years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1,178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Mortgage-backed securities</w:t>
            </w:r>
            <w:r>
              <w:rPr>
                <w:rFonts w:ascii="Arial" w:cs="Arial" w:eastAsia="Arial" w:hAnsi="Arial"/>
                <w:sz w:val="17"/>
                <w:szCs w:val="17"/>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27,879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27,881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26,836</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26,186</w:t>
            </w:r>
          </w:p>
        </w:tc>
        <w:tc>
          <w:tcPr>
            <w:tcW w:w="0" w:type="dxa"/>
            <w:vAlign w:val="bottom"/>
          </w:tcPr>
          <w:p>
            <w:pPr>
              <w:spacing w:after="0"/>
              <w:rPr>
                <w:sz w:val="1"/>
                <w:szCs w:val="1"/>
                <w:color w:val="auto"/>
              </w:rPr>
            </w:pPr>
          </w:p>
        </w:tc>
      </w:tr>
      <w:tr>
        <w:trPr>
          <w:trHeight w:val="236"/>
        </w:trPr>
        <w:tc>
          <w:tcPr>
            <w:tcW w:w="5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37,057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37,073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47,757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46,932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line="210" w:lineRule="auto"/>
        <w:tabs>
          <w:tab w:leader="none" w:pos="34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Mortgage-backed securities are due in monthly installments.</w:t>
      </w: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26"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w:t>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classifications of loans as are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Loan Categories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December 31, 2018</w:t>
            </w:r>
          </w:p>
        </w:tc>
      </w:tr>
      <w:tr>
        <w:trPr>
          <w:trHeight w:val="257"/>
        </w:trPr>
        <w:tc>
          <w:tcPr>
            <w:tcW w:w="7180" w:type="dxa"/>
            <w:vAlign w:val="bottom"/>
            <w:gridSpan w:val="2"/>
          </w:tcPr>
          <w:p>
            <w:pPr>
              <w:ind w:left="40"/>
              <w:spacing w:after="0"/>
              <w:rPr>
                <w:sz w:val="20"/>
                <w:szCs w:val="20"/>
                <w:color w:val="auto"/>
              </w:rPr>
            </w:pPr>
            <w:r>
              <w:rPr>
                <w:rFonts w:ascii="Arial" w:cs="Arial" w:eastAsia="Arial" w:hAnsi="Arial"/>
                <w:sz w:val="16"/>
                <w:szCs w:val="16"/>
                <w:color w:val="auto"/>
              </w:rPr>
              <w:t>Real estate</w:t>
            </w:r>
          </w:p>
        </w:tc>
        <w:tc>
          <w:tcPr>
            <w:tcW w:w="2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78"/>
        </w:trPr>
        <w:tc>
          <w:tcPr>
            <w:tcW w:w="7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8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443,961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407,844</w:t>
            </w:r>
          </w:p>
        </w:tc>
      </w:tr>
      <w:tr>
        <w:trPr>
          <w:trHeight w:val="266"/>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3"/>
                <w:szCs w:val="23"/>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b w:val="1"/>
                <w:bCs w:val="1"/>
                <w:color w:val="auto"/>
              </w:rPr>
              <w:t>339,448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20"/>
              <w:spacing w:after="0"/>
              <w:rPr>
                <w:sz w:val="20"/>
                <w:szCs w:val="20"/>
                <w:color w:val="auto"/>
              </w:rPr>
            </w:pPr>
            <w:r>
              <w:rPr>
                <w:rFonts w:ascii="Arial" w:cs="Arial" w:eastAsia="Arial" w:hAnsi="Arial"/>
                <w:sz w:val="16"/>
                <w:szCs w:val="16"/>
                <w:color w:val="auto"/>
              </w:rPr>
              <w:t>278,691</w:t>
            </w:r>
          </w:p>
        </w:tc>
      </w:tr>
      <w:tr>
        <w:trPr>
          <w:trHeight w:val="274"/>
        </w:trPr>
        <w:tc>
          <w:tcPr>
            <w:tcW w:w="7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182,224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157,586</w:t>
            </w:r>
          </w:p>
        </w:tc>
      </w:tr>
      <w:tr>
        <w:trPr>
          <w:trHeight w:val="266"/>
        </w:trPr>
        <w:tc>
          <w:tcPr>
            <w:tcW w:w="718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3"/>
                <w:szCs w:val="23"/>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b w:val="1"/>
                <w:bCs w:val="1"/>
                <w:color w:val="auto"/>
              </w:rPr>
              <w:t>132,935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20"/>
              <w:spacing w:after="0"/>
              <w:rPr>
                <w:sz w:val="20"/>
                <w:szCs w:val="20"/>
                <w:color w:val="auto"/>
              </w:rPr>
            </w:pPr>
            <w:r>
              <w:rPr>
                <w:rFonts w:ascii="Arial" w:cs="Arial" w:eastAsia="Arial" w:hAnsi="Arial"/>
                <w:sz w:val="16"/>
                <w:szCs w:val="16"/>
                <w:color w:val="auto"/>
              </w:rPr>
              <w:t>122,264</w:t>
            </w:r>
          </w:p>
        </w:tc>
      </w:tr>
      <w:tr>
        <w:trPr>
          <w:trHeight w:val="274"/>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44,058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34,673</w:t>
            </w:r>
          </w:p>
        </w:tc>
      </w:tr>
      <w:tr>
        <w:trPr>
          <w:trHeight w:val="266"/>
        </w:trPr>
        <w:tc>
          <w:tcPr>
            <w:tcW w:w="71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consumer</w:t>
            </w:r>
          </w:p>
        </w:tc>
        <w:tc>
          <w:tcPr>
            <w:tcW w:w="2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1,148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w:t>
            </w:r>
          </w:p>
        </w:tc>
      </w:tr>
      <w:tr>
        <w:trPr>
          <w:trHeight w:val="254"/>
        </w:trPr>
        <w:tc>
          <w:tcPr>
            <w:tcW w:w="7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1,143,774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1,002,260</w:t>
            </w:r>
          </w:p>
        </w:tc>
      </w:tr>
      <w:tr>
        <w:trPr>
          <w:trHeight w:val="266"/>
        </w:trPr>
        <w:tc>
          <w:tcPr>
            <w:tcW w:w="7180" w:type="dxa"/>
            <w:vAlign w:val="bottom"/>
            <w:gridSpan w:val="2"/>
          </w:tcPr>
          <w:p>
            <w:pPr>
              <w:ind w:left="40"/>
              <w:spacing w:after="0"/>
              <w:rPr>
                <w:sz w:val="20"/>
                <w:szCs w:val="20"/>
                <w:color w:val="auto"/>
              </w:rPr>
            </w:pPr>
            <w:r>
              <w:rPr>
                <w:rFonts w:ascii="Arial" w:cs="Arial" w:eastAsia="Arial" w:hAnsi="Arial"/>
                <w:sz w:val="16"/>
                <w:szCs w:val="16"/>
                <w:color w:val="auto"/>
              </w:rPr>
              <w:t>Deferred origination fees, net</w:t>
            </w: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(3,464)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(1,992)</w:t>
            </w:r>
          </w:p>
        </w:tc>
      </w:tr>
      <w:tr>
        <w:trPr>
          <w:trHeight w:val="270"/>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Allowance for loan losses</w:t>
            </w:r>
          </w:p>
        </w:tc>
        <w:tc>
          <w:tcPr>
            <w:tcW w:w="2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(12,808)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(11,308)</w:t>
            </w:r>
          </w:p>
        </w:tc>
      </w:tr>
      <w:tr>
        <w:trPr>
          <w:trHeight w:val="239"/>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Loans receivable, net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1,127,502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988,960</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Company makes loans to customers located primarily in the Washington, D.C. and Baltimore metropolitan areas. Although the loan portfolio is diversified, its performance is influenced by the regional economy. The Company’s loan categories are described below.</w:t>
      </w:r>
    </w:p>
    <w:p>
      <w:pPr>
        <w:spacing w:after="0" w:line="14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secured by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 owned residences. Residential loans are originated through the commercial sales teams and Capital Bank Home Loans division. Residential loans also include home equity lines of credit. One-to-four family residential loans have a relatively small balance spread between many individual borrowers compared to our other loan categories.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The required minimum debt service coverage ratio is 1.15. Residential real estate loans have represented a stable and growing portion of our loan portfolio. The emphasis will continue to be on residential real estate lending.</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Commercial real estate loans are originated on owner-occupied and non-owner-occupied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loans may be more adversely affected by conditions in the real estate markets or in the general economy. Commercial loans that are secured by owner-occupied commercial real estate and primarily collateralized by operating cash flows are also included in this category of loans. As of September 30, 2019, there were approximately $171.7 million of owner-occupied commercial real estate loans, representing approximately 51% of the commercial real estate portfolio. Commercial real estate loan terms are generally extended for 10 years or less and amortize generally over 25 years or less. The interest rates on commercial real estate loans have initial fixed rate terms that adjust typically at 5 years and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located primarily throughout the Company’s markets and are generally diverse in terms of type. This diversity helps reduce the exposure to adverse economic events that affect any single industry.</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Construction loans are offered within the Company’s Washington, D.C. and Baltimore, Maryland metropolitan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areas to builders primarily for the construction of single-family homes and condominium and townhouse conversions or renovations and, to a lesser extent, to individuals.</w:t>
      </w: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26"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Construction loans typically have terms of 12 to 18 months with the goal of transitioning the borrowers to permanent financing or re-underwriting and selling into the secondary market through Capital Bank Home Loans. According to underwriting standards, the ratio of loan principal to collateral value, as established by an independent appraisal, cannot exceed 75% for investor-owned and 80% for owner-occupied properties. On a case by case basis, exceptions to these limits may be granted with appropriate credit mitigants. Semi-annual stress testing of the construction loan portfolio is conducted, and underlying real estate conditions are closely monitored as well as the borrower’s trends of sales valuations as compared to underwriting valuations as part of the ongoing risk management efforts. The borrowers’ progress in construction buildout is monitored.</w:t>
      </w:r>
    </w:p>
    <w:p>
      <w:pPr>
        <w:spacing w:after="0" w:line="17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Commercial Business Loans</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and personal guaranties from the borrower or other principal are generally obtained.</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Our OpenSky® credit card division provides credit cards on a nationwide basis to under-banked populations and those</w:t>
      </w:r>
      <w:r>
        <w:rPr>
          <w:rFonts w:ascii="Arial" w:cs="Arial" w:eastAsia="Arial" w:hAnsi="Arial"/>
          <w:sz w:val="18"/>
          <w:szCs w:val="18"/>
          <w:i w:val="1"/>
          <w:iCs w:val="1"/>
          <w:color w:val="auto"/>
        </w:rPr>
        <w:t xml:space="preserve"> </w:t>
      </w:r>
      <w:r>
        <w:rPr>
          <w:rFonts w:ascii="Arial" w:cs="Arial" w:eastAsia="Arial" w:hAnsi="Arial"/>
          <w:sz w:val="18"/>
          <w:szCs w:val="18"/>
          <w:color w:val="auto"/>
        </w:rPr>
        <w:t>looking to rebuild their credit scores through a fully digital and mobile platform. Substantially all of the lines of credit are secured by a noninterest bearing demand account at the Bank in an amount equal to the full credit limit of the credit card. In addition, using a proprietary scoring model, which considers credit score and repayment history (typically a minimum of six months of on-time repayments, but ultimately determined on a case-by-case basis), the Bank has recently begun to offer certain customers an unsecured line in excess of their secured line of credit. Approximately $41.4 million and $32.5 million of the credit card balances were secured by savings deposits held by the Company as of September 30, 2019 and December 31, 2018, respectively.</w:t>
      </w:r>
    </w:p>
    <w:p>
      <w:pPr>
        <w:spacing w:after="0" w:line="17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limited extent and typically as an accommodation to existing customers, personal consumer loans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loans, car loans or boat loans are offered.</w:t>
      </w:r>
    </w:p>
    <w:p>
      <w:pPr>
        <w:spacing w:after="0" w:line="1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 recorded as an accretable discount, which will be recognized in interest income over the terms of the related loans. For loans considered to be impaired, the difference between the contractually required payments and expected cash flows was recorded as a nonaccretable discount. Generally, the nonaccretable discount will be recognized after collection of the discounted fair value of the related loan. The remaining nonaccretable discounts on loans acquired were $345 thousand and $354 thousand as of September 30, 2019 and December 31, 2018, respectively. Loans with nonaccretable discounts had a carrying value of approximately $1.2 million as of both September 30, 2019 and December 31, 2018.</w:t>
      </w: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26" w:right="239" w:bottom="1440" w:gutter="0" w:footer="0" w:header="0"/>
        </w:sectPr>
      </w:pPr>
    </w:p>
    <w:bookmarkStart w:id="22" w:name="page23"/>
    <w:bookmarkEnd w:id="22"/>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Accretable discounts on loans acquired is summarized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Accretable Discounts on Loans Acquired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September 30, 2018</w:t>
            </w:r>
          </w:p>
        </w:tc>
        <w:tc>
          <w:tcPr>
            <w:tcW w:w="120" w:type="dxa"/>
            <w:vAlign w:val="bottom"/>
          </w:tcPr>
          <w:p>
            <w:pPr>
              <w:spacing w:after="0"/>
              <w:rPr>
                <w:sz w:val="22"/>
                <w:szCs w:val="22"/>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2"/>
                <w:szCs w:val="22"/>
                <w:color w:val="auto"/>
              </w:rPr>
            </w:pPr>
          </w:p>
        </w:tc>
        <w:tc>
          <w:tcPr>
            <w:tcW w:w="1460" w:type="dxa"/>
            <w:vAlign w:val="bottom"/>
          </w:tcPr>
          <w:p>
            <w:pPr>
              <w:jc w:val="right"/>
              <w:ind w:right="61"/>
              <w:spacing w:after="0"/>
              <w:rPr>
                <w:sz w:val="20"/>
                <w:szCs w:val="20"/>
                <w:color w:val="auto"/>
              </w:rPr>
            </w:pPr>
            <w:r>
              <w:rPr>
                <w:rFonts w:ascii="Arial" w:cs="Arial" w:eastAsia="Arial" w:hAnsi="Arial"/>
                <w:sz w:val="14"/>
                <w:szCs w:val="14"/>
                <w:color w:val="auto"/>
              </w:rPr>
              <w:t>September 30, 2018</w:t>
            </w:r>
          </w:p>
        </w:tc>
      </w:tr>
      <w:tr>
        <w:trPr>
          <w:trHeight w:val="251"/>
        </w:trPr>
        <w:tc>
          <w:tcPr>
            <w:tcW w:w="47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Accretable discount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424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519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438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543</w:t>
            </w:r>
          </w:p>
        </w:tc>
      </w:tr>
      <w:tr>
        <w:trPr>
          <w:trHeight w:val="266"/>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Accretion and payoff of loans</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changes, net</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9"/>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Accretable discount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433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433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467</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following tables set forth the changes in the allowance for loan losses and an allocation of the allowance for loan losses by class for the three and nine months ended September 30, 2019 and September 30, 2018.</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70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2"/>
                <w:szCs w:val="1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Beginning</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86"/>
        </w:trPr>
        <w:tc>
          <w:tcPr>
            <w:tcW w:w="4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September 30, 2019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Loan Losses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Charge-Offs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Recoveries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61"/>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4,176</w:t>
            </w:r>
          </w:p>
        </w:tc>
        <w:tc>
          <w:tcPr>
            <w:tcW w:w="0" w:type="dxa"/>
            <w:vAlign w:val="bottom"/>
          </w:tcPr>
          <w:p>
            <w:pPr>
              <w:spacing w:after="0"/>
              <w:rPr>
                <w:sz w:val="1"/>
                <w:szCs w:val="1"/>
                <w:color w:val="auto"/>
              </w:rPr>
            </w:pPr>
          </w:p>
        </w:tc>
      </w:tr>
      <w:tr>
        <w:trPr>
          <w:trHeight w:val="269"/>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3,116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3,426</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2,377</w:t>
            </w:r>
          </w:p>
        </w:tc>
        <w:tc>
          <w:tcPr>
            <w:tcW w:w="0" w:type="dxa"/>
            <w:vAlign w:val="bottom"/>
          </w:tcPr>
          <w:p>
            <w:pPr>
              <w:spacing w:after="0"/>
              <w:rPr>
                <w:sz w:val="1"/>
                <w:szCs w:val="1"/>
                <w:color w:val="auto"/>
              </w:rPr>
            </w:pPr>
          </w:p>
        </w:tc>
      </w:tr>
      <w:tr>
        <w:trPr>
          <w:trHeight w:val="269"/>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1,472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1,558</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1,263</w:t>
            </w:r>
          </w:p>
        </w:tc>
        <w:tc>
          <w:tcPr>
            <w:tcW w:w="0" w:type="dxa"/>
            <w:vAlign w:val="bottom"/>
          </w:tcPr>
          <w:p>
            <w:pPr>
              <w:spacing w:after="0"/>
              <w:rPr>
                <w:sz w:val="1"/>
                <w:szCs w:val="1"/>
                <w:color w:val="auto"/>
              </w:rPr>
            </w:pPr>
          </w:p>
        </w:tc>
      </w:tr>
      <w:tr>
        <w:trPr>
          <w:trHeight w:val="269"/>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11,913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12,808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4,176</w:t>
            </w:r>
          </w:p>
        </w:tc>
        <w:tc>
          <w:tcPr>
            <w:tcW w:w="0" w:type="dxa"/>
            <w:vAlign w:val="bottom"/>
          </w:tcPr>
          <w:p>
            <w:pPr>
              <w:spacing w:after="0"/>
              <w:rPr>
                <w:sz w:val="1"/>
                <w:szCs w:val="1"/>
                <w:color w:val="auto"/>
              </w:rPr>
            </w:pPr>
          </w:p>
        </w:tc>
      </w:tr>
      <w:tr>
        <w:trPr>
          <w:trHeight w:val="269"/>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3,003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413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3,426</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2,377</w:t>
            </w:r>
          </w:p>
        </w:tc>
        <w:tc>
          <w:tcPr>
            <w:tcW w:w="0" w:type="dxa"/>
            <w:vAlign w:val="bottom"/>
          </w:tcPr>
          <w:p>
            <w:pPr>
              <w:spacing w:after="0"/>
              <w:rPr>
                <w:sz w:val="1"/>
                <w:szCs w:val="1"/>
                <w:color w:val="auto"/>
              </w:rPr>
            </w:pPr>
          </w:p>
        </w:tc>
      </w:tr>
      <w:tr>
        <w:trPr>
          <w:trHeight w:val="269"/>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1,578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1,558</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1,263</w:t>
            </w:r>
          </w:p>
        </w:tc>
        <w:tc>
          <w:tcPr>
            <w:tcW w:w="0" w:type="dxa"/>
            <w:vAlign w:val="bottom"/>
          </w:tcPr>
          <w:p>
            <w:pPr>
              <w:spacing w:after="0"/>
              <w:rPr>
                <w:sz w:val="1"/>
                <w:szCs w:val="1"/>
                <w:color w:val="auto"/>
              </w:rPr>
            </w:pPr>
          </w:p>
        </w:tc>
      </w:tr>
      <w:tr>
        <w:trPr>
          <w:trHeight w:val="269"/>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11,308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12,808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26" w:right="239" w:bottom="1440" w:gutter="0" w:footer="0" w:header="0"/>
        </w:sectPr>
      </w:pPr>
    </w:p>
    <w:bookmarkStart w:id="23" w:name="page24"/>
    <w:bookmarkEnd w:id="23"/>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70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color w:val="auto"/>
              </w:rPr>
              <w:t>Beginning</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color w:val="auto"/>
              </w:rPr>
              <w:t>Provision for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color w:val="auto"/>
              </w:rPr>
              <w:t>Ending</w:t>
            </w:r>
          </w:p>
        </w:tc>
        <w:tc>
          <w:tcPr>
            <w:tcW w:w="0" w:type="dxa"/>
            <w:vAlign w:val="bottom"/>
          </w:tcPr>
          <w:p>
            <w:pPr>
              <w:spacing w:after="0"/>
              <w:rPr>
                <w:sz w:val="1"/>
                <w:szCs w:val="1"/>
                <w:color w:val="auto"/>
              </w:rPr>
            </w:pPr>
          </w:p>
        </w:tc>
      </w:tr>
      <w:tr>
        <w:trPr>
          <w:trHeight w:val="88"/>
        </w:trPr>
        <w:tc>
          <w:tcPr>
            <w:tcW w:w="4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Three Months Ended September 30, 2018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Balance</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Loan Losses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Charge-Offs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Recoveries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3,376</w:t>
            </w:r>
          </w:p>
        </w:tc>
        <w:tc>
          <w:tcPr>
            <w:tcW w:w="0" w:type="dxa"/>
            <w:vAlign w:val="bottom"/>
          </w:tcPr>
          <w:p>
            <w:pPr>
              <w:spacing w:after="0"/>
              <w:rPr>
                <w:sz w:val="1"/>
                <w:szCs w:val="1"/>
                <w:color w:val="auto"/>
              </w:rPr>
            </w:pPr>
          </w:p>
        </w:tc>
      </w:tr>
      <w:tr>
        <w:trPr>
          <w:trHeight w:val="266"/>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2,948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2,981</w:t>
            </w: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1,821</w:t>
            </w:r>
          </w:p>
        </w:tc>
        <w:tc>
          <w:tcPr>
            <w:tcW w:w="0" w:type="dxa"/>
            <w:vAlign w:val="bottom"/>
          </w:tcPr>
          <w:p>
            <w:pPr>
              <w:spacing w:after="0"/>
              <w:rPr>
                <w:sz w:val="1"/>
                <w:szCs w:val="1"/>
                <w:color w:val="auto"/>
              </w:rPr>
            </w:pPr>
          </w:p>
        </w:tc>
      </w:tr>
      <w:tr>
        <w:trPr>
          <w:trHeight w:val="266"/>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1,651</w:t>
            </w: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266"/>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Other consumer</w:t>
            </w:r>
          </w:p>
        </w:tc>
        <w:tc>
          <w:tcPr>
            <w:tcW w:w="22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10,892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70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Nine Months Ended September 30, 2018</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3,376</w:t>
            </w:r>
          </w:p>
        </w:tc>
        <w:tc>
          <w:tcPr>
            <w:tcW w:w="0" w:type="dxa"/>
            <w:vAlign w:val="bottom"/>
          </w:tcPr>
          <w:p>
            <w:pPr>
              <w:spacing w:after="0"/>
              <w:rPr>
                <w:sz w:val="1"/>
                <w:szCs w:val="1"/>
                <w:color w:val="auto"/>
              </w:rPr>
            </w:pPr>
          </w:p>
        </w:tc>
      </w:tr>
      <w:tr>
        <w:trPr>
          <w:trHeight w:val="266"/>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2,860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2,981</w:t>
            </w: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1,821</w:t>
            </w:r>
          </w:p>
        </w:tc>
        <w:tc>
          <w:tcPr>
            <w:tcW w:w="0" w:type="dxa"/>
            <w:vAlign w:val="bottom"/>
          </w:tcPr>
          <w:p>
            <w:pPr>
              <w:spacing w:after="0"/>
              <w:rPr>
                <w:sz w:val="1"/>
                <w:szCs w:val="1"/>
                <w:color w:val="auto"/>
              </w:rPr>
            </w:pPr>
          </w:p>
        </w:tc>
      </w:tr>
      <w:tr>
        <w:trPr>
          <w:trHeight w:val="266"/>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1,651</w:t>
            </w: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266"/>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Other consumer</w:t>
            </w:r>
          </w:p>
        </w:tc>
        <w:tc>
          <w:tcPr>
            <w:tcW w:w="22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10,892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26" w:right="239" w:bottom="1440" w:gutter="0" w:footer="0" w:header="0"/>
        </w:sectPr>
      </w:pPr>
    </w:p>
    <w:bookmarkStart w:id="24" w:name="page25"/>
    <w:bookmarkEnd w:id="2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tables present, by class and reserving methodology, the allocation of the allowance for loan losses and the gross investment in loans. 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 Composition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6"/>
              </w:rPr>
              <w:t>Allowance for Loan Losses</w:t>
            </w:r>
          </w:p>
        </w:tc>
        <w:tc>
          <w:tcPr>
            <w:tcW w:w="200" w:type="dxa"/>
            <w:vAlign w:val="bottom"/>
          </w:tcPr>
          <w:p>
            <w:pPr>
              <w:spacing w:after="0"/>
              <w:rPr>
                <w:sz w:val="13"/>
                <w:szCs w:val="13"/>
                <w:color w:val="auto"/>
              </w:rPr>
            </w:pPr>
          </w:p>
        </w:tc>
        <w:tc>
          <w:tcPr>
            <w:tcW w:w="24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Outstanding Loan</w:t>
            </w:r>
          </w:p>
        </w:tc>
      </w:tr>
      <w:tr>
        <w:trPr>
          <w:trHeight w:val="135"/>
        </w:trPr>
        <w:tc>
          <w:tcPr>
            <w:tcW w:w="6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40" w:type="dxa"/>
            <w:vAlign w:val="bottom"/>
            <w:gridSpan w:val="5"/>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Ending Balance Evaluated</w:t>
            </w:r>
          </w:p>
        </w:tc>
        <w:tc>
          <w:tcPr>
            <w:tcW w:w="200" w:type="dxa"/>
            <w:vAlign w:val="bottom"/>
          </w:tcPr>
          <w:p>
            <w:pPr>
              <w:spacing w:after="0"/>
              <w:rPr>
                <w:sz w:val="11"/>
                <w:szCs w:val="11"/>
                <w:color w:val="auto"/>
              </w:rPr>
            </w:pPr>
          </w:p>
        </w:tc>
        <w:tc>
          <w:tcPr>
            <w:tcW w:w="242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Balances Evaluated</w:t>
            </w:r>
          </w:p>
        </w:tc>
      </w:tr>
      <w:tr>
        <w:trPr>
          <w:trHeight w:val="180"/>
        </w:trPr>
        <w:tc>
          <w:tcPr>
            <w:tcW w:w="60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8"/>
              </w:rPr>
              <w:t>for Impairment: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6"/>
              </w:rPr>
              <w:t>for Impairment:</w:t>
            </w:r>
          </w:p>
        </w:tc>
      </w:tr>
      <w:tr>
        <w:trPr>
          <w:trHeight w:val="269"/>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3"/>
                <w:szCs w:val="13"/>
                <w:b w:val="1"/>
                <w:bCs w:val="1"/>
                <w:color w:val="auto"/>
              </w:rPr>
              <w:t>Individually</w:t>
            </w: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Collectively</w:t>
            </w: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Individually</w:t>
            </w:r>
          </w:p>
        </w:tc>
        <w:tc>
          <w:tcPr>
            <w:tcW w:w="200" w:type="dxa"/>
            <w:vAlign w:val="bottom"/>
          </w:tcPr>
          <w:p>
            <w:pPr>
              <w:spacing w:after="0"/>
              <w:rPr>
                <w:sz w:val="23"/>
                <w:szCs w:val="23"/>
                <w:color w:val="auto"/>
              </w:rPr>
            </w:pPr>
          </w:p>
        </w:tc>
        <w:tc>
          <w:tcPr>
            <w:tcW w:w="1060" w:type="dxa"/>
            <w:vAlign w:val="bottom"/>
          </w:tcPr>
          <w:p>
            <w:pPr>
              <w:jc w:val="right"/>
              <w:ind w:right="200"/>
              <w:spacing w:after="0"/>
              <w:rPr>
                <w:sz w:val="20"/>
                <w:szCs w:val="20"/>
                <w:color w:val="auto"/>
              </w:rPr>
            </w:pPr>
            <w:r>
              <w:rPr>
                <w:rFonts w:ascii="Arial" w:cs="Arial" w:eastAsia="Arial" w:hAnsi="Arial"/>
                <w:sz w:val="13"/>
                <w:szCs w:val="13"/>
                <w:b w:val="1"/>
                <w:bCs w:val="1"/>
                <w:color w:val="auto"/>
              </w:rPr>
              <w:t>Collectively</w:t>
            </w:r>
          </w:p>
        </w:tc>
      </w:tr>
      <w:tr>
        <w:trPr>
          <w:trHeight w:val="261"/>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74"/>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4,176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2,193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441,768</w:t>
            </w:r>
          </w:p>
        </w:tc>
      </w:tr>
      <w:tr>
        <w:trPr>
          <w:trHeight w:val="266"/>
        </w:trPr>
        <w:tc>
          <w:tcPr>
            <w:tcW w:w="6060" w:type="dxa"/>
            <w:vAlign w:val="bottom"/>
          </w:tcPr>
          <w:p>
            <w:pPr>
              <w:ind w:left="1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3,426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1,036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338,412</w:t>
            </w:r>
          </w:p>
        </w:tc>
      </w:tr>
      <w:tr>
        <w:trPr>
          <w:trHeight w:val="274"/>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2,377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2,100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180,124</w:t>
            </w:r>
          </w:p>
        </w:tc>
      </w:tr>
      <w:tr>
        <w:trPr>
          <w:trHeight w:val="266"/>
        </w:trPr>
        <w:tc>
          <w:tcPr>
            <w:tcW w:w="606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b w:val="1"/>
                <w:bCs w:val="1"/>
                <w:color w:val="auto"/>
              </w:rPr>
              <w:t>258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1,300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842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132,093</w:t>
            </w:r>
          </w:p>
        </w:tc>
      </w:tr>
      <w:tr>
        <w:trPr>
          <w:trHeight w:val="274"/>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44,058</w:t>
            </w:r>
          </w:p>
        </w:tc>
      </w:tr>
      <w:tr>
        <w:trPr>
          <w:trHeight w:val="266"/>
        </w:trPr>
        <w:tc>
          <w:tcPr>
            <w:tcW w:w="6060" w:type="dxa"/>
            <w:vAlign w:val="bottom"/>
          </w:tcPr>
          <w:p>
            <w:pPr>
              <w:ind w:left="40"/>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1,148</w:t>
            </w:r>
          </w:p>
        </w:tc>
      </w:tr>
      <w:tr>
        <w:trPr>
          <w:trHeight w:val="237"/>
        </w:trPr>
        <w:tc>
          <w:tcPr>
            <w:tcW w:w="60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258</w:t>
            </w: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12,550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6,171</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1,137,603</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3"/>
        </w:trPr>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66"/>
        </w:trPr>
        <w:tc>
          <w:tcPr>
            <w:tcW w:w="60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December 31, 2018</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4"/>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405,724</w:t>
            </w:r>
          </w:p>
        </w:tc>
      </w:tr>
      <w:tr>
        <w:trPr>
          <w:trHeight w:val="266"/>
        </w:trPr>
        <w:tc>
          <w:tcPr>
            <w:tcW w:w="6060" w:type="dxa"/>
            <w:vAlign w:val="bottom"/>
          </w:tcPr>
          <w:p>
            <w:pPr>
              <w:ind w:left="1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277,205</w:t>
            </w:r>
          </w:p>
        </w:tc>
      </w:tr>
      <w:tr>
        <w:trPr>
          <w:trHeight w:val="274"/>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157,586</w:t>
            </w:r>
          </w:p>
        </w:tc>
      </w:tr>
      <w:tr>
        <w:trPr>
          <w:trHeight w:val="266"/>
        </w:trPr>
        <w:tc>
          <w:tcPr>
            <w:tcW w:w="606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121,515</w:t>
            </w:r>
          </w:p>
        </w:tc>
      </w:tr>
      <w:tr>
        <w:trPr>
          <w:trHeight w:val="274"/>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34,673</w:t>
            </w:r>
          </w:p>
        </w:tc>
      </w:tr>
      <w:tr>
        <w:trPr>
          <w:trHeight w:val="266"/>
        </w:trPr>
        <w:tc>
          <w:tcPr>
            <w:tcW w:w="6060" w:type="dxa"/>
            <w:vAlign w:val="bottom"/>
          </w:tcPr>
          <w:p>
            <w:pPr>
              <w:ind w:left="40"/>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1,202</w:t>
            </w:r>
          </w:p>
        </w:tc>
      </w:tr>
      <w:tr>
        <w:trPr>
          <w:trHeight w:val="234"/>
        </w:trPr>
        <w:tc>
          <w:tcPr>
            <w:tcW w:w="60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997,905</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26" w:right="239" w:bottom="1440" w:gutter="0" w:footer="0" w:header="0"/>
        </w:sectPr>
      </w:pPr>
    </w:p>
    <w:bookmarkStart w:id="25" w:name="page26"/>
    <w:bookmarkEnd w:id="2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Past due loans, segregated by age and class of loans, as of September 30, 2019 and December 31, 2018 were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Loans Past Due</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9"/>
              </w:rPr>
              <w:t>Loans</w:t>
            </w: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Loans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Accruing</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90 or More</w:t>
            </w:r>
          </w:p>
        </w:tc>
        <w:tc>
          <w:tcPr>
            <w:tcW w:w="14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 Past</w:t>
            </w:r>
          </w:p>
        </w:tc>
        <w:tc>
          <w:tcPr>
            <w:tcW w:w="22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Current</w:t>
            </w:r>
          </w:p>
        </w:tc>
        <w:tc>
          <w:tcPr>
            <w:tcW w:w="240" w:type="dxa"/>
            <w:vAlign w:val="bottom"/>
          </w:tcPr>
          <w:p>
            <w:pPr>
              <w:spacing w:after="0"/>
              <w:rPr>
                <w:sz w:val="11"/>
                <w:szCs w:val="11"/>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Loans 90 or</w:t>
            </w:r>
          </w:p>
        </w:tc>
        <w:tc>
          <w:tcPr>
            <w:tcW w:w="160" w:type="dxa"/>
            <w:vAlign w:val="bottom"/>
          </w:tcPr>
          <w:p>
            <w:pPr>
              <w:spacing w:after="0"/>
              <w:rPr>
                <w:sz w:val="11"/>
                <w:szCs w:val="11"/>
                <w:color w:val="auto"/>
              </w:rPr>
            </w:pPr>
          </w:p>
        </w:tc>
        <w:tc>
          <w:tcPr>
            <w:tcW w:w="96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w w:val="99"/>
              </w:rPr>
              <w:t>Non accrual</w:t>
            </w: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30-89 Days</w:t>
            </w: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Days</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More Days</w:t>
            </w: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6"/>
              </w:rPr>
              <w:t>Past Due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6"/>
              </w:rPr>
              <w:t>Past Due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9"/>
              </w:rPr>
              <w:t>Due Loans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Loans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Loans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6"/>
              </w:rPr>
              <w:t>Past Due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Loans</w:t>
            </w:r>
          </w:p>
        </w:tc>
        <w:tc>
          <w:tcPr>
            <w:tcW w:w="0" w:type="dxa"/>
            <w:vAlign w:val="bottom"/>
          </w:tcPr>
          <w:p>
            <w:pPr>
              <w:spacing w:after="0"/>
              <w:rPr>
                <w:sz w:val="1"/>
                <w:szCs w:val="1"/>
                <w:color w:val="auto"/>
              </w:rPr>
            </w:pPr>
          </w:p>
        </w:tc>
      </w:tr>
      <w:tr>
        <w:trPr>
          <w:trHeight w:val="261"/>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Real estate</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2,439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1,694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439,828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443,961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2,193</w:t>
            </w:r>
          </w:p>
        </w:tc>
        <w:tc>
          <w:tcPr>
            <w:tcW w:w="0" w:type="dxa"/>
            <w:vAlign w:val="bottom"/>
          </w:tcPr>
          <w:p>
            <w:pPr>
              <w:spacing w:after="0"/>
              <w:rPr>
                <w:sz w:val="1"/>
                <w:szCs w:val="1"/>
                <w:color w:val="auto"/>
              </w:rPr>
            </w:pPr>
          </w:p>
        </w:tc>
      </w:tr>
      <w:tr>
        <w:trPr>
          <w:trHeight w:val="269"/>
        </w:trPr>
        <w:tc>
          <w:tcPr>
            <w:tcW w:w="3200" w:type="dxa"/>
            <w:vAlign w:val="bottom"/>
            <w:gridSpan w:val="2"/>
          </w:tcPr>
          <w:p>
            <w:pPr>
              <w:ind w:left="16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460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b w:val="1"/>
                <w:bCs w:val="1"/>
                <w:color w:val="auto"/>
              </w:rPr>
              <w:t>1,280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1,740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337,708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b w:val="1"/>
                <w:bCs w:val="1"/>
                <w:color w:val="auto"/>
              </w:rPr>
              <w:t>339,448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b w:val="1"/>
                <w:bCs w:val="1"/>
                <w:color w:val="auto"/>
              </w:rPr>
              <w:t>244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1,036</w:t>
            </w:r>
          </w:p>
        </w:tc>
        <w:tc>
          <w:tcPr>
            <w:tcW w:w="0" w:type="dxa"/>
            <w:vAlign w:val="bottom"/>
          </w:tcPr>
          <w:p>
            <w:pPr>
              <w:spacing w:after="0"/>
              <w:rPr>
                <w:sz w:val="1"/>
                <w:szCs w:val="1"/>
                <w:color w:val="auto"/>
              </w:rPr>
            </w:pPr>
          </w:p>
        </w:tc>
      </w:tr>
      <w:tr>
        <w:trPr>
          <w:trHeight w:val="271"/>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Construction</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2,100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2,508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179,716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182,224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2,100</w:t>
            </w:r>
          </w:p>
        </w:tc>
        <w:tc>
          <w:tcPr>
            <w:tcW w:w="0" w:type="dxa"/>
            <w:vAlign w:val="bottom"/>
          </w:tcPr>
          <w:p>
            <w:pPr>
              <w:spacing w:after="0"/>
              <w:rPr>
                <w:sz w:val="1"/>
                <w:szCs w:val="1"/>
                <w:color w:val="auto"/>
              </w:rPr>
            </w:pPr>
          </w:p>
        </w:tc>
      </w:tr>
      <w:tr>
        <w:trPr>
          <w:trHeight w:val="269"/>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b w:val="1"/>
                <w:bCs w:val="1"/>
                <w:color w:val="auto"/>
              </w:rPr>
              <w:t>717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730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132,205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b w:val="1"/>
                <w:bCs w:val="1"/>
                <w:color w:val="auto"/>
              </w:rPr>
              <w:t>132,935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842</w:t>
            </w:r>
          </w:p>
        </w:tc>
        <w:tc>
          <w:tcPr>
            <w:tcW w:w="0" w:type="dxa"/>
            <w:vAlign w:val="bottom"/>
          </w:tcPr>
          <w:p>
            <w:pPr>
              <w:spacing w:after="0"/>
              <w:rPr>
                <w:sz w:val="1"/>
                <w:szCs w:val="1"/>
                <w:color w:val="auto"/>
              </w:rPr>
            </w:pPr>
          </w:p>
        </w:tc>
      </w:tr>
      <w:tr>
        <w:trPr>
          <w:trHeight w:val="271"/>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5,183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38,875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44,058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9"/>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Other consumer</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1,148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b w:val="1"/>
                <w:bCs w:val="1"/>
                <w:color w:val="auto"/>
              </w:rPr>
              <w:t>1,148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30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8,500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5,794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14,294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1,129,480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1,143,774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371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6,171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646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5,291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6,656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December 31, 2018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Real estate</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2,081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404,693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407,844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2,207</w:t>
            </w:r>
          </w:p>
        </w:tc>
        <w:tc>
          <w:tcPr>
            <w:tcW w:w="0" w:type="dxa"/>
            <w:vAlign w:val="bottom"/>
          </w:tcPr>
          <w:p>
            <w:pPr>
              <w:spacing w:after="0"/>
              <w:rPr>
                <w:sz w:val="1"/>
                <w:szCs w:val="1"/>
                <w:color w:val="auto"/>
              </w:rPr>
            </w:pPr>
          </w:p>
        </w:tc>
      </w:tr>
      <w:tr>
        <w:trPr>
          <w:trHeight w:val="266"/>
        </w:trPr>
        <w:tc>
          <w:tcPr>
            <w:tcW w:w="3200" w:type="dxa"/>
            <w:vAlign w:val="bottom"/>
            <w:gridSpan w:val="2"/>
          </w:tcPr>
          <w:p>
            <w:pPr>
              <w:ind w:left="16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1,746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3,177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275,514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278,691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274"/>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Construction</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157,586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157,586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121,254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122,264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7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30,900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34,673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Other consumer</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1,202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30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7,199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3,912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991,149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1,002,260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8,284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There were $566 thousand and $221 thousand, respectively, of loans secured by one to four family residential properties in the process of foreclosure as of September 30, 2019 and December 31, 2018.</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26" w:right="239" w:bottom="1440" w:gutter="0" w:footer="0" w:header="0"/>
        </w:sectPr>
      </w:pPr>
    </w:p>
    <w:bookmarkStart w:id="26" w:name="page27"/>
    <w:bookmarkEnd w:id="2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Impaired loans were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Impaired Loans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Unpaid</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Recorded</w:t>
            </w:r>
          </w:p>
        </w:tc>
        <w:tc>
          <w:tcPr>
            <w:tcW w:w="2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Recorded</w:t>
            </w: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Total</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70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9"/>
              </w:rPr>
              <w:t>Investment</w:t>
            </w:r>
          </w:p>
        </w:tc>
        <w:tc>
          <w:tcPr>
            <w:tcW w:w="20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9"/>
              </w:rPr>
              <w:t>Investment</w:t>
            </w:r>
          </w:p>
        </w:tc>
        <w:tc>
          <w:tcPr>
            <w:tcW w:w="2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ind w:right="329"/>
              <w:spacing w:after="0"/>
              <w:rPr>
                <w:sz w:val="20"/>
                <w:szCs w:val="20"/>
                <w:color w:val="auto"/>
              </w:rPr>
            </w:pPr>
            <w:r>
              <w:rPr>
                <w:rFonts w:ascii="Arial" w:cs="Arial" w:eastAsia="Arial" w:hAnsi="Arial"/>
                <w:sz w:val="13"/>
                <w:szCs w:val="13"/>
                <w:b w:val="1"/>
                <w:bCs w:val="1"/>
                <w:color w:val="auto"/>
              </w:rPr>
              <w:t>Related</w:t>
            </w:r>
          </w:p>
        </w:tc>
        <w:tc>
          <w:tcPr>
            <w:tcW w:w="0" w:type="dxa"/>
            <w:vAlign w:val="bottom"/>
          </w:tcPr>
          <w:p>
            <w:pPr>
              <w:spacing w:after="0"/>
              <w:rPr>
                <w:sz w:val="1"/>
                <w:szCs w:val="1"/>
                <w:color w:val="auto"/>
              </w:rPr>
            </w:pPr>
          </w:p>
        </w:tc>
      </w:tr>
      <w:tr>
        <w:trPr>
          <w:trHeight w:val="135"/>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With No</w:t>
            </w:r>
          </w:p>
        </w:tc>
        <w:tc>
          <w:tcPr>
            <w:tcW w:w="20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9"/>
              </w:rPr>
              <w:t>With</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Recorded</w:t>
            </w:r>
          </w:p>
        </w:tc>
        <w:tc>
          <w:tcPr>
            <w:tcW w:w="2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9"/>
              </w:rPr>
              <w:t>Allowance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3"/>
                <w:szCs w:val="13"/>
                <w:b w:val="1"/>
                <w:bCs w:val="1"/>
                <w:color w:val="auto"/>
                <w:w w:val="96"/>
              </w:rPr>
              <w:t>Allowance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6"/>
              </w:rPr>
              <w:t>Investment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Allowance</w:t>
            </w:r>
          </w:p>
        </w:tc>
        <w:tc>
          <w:tcPr>
            <w:tcW w:w="0" w:type="dxa"/>
            <w:vAlign w:val="bottom"/>
          </w:tcPr>
          <w:p>
            <w:pPr>
              <w:spacing w:after="0"/>
              <w:rPr>
                <w:sz w:val="1"/>
                <w:szCs w:val="1"/>
                <w:color w:val="auto"/>
              </w:rPr>
            </w:pPr>
          </w:p>
        </w:tc>
      </w:tr>
      <w:tr>
        <w:trPr>
          <w:trHeight w:val="261"/>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2,583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2,193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2,193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9"/>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b w:val="1"/>
                <w:bCs w:val="1"/>
                <w:color w:val="auto"/>
              </w:rPr>
              <w:t>1,135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b w:val="1"/>
                <w:bCs w:val="1"/>
                <w:color w:val="auto"/>
              </w:rPr>
              <w:t>1,036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b w:val="1"/>
                <w:bCs w:val="1"/>
                <w:color w:val="auto"/>
              </w:rPr>
              <w:t>1,036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2,132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2,100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2,100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972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366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476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842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258</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6,822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5,695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6,171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Acquired loans included above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900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568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568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2,411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1,551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856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749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4,850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3,969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4,355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Acquired loans included above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interest recognized on impaired loans: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Interest Recognized on Impaired Loans</w:t>
            </w:r>
          </w:p>
        </w:tc>
        <w:tc>
          <w:tcPr>
            <w:tcW w:w="120" w:type="dxa"/>
            <w:vAlign w:val="bottom"/>
          </w:tcPr>
          <w:p>
            <w:pPr>
              <w:spacing w:after="0"/>
              <w:rPr>
                <w:sz w:val="14"/>
                <w:szCs w:val="14"/>
                <w:color w:val="auto"/>
              </w:rPr>
            </w:pPr>
          </w:p>
        </w:tc>
        <w:tc>
          <w:tcPr>
            <w:tcW w:w="25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w:t>
            </w:r>
          </w:p>
        </w:tc>
        <w:tc>
          <w:tcPr>
            <w:tcW w:w="100" w:type="dxa"/>
            <w:vAlign w:val="bottom"/>
          </w:tcPr>
          <w:p>
            <w:pPr>
              <w:spacing w:after="0"/>
              <w:rPr>
                <w:sz w:val="14"/>
                <w:szCs w:val="14"/>
                <w:color w:val="auto"/>
              </w:rPr>
            </w:pPr>
          </w:p>
        </w:tc>
        <w:tc>
          <w:tcPr>
            <w:tcW w:w="22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Nine Months Ended September</w:t>
            </w:r>
          </w:p>
        </w:tc>
        <w:tc>
          <w:tcPr>
            <w:tcW w:w="0" w:type="dxa"/>
            <w:vAlign w:val="bottom"/>
          </w:tcPr>
          <w:p>
            <w:pPr>
              <w:spacing w:after="0"/>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30, 2019</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30, 2019</w:t>
            </w:r>
          </w:p>
        </w:tc>
        <w:tc>
          <w:tcPr>
            <w:tcW w:w="0" w:type="dxa"/>
            <w:vAlign w:val="bottom"/>
          </w:tcPr>
          <w:p>
            <w:pPr>
              <w:spacing w:after="0"/>
              <w:rPr>
                <w:sz w:val="1"/>
                <w:szCs w:val="1"/>
                <w:color w:val="auto"/>
              </w:rPr>
            </w:pPr>
          </w:p>
        </w:tc>
      </w:tr>
      <w:tr>
        <w:trPr>
          <w:trHeight w:val="133"/>
        </w:trPr>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97"/>
              </w:rPr>
              <w:t>Average</w:t>
            </w:r>
          </w:p>
        </w:tc>
        <w:tc>
          <w:tcPr>
            <w:tcW w:w="160" w:type="dxa"/>
            <w:vAlign w:val="bottom"/>
          </w:tcPr>
          <w:p>
            <w:pPr>
              <w:spacing w:after="0"/>
              <w:rPr>
                <w:sz w:val="11"/>
                <w:szCs w:val="11"/>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7"/>
              </w:rPr>
              <w:t>Interest</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97"/>
              </w:rPr>
              <w:t>Average</w:t>
            </w:r>
          </w:p>
        </w:tc>
        <w:tc>
          <w:tcPr>
            <w:tcW w:w="160" w:type="dxa"/>
            <w:vAlign w:val="bottom"/>
          </w:tcPr>
          <w:p>
            <w:pPr>
              <w:spacing w:after="0"/>
              <w:rPr>
                <w:sz w:val="11"/>
                <w:szCs w:val="11"/>
                <w:color w:val="auto"/>
              </w:rPr>
            </w:pPr>
          </w:p>
        </w:tc>
        <w:tc>
          <w:tcPr>
            <w:tcW w:w="960" w:type="dxa"/>
            <w:vAlign w:val="bottom"/>
            <w:vMerge w:val="restart"/>
          </w:tcPr>
          <w:p>
            <w:pPr>
              <w:jc w:val="right"/>
              <w:ind w:right="271"/>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35"/>
        </w:trPr>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Recorded</w:t>
            </w: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Recorded</w:t>
            </w: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4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Investment</w:t>
            </w: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Recognized</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Investment</w:t>
            </w:r>
          </w:p>
        </w:tc>
        <w:tc>
          <w:tcPr>
            <w:tcW w:w="160" w:type="dxa"/>
            <w:vAlign w:val="bottom"/>
          </w:tcPr>
          <w:p>
            <w:pPr>
              <w:spacing w:after="0"/>
              <w:rPr>
                <w:sz w:val="15"/>
                <w:szCs w:val="15"/>
                <w:color w:val="auto"/>
              </w:rPr>
            </w:pPr>
          </w:p>
        </w:tc>
        <w:tc>
          <w:tcPr>
            <w:tcW w:w="960" w:type="dxa"/>
            <w:vAlign w:val="bottom"/>
          </w:tcPr>
          <w:p>
            <w:pPr>
              <w:jc w:val="right"/>
              <w:ind w:right="131"/>
              <w:spacing w:after="0"/>
              <w:rPr>
                <w:sz w:val="20"/>
                <w:szCs w:val="20"/>
                <w:color w:val="auto"/>
              </w:rPr>
            </w:pPr>
            <w:r>
              <w:rPr>
                <w:rFonts w:ascii="Arial" w:cs="Arial" w:eastAsia="Arial" w:hAnsi="Arial"/>
                <w:sz w:val="13"/>
                <w:szCs w:val="13"/>
                <w:b w:val="1"/>
                <w:bCs w:val="1"/>
                <w:color w:val="auto"/>
              </w:rPr>
              <w:t>Recognized</w:t>
            </w:r>
          </w:p>
        </w:tc>
        <w:tc>
          <w:tcPr>
            <w:tcW w:w="0" w:type="dxa"/>
            <w:vAlign w:val="bottom"/>
          </w:tcPr>
          <w:p>
            <w:pPr>
              <w:spacing w:after="0"/>
              <w:rPr>
                <w:sz w:val="1"/>
                <w:szCs w:val="1"/>
                <w:color w:val="auto"/>
              </w:rPr>
            </w:pPr>
          </w:p>
        </w:tc>
      </w:tr>
      <w:tr>
        <w:trPr>
          <w:trHeight w:val="268"/>
        </w:trPr>
        <w:tc>
          <w:tcPr>
            <w:tcW w:w="6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1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40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71"/>
              <w:spacing w:after="0"/>
              <w:rPr>
                <w:sz w:val="20"/>
                <w:szCs w:val="20"/>
                <w:color w:val="auto"/>
              </w:rPr>
            </w:pPr>
            <w:r>
              <w:rPr>
                <w:rFonts w:ascii="Arial" w:cs="Arial" w:eastAsia="Arial" w:hAnsi="Arial"/>
                <w:sz w:val="14"/>
                <w:szCs w:val="14"/>
                <w:b w:val="1"/>
                <w:bCs w:val="1"/>
                <w:color w:val="auto"/>
              </w:rPr>
              <w:t>2,612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rPr>
              <w:t>8</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rPr>
              <w:t>2,620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1,160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2</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1,161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69"/>
        </w:trPr>
        <w:tc>
          <w:tcPr>
            <w:tcW w:w="640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b w:val="1"/>
                <w:bCs w:val="1"/>
                <w:color w:val="auto"/>
              </w:rPr>
              <w:t>2,133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rPr>
              <w:t>2,132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1,003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8</w:t>
            </w:r>
          </w:p>
        </w:tc>
        <w:tc>
          <w:tcPr>
            <w:tcW w:w="2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1,005</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6,908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18</w:t>
            </w:r>
          </w:p>
        </w:tc>
        <w:tc>
          <w:tcPr>
            <w:tcW w:w="2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6,918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26"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Interest Recognized on Impaired Loans</w:t>
            </w:r>
          </w:p>
        </w:tc>
        <w:tc>
          <w:tcPr>
            <w:tcW w:w="2680" w:type="dxa"/>
            <w:vAlign w:val="bottom"/>
            <w:gridSpan w:val="7"/>
          </w:tcPr>
          <w:p>
            <w:pPr>
              <w:ind w:left="80"/>
              <w:spacing w:after="0"/>
              <w:rPr>
                <w:sz w:val="20"/>
                <w:szCs w:val="20"/>
                <w:color w:val="auto"/>
              </w:rPr>
            </w:pPr>
            <w:r>
              <w:rPr>
                <w:rFonts w:ascii="Arial" w:cs="Arial" w:eastAsia="Arial" w:hAnsi="Arial"/>
                <w:sz w:val="14"/>
                <w:szCs w:val="14"/>
                <w:color w:val="auto"/>
              </w:rPr>
              <w:t>Three Months Ended September 30,</w:t>
            </w:r>
          </w:p>
        </w:tc>
        <w:tc>
          <w:tcPr>
            <w:tcW w:w="2340" w:type="dxa"/>
            <w:vAlign w:val="bottom"/>
            <w:gridSpan w:val="6"/>
          </w:tcPr>
          <w:p>
            <w:pPr>
              <w:jc w:val="right"/>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99"/>
        </w:trPr>
        <w:tc>
          <w:tcPr>
            <w:tcW w:w="64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2018</w:t>
            </w: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w w:val="96"/>
              </w:rPr>
              <w:t>2018</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center"/>
              <w:ind w:right="11"/>
              <w:spacing w:after="0" w:line="138" w:lineRule="exact"/>
              <w:rPr>
                <w:sz w:val="20"/>
                <w:szCs w:val="20"/>
                <w:color w:val="auto"/>
              </w:rPr>
            </w:pPr>
            <w:r>
              <w:rPr>
                <w:rFonts w:ascii="Arial" w:cs="Arial" w:eastAsia="Arial" w:hAnsi="Arial"/>
                <w:sz w:val="13"/>
                <w:szCs w:val="13"/>
                <w:color w:val="auto"/>
                <w:w w:val="94"/>
              </w:rPr>
              <w:t>Average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3"/>
                <w:szCs w:val="13"/>
                <w:color w:val="auto"/>
                <w:w w:val="96"/>
              </w:rPr>
              <w:t>Interest</w:t>
            </w:r>
          </w:p>
        </w:tc>
        <w:tc>
          <w:tcPr>
            <w:tcW w:w="160" w:type="dxa"/>
            <w:vAlign w:val="bottom"/>
          </w:tcPr>
          <w:p>
            <w:pPr>
              <w:spacing w:after="0"/>
              <w:rPr>
                <w:sz w:val="11"/>
                <w:szCs w:val="11"/>
                <w:color w:val="auto"/>
              </w:rPr>
            </w:pPr>
          </w:p>
        </w:tc>
        <w:tc>
          <w:tcPr>
            <w:tcW w:w="860" w:type="dxa"/>
            <w:vAlign w:val="bottom"/>
          </w:tcPr>
          <w:p>
            <w:pPr>
              <w:jc w:val="center"/>
              <w:ind w:right="11"/>
              <w:spacing w:after="0" w:line="138" w:lineRule="exact"/>
              <w:rPr>
                <w:sz w:val="20"/>
                <w:szCs w:val="20"/>
                <w:color w:val="auto"/>
              </w:rPr>
            </w:pPr>
            <w:r>
              <w:rPr>
                <w:rFonts w:ascii="Arial" w:cs="Arial" w:eastAsia="Arial" w:hAnsi="Arial"/>
                <w:sz w:val="13"/>
                <w:szCs w:val="13"/>
                <w:color w:val="auto"/>
                <w:w w:val="94"/>
              </w:rPr>
              <w:t>Average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3"/>
                <w:szCs w:val="13"/>
                <w:color w:val="auto"/>
              </w:rPr>
              <w:t>Interest</w:t>
            </w:r>
          </w:p>
        </w:tc>
        <w:tc>
          <w:tcPr>
            <w:tcW w:w="0" w:type="dxa"/>
            <w:vAlign w:val="bottom"/>
          </w:tcPr>
          <w:p>
            <w:pPr>
              <w:spacing w:after="0"/>
              <w:rPr>
                <w:sz w:val="1"/>
                <w:szCs w:val="1"/>
                <w:color w:val="auto"/>
              </w:rPr>
            </w:pPr>
          </w:p>
        </w:tc>
      </w:tr>
      <w:tr>
        <w:trPr>
          <w:trHeight w:val="135"/>
        </w:trPr>
        <w:tc>
          <w:tcPr>
            <w:tcW w:w="6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center"/>
              <w:ind w:right="11"/>
              <w:spacing w:after="0" w:line="135" w:lineRule="exact"/>
              <w:rPr>
                <w:sz w:val="20"/>
                <w:szCs w:val="20"/>
                <w:color w:val="auto"/>
              </w:rPr>
            </w:pPr>
            <w:r>
              <w:rPr>
                <w:rFonts w:ascii="Arial" w:cs="Arial" w:eastAsia="Arial" w:hAnsi="Arial"/>
                <w:sz w:val="13"/>
                <w:szCs w:val="13"/>
                <w:color w:val="auto"/>
                <w:w w:val="95"/>
              </w:rPr>
              <w:t>Recorded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1"/>
              <w:spacing w:after="0" w:line="135" w:lineRule="exact"/>
              <w:rPr>
                <w:sz w:val="20"/>
                <w:szCs w:val="20"/>
                <w:color w:val="auto"/>
              </w:rPr>
            </w:pPr>
            <w:r>
              <w:rPr>
                <w:rFonts w:ascii="Arial" w:cs="Arial" w:eastAsia="Arial" w:hAnsi="Arial"/>
                <w:sz w:val="13"/>
                <w:szCs w:val="13"/>
                <w:color w:val="auto"/>
                <w:w w:val="95"/>
              </w:rPr>
              <w:t>Recorded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4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5"/>
                <w:szCs w:val="15"/>
                <w:color w:val="auto"/>
              </w:rPr>
            </w:pPr>
          </w:p>
        </w:tc>
        <w:tc>
          <w:tcPr>
            <w:tcW w:w="860" w:type="dxa"/>
            <w:vAlign w:val="bottom"/>
          </w:tcPr>
          <w:p>
            <w:pPr>
              <w:jc w:val="center"/>
              <w:ind w:right="11"/>
              <w:spacing w:after="0"/>
              <w:rPr>
                <w:sz w:val="20"/>
                <w:szCs w:val="20"/>
                <w:color w:val="auto"/>
              </w:rPr>
            </w:pPr>
            <w:r>
              <w:rPr>
                <w:rFonts w:ascii="Arial" w:cs="Arial" w:eastAsia="Arial" w:hAnsi="Arial"/>
                <w:sz w:val="13"/>
                <w:szCs w:val="13"/>
                <w:color w:val="auto"/>
                <w:w w:val="97"/>
              </w:rPr>
              <w:t>Investment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color w:val="auto"/>
                <w:w w:val="96"/>
              </w:rPr>
              <w:t>Recognized</w:t>
            </w:r>
          </w:p>
        </w:tc>
        <w:tc>
          <w:tcPr>
            <w:tcW w:w="160" w:type="dxa"/>
            <w:vAlign w:val="bottom"/>
          </w:tcPr>
          <w:p>
            <w:pPr>
              <w:spacing w:after="0"/>
              <w:rPr>
                <w:sz w:val="15"/>
                <w:szCs w:val="15"/>
                <w:color w:val="auto"/>
              </w:rPr>
            </w:pPr>
          </w:p>
        </w:tc>
        <w:tc>
          <w:tcPr>
            <w:tcW w:w="860" w:type="dxa"/>
            <w:vAlign w:val="bottom"/>
          </w:tcPr>
          <w:p>
            <w:pPr>
              <w:jc w:val="center"/>
              <w:ind w:right="11"/>
              <w:spacing w:after="0"/>
              <w:rPr>
                <w:sz w:val="20"/>
                <w:szCs w:val="20"/>
                <w:color w:val="auto"/>
              </w:rPr>
            </w:pPr>
            <w:r>
              <w:rPr>
                <w:rFonts w:ascii="Arial" w:cs="Arial" w:eastAsia="Arial" w:hAnsi="Arial"/>
                <w:sz w:val="13"/>
                <w:szCs w:val="13"/>
                <w:color w:val="auto"/>
                <w:w w:val="97"/>
              </w:rPr>
              <w:t>Investment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51"/>
              <w:spacing w:after="0"/>
              <w:rPr>
                <w:sz w:val="20"/>
                <w:szCs w:val="20"/>
                <w:color w:val="auto"/>
              </w:rPr>
            </w:pPr>
            <w:r>
              <w:rPr>
                <w:rFonts w:ascii="Arial" w:cs="Arial" w:eastAsia="Arial" w:hAnsi="Arial"/>
                <w:sz w:val="13"/>
                <w:szCs w:val="13"/>
                <w:color w:val="auto"/>
              </w:rPr>
              <w:t>Recognized</w:t>
            </w:r>
          </w:p>
        </w:tc>
        <w:tc>
          <w:tcPr>
            <w:tcW w:w="0" w:type="dxa"/>
            <w:vAlign w:val="bottom"/>
          </w:tcPr>
          <w:p>
            <w:pPr>
              <w:spacing w:after="0"/>
              <w:rPr>
                <w:sz w:val="1"/>
                <w:szCs w:val="1"/>
                <w:color w:val="auto"/>
              </w:rPr>
            </w:pPr>
          </w:p>
        </w:tc>
      </w:tr>
      <w:tr>
        <w:trPr>
          <w:trHeight w:val="270"/>
        </w:trPr>
        <w:tc>
          <w:tcPr>
            <w:tcW w:w="6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400" w:type="dxa"/>
            <w:vAlign w:val="bottom"/>
          </w:tcPr>
          <w:p>
            <w:pPr>
              <w:ind w:left="40"/>
              <w:spacing w:after="0"/>
              <w:rPr>
                <w:sz w:val="20"/>
                <w:szCs w:val="20"/>
                <w:color w:val="auto"/>
              </w:rPr>
            </w:pPr>
            <w:r>
              <w:rPr>
                <w:rFonts w:ascii="Arial" w:cs="Arial" w:eastAsia="Arial" w:hAnsi="Arial"/>
                <w:sz w:val="14"/>
                <w:szCs w:val="14"/>
                <w:color w:val="auto"/>
              </w:rPr>
              <w:t>Residential</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2,104</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2,116</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6400" w:type="dxa"/>
            <w:vAlign w:val="bottom"/>
          </w:tcPr>
          <w:p>
            <w:pPr>
              <w:ind w:left="40"/>
              <w:spacing w:after="0"/>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5,349</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5,546</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Impaired loans include loans acquired on which management has recorded a nonaccretable discount.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utilizes a risk grading matrix to assign a risk grade to each of its loans. A description of the general characteristics of loans characterized as classified is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1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 doubtful loan has all the weaknesses inherent as a substandard loan with the added characteristic that the weaknesses make collection or liquidation in full, on the basis of currently existing facts, conditions, and values, highly questionable and improbable.</w:t>
      </w:r>
    </w:p>
    <w:p>
      <w:pPr>
        <w:sectPr>
          <w:pgSz w:w="11900" w:h="16838" w:orient="portrait"/>
          <w:cols w:equalWidth="0" w:num="1">
            <w:col w:w="11420"/>
          </w:cols>
          <w:pgMar w:left="240" w:top="726"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726" w:right="239"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The following table presents the balances of classified loans based on the risk grade. Classified loans include Special Mention, Substandard, and Doubtful loans:</w:t>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auto"/>
        </w:rPr>
        <w:t>Loan Classifications</w:t>
      </w:r>
    </w:p>
    <w:p>
      <w:pPr>
        <w:spacing w:after="0" w:line="118" w:lineRule="exact"/>
        <w:rPr>
          <w:sz w:val="20"/>
          <w:szCs w:val="20"/>
          <w:color w:val="auto"/>
        </w:rPr>
      </w:pPr>
    </w:p>
    <w:tbl>
      <w:tblPr>
        <w:tblLayout w:type="fixed"/>
        <w:tblInd w:w="180" w:type="dxa"/>
        <w:tblCellMar>
          <w:top w:w="0" w:type="dxa"/>
          <w:left w:w="0" w:type="dxa"/>
          <w:bottom w:w="0" w:type="dxa"/>
          <w:right w:w="0" w:type="dxa"/>
        </w:tblCellMar>
      </w:tblPr>
      <w:tr>
        <w:trPr>
          <w:trHeight w:val="204"/>
        </w:trPr>
        <w:tc>
          <w:tcPr>
            <w:tcW w:w="32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7"/>
                <w:szCs w:val="17"/>
                <w:b w:val="1"/>
                <w:bCs w:val="1"/>
                <w:color w:val="auto"/>
                <w:vertAlign w:val="superscript"/>
              </w:rPr>
              <w:t>(1)</w:t>
            </w: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 Mention</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Doubtful</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6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12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CCEEFF"/>
            </w:tcBorders>
          </w:tcPr>
          <w:p>
            <w:pPr>
              <w:spacing w:after="0"/>
              <w:rPr>
                <w:sz w:val="22"/>
                <w:szCs w:val="22"/>
                <w:color w:val="auto"/>
              </w:rPr>
            </w:pPr>
          </w:p>
        </w:tc>
      </w:tr>
      <w:tr>
        <w:trPr>
          <w:trHeight w:val="251"/>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9"/>
        </w:trPr>
        <w:tc>
          <w:tcPr>
            <w:tcW w:w="328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441,694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2,267</w:t>
            </w:r>
          </w:p>
        </w:tc>
        <w:tc>
          <w:tcPr>
            <w:tcW w:w="100" w:type="dxa"/>
            <w:vAlign w:val="bottom"/>
          </w:tcPr>
          <w:p>
            <w:pPr>
              <w:spacing w:after="0"/>
              <w:rPr>
                <w:sz w:val="23"/>
                <w:szCs w:val="23"/>
                <w:color w:val="auto"/>
              </w:rPr>
            </w:pPr>
          </w:p>
        </w:tc>
        <w:tc>
          <w:tcPr>
            <w:tcW w:w="104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443,961</w:t>
            </w:r>
          </w:p>
        </w:tc>
      </w:tr>
      <w:tr>
        <w:trPr>
          <w:trHeight w:val="271"/>
        </w:trPr>
        <w:tc>
          <w:tcPr>
            <w:tcW w:w="3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334,365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1,036</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339,448</w:t>
            </w:r>
          </w:p>
        </w:tc>
      </w:tr>
      <w:tr>
        <w:trPr>
          <w:trHeight w:val="269"/>
        </w:trPr>
        <w:tc>
          <w:tcPr>
            <w:tcW w:w="328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180,124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2,100</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182,224</w:t>
            </w:r>
          </w:p>
        </w:tc>
      </w:tr>
      <w:tr>
        <w:trPr>
          <w:trHeight w:val="271"/>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125,699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1,607</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132,935</w:t>
            </w:r>
          </w:p>
        </w:tc>
      </w:tr>
      <w:tr>
        <w:trPr>
          <w:trHeight w:val="269"/>
        </w:trPr>
        <w:tc>
          <w:tcPr>
            <w:tcW w:w="3280" w:type="dxa"/>
            <w:vAlign w:val="bottom"/>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44,058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44,058</w:t>
            </w:r>
          </w:p>
        </w:tc>
      </w:tr>
      <w:tr>
        <w:trPr>
          <w:trHeight w:val="27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1,148</w:t>
            </w:r>
          </w:p>
        </w:tc>
      </w:tr>
      <w:tr>
        <w:trPr>
          <w:trHeight w:val="305"/>
        </w:trPr>
        <w:tc>
          <w:tcPr>
            <w:tcW w:w="32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w:t>
            </w:r>
          </w:p>
        </w:tc>
        <w:tc>
          <w:tcPr>
            <w:tcW w:w="4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1,127,088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9,457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7,010</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1,143,774</w:t>
            </w:r>
          </w:p>
        </w:tc>
      </w:tr>
      <w:tr>
        <w:trPr>
          <w:trHeight w:val="251"/>
        </w:trPr>
        <w:tc>
          <w:tcPr>
            <w:tcW w:w="3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6"/>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2018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r>
      <w:tr>
        <w:trPr>
          <w:trHeight w:val="254"/>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6"/>
        </w:trPr>
        <w:tc>
          <w:tcPr>
            <w:tcW w:w="328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405,532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2,194</w:t>
            </w:r>
          </w:p>
        </w:tc>
        <w:tc>
          <w:tcPr>
            <w:tcW w:w="100" w:type="dxa"/>
            <w:vAlign w:val="bottom"/>
          </w:tcPr>
          <w:p>
            <w:pPr>
              <w:spacing w:after="0"/>
              <w:rPr>
                <w:sz w:val="23"/>
                <w:szCs w:val="23"/>
                <w:color w:val="auto"/>
              </w:rPr>
            </w:pPr>
          </w:p>
        </w:tc>
        <w:tc>
          <w:tcPr>
            <w:tcW w:w="104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407,844</w:t>
            </w:r>
          </w:p>
        </w:tc>
      </w:tr>
      <w:tr>
        <w:trPr>
          <w:trHeight w:val="274"/>
        </w:trPr>
        <w:tc>
          <w:tcPr>
            <w:tcW w:w="3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274,247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278,691</w:t>
            </w:r>
          </w:p>
        </w:tc>
      </w:tr>
      <w:tr>
        <w:trPr>
          <w:trHeight w:val="266"/>
        </w:trPr>
        <w:tc>
          <w:tcPr>
            <w:tcW w:w="328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154,643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157,586</w:t>
            </w:r>
          </w:p>
        </w:tc>
      </w:tr>
      <w:tr>
        <w:trPr>
          <w:trHeight w:val="274"/>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117,670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122,264</w:t>
            </w:r>
          </w:p>
        </w:tc>
      </w:tr>
      <w:tr>
        <w:trPr>
          <w:trHeight w:val="266"/>
        </w:trPr>
        <w:tc>
          <w:tcPr>
            <w:tcW w:w="3280" w:type="dxa"/>
            <w:vAlign w:val="bottom"/>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34,673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34,673</w:t>
            </w:r>
          </w:p>
        </w:tc>
      </w:tr>
      <w:tr>
        <w:trPr>
          <w:trHeight w:val="27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1,202</w:t>
            </w:r>
          </w:p>
        </w:tc>
      </w:tr>
      <w:tr>
        <w:trPr>
          <w:trHeight w:val="268"/>
        </w:trPr>
        <w:tc>
          <w:tcPr>
            <w:tcW w:w="3280" w:type="dxa"/>
            <w:vAlign w:val="bottom"/>
          </w:tcPr>
          <w:p>
            <w:pPr>
              <w:ind w:left="260"/>
              <w:spacing w:after="0"/>
              <w:rPr>
                <w:sz w:val="20"/>
                <w:szCs w:val="20"/>
                <w:color w:val="auto"/>
              </w:rPr>
            </w:pPr>
            <w:r>
              <w:rPr>
                <w:rFonts w:ascii="Arial" w:cs="Arial" w:eastAsia="Arial" w:hAnsi="Arial"/>
                <w:sz w:val="14"/>
                <w:szCs w:val="14"/>
                <w:color w:val="auto"/>
              </w:rPr>
              <w:t>Total</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987,967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7,763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6,530</w:t>
            </w:r>
          </w:p>
        </w:tc>
        <w:tc>
          <w:tcPr>
            <w:tcW w:w="100" w:type="dxa"/>
            <w:vAlign w:val="bottom"/>
          </w:tcPr>
          <w:p>
            <w:pPr>
              <w:spacing w:after="0"/>
              <w:rPr>
                <w:sz w:val="23"/>
                <w:szCs w:val="23"/>
                <w:color w:val="auto"/>
              </w:rPr>
            </w:pPr>
          </w:p>
        </w:tc>
        <w:tc>
          <w:tcPr>
            <w:tcW w:w="104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1,002,260</w:t>
            </w: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8"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Category includes loans graded exceptional, very good, good, satisfactory and pass/watch</w:t>
      </w:r>
    </w:p>
    <w:p>
      <w:pPr>
        <w:spacing w:after="0" w:line="18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Impaired loans also include certain loans that have been modified in troubled debt restructurings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considering the borrower’s sustained repayment performance for a reasonable period, generally six months. The status of TDRs is as follows: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26"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Troubled Debt Restructurings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17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 of</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Recorded Investment</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7"/>
                <w:szCs w:val="17"/>
                <w:color w:val="auto"/>
              </w:rPr>
            </w:pPr>
          </w:p>
        </w:tc>
        <w:tc>
          <w:tcPr>
            <w:tcW w:w="1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Nonperforming</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1"/>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Commercial</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320</w:t>
            </w: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Acquired loans included in total above</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66"/>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Commercial</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Acquired loans included in total above</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nine months ended September 30, 2019, there was one new troubled debt restructured loan, for which the scheduled payment was extended, with a pre-modification and post-modification recorded investment of $198 thousand. The Company had no defaulted TDR loans over the last twelve months. There was one restructured loan charged off in the amount of $15 thousand for the nine months ended September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loan commitments were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Loan Commitments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2018</w:t>
            </w:r>
          </w:p>
        </w:tc>
      </w:tr>
      <w:tr>
        <w:trPr>
          <w:trHeight w:val="261"/>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Unused lines of credit</w:t>
            </w:r>
          </w:p>
        </w:tc>
        <w:tc>
          <w:tcPr>
            <w:tcW w:w="2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4"/>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49,278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52,083</w:t>
            </w:r>
          </w:p>
        </w:tc>
      </w:tr>
      <w:tr>
        <w:trPr>
          <w:trHeight w:val="269"/>
        </w:trPr>
        <w:tc>
          <w:tcPr>
            <w:tcW w:w="7200" w:type="dxa"/>
            <w:vAlign w:val="bottom"/>
            <w:gridSpan w:val="2"/>
          </w:tcPr>
          <w:p>
            <w:pPr>
              <w:ind w:left="180"/>
              <w:spacing w:after="0"/>
              <w:rPr>
                <w:sz w:val="20"/>
                <w:szCs w:val="20"/>
                <w:color w:val="auto"/>
              </w:rPr>
            </w:pPr>
            <w:r>
              <w:rPr>
                <w:rFonts w:ascii="Arial" w:cs="Arial" w:eastAsia="Arial" w:hAnsi="Arial"/>
                <w:sz w:val="14"/>
                <w:szCs w:val="14"/>
                <w:color w:val="auto"/>
              </w:rPr>
              <w:t>Commercial real estate</w:t>
            </w:r>
          </w:p>
        </w:tc>
        <w:tc>
          <w:tcPr>
            <w:tcW w:w="280" w:type="dxa"/>
            <w:vAlign w:val="bottom"/>
          </w:tcPr>
          <w:p>
            <w:pPr>
              <w:spacing w:after="0"/>
              <w:rPr>
                <w:sz w:val="23"/>
                <w:szCs w:val="23"/>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b w:val="1"/>
                <w:bCs w:val="1"/>
                <w:color w:val="auto"/>
              </w:rPr>
              <w:t>10,677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8,980</w:t>
            </w:r>
          </w:p>
        </w:tc>
      </w:tr>
      <w:tr>
        <w:trPr>
          <w:trHeight w:val="271"/>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 real estate</w:t>
            </w:r>
          </w:p>
        </w:tc>
        <w:tc>
          <w:tcPr>
            <w:tcW w:w="28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15,347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12,853</w:t>
            </w:r>
          </w:p>
        </w:tc>
      </w:tr>
      <w:tr>
        <w:trPr>
          <w:trHeight w:val="269"/>
        </w:trPr>
        <w:tc>
          <w:tcPr>
            <w:tcW w:w="7200" w:type="dxa"/>
            <w:vAlign w:val="bottom"/>
            <w:gridSpan w:val="2"/>
          </w:tcPr>
          <w:p>
            <w:pPr>
              <w:ind w:left="180"/>
              <w:spacing w:after="0"/>
              <w:rPr>
                <w:sz w:val="20"/>
                <w:szCs w:val="20"/>
                <w:color w:val="auto"/>
              </w:rPr>
            </w:pPr>
            <w:r>
              <w:rPr>
                <w:rFonts w:ascii="Arial" w:cs="Arial" w:eastAsia="Arial" w:hAnsi="Arial"/>
                <w:sz w:val="14"/>
                <w:szCs w:val="14"/>
                <w:color w:val="auto"/>
              </w:rPr>
              <w:t>Home equity</w:t>
            </w:r>
          </w:p>
        </w:tc>
        <w:tc>
          <w:tcPr>
            <w:tcW w:w="280" w:type="dxa"/>
            <w:vAlign w:val="bottom"/>
          </w:tcPr>
          <w:p>
            <w:pPr>
              <w:spacing w:after="0"/>
              <w:rPr>
                <w:sz w:val="23"/>
                <w:szCs w:val="23"/>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b w:val="1"/>
                <w:bCs w:val="1"/>
                <w:color w:val="auto"/>
              </w:rPr>
              <w:t>27,715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27,243</w:t>
            </w:r>
          </w:p>
        </w:tc>
      </w:tr>
      <w:tr>
        <w:trPr>
          <w:trHeight w:val="271"/>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Secured credit card</w:t>
            </w:r>
          </w:p>
        </w:tc>
        <w:tc>
          <w:tcPr>
            <w:tcW w:w="28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37,472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29,142</w:t>
            </w:r>
          </w:p>
        </w:tc>
      </w:tr>
      <w:tr>
        <w:trPr>
          <w:trHeight w:val="269"/>
        </w:trPr>
        <w:tc>
          <w:tcPr>
            <w:tcW w:w="7200" w:type="dxa"/>
            <w:vAlign w:val="bottom"/>
            <w:gridSpan w:val="2"/>
          </w:tcPr>
          <w:p>
            <w:pPr>
              <w:ind w:left="180"/>
              <w:spacing w:after="0"/>
              <w:rPr>
                <w:sz w:val="20"/>
                <w:szCs w:val="20"/>
                <w:color w:val="auto"/>
              </w:rPr>
            </w:pPr>
            <w:r>
              <w:rPr>
                <w:rFonts w:ascii="Arial" w:cs="Arial" w:eastAsia="Arial" w:hAnsi="Arial"/>
                <w:sz w:val="14"/>
                <w:szCs w:val="14"/>
                <w:color w:val="auto"/>
              </w:rPr>
              <w:t>Personal</w:t>
            </w:r>
          </w:p>
        </w:tc>
        <w:tc>
          <w:tcPr>
            <w:tcW w:w="280" w:type="dxa"/>
            <w:vAlign w:val="bottom"/>
          </w:tcPr>
          <w:p>
            <w:pPr>
              <w:spacing w:after="0"/>
              <w:rPr>
                <w:sz w:val="23"/>
                <w:szCs w:val="23"/>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126</w:t>
            </w:r>
          </w:p>
        </w:tc>
      </w:tr>
      <w:tr>
        <w:trPr>
          <w:trHeight w:val="271"/>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 commitments</w:t>
            </w:r>
          </w:p>
        </w:tc>
        <w:tc>
          <w:tcPr>
            <w:tcW w:w="28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9"/>
        </w:trPr>
        <w:tc>
          <w:tcPr>
            <w:tcW w:w="7200" w:type="dxa"/>
            <w:vAlign w:val="bottom"/>
            <w:gridSpan w:val="2"/>
          </w:tcPr>
          <w:p>
            <w:pPr>
              <w:ind w:left="280"/>
              <w:spacing w:after="0"/>
              <w:rPr>
                <w:sz w:val="20"/>
                <w:szCs w:val="20"/>
                <w:color w:val="auto"/>
              </w:rPr>
            </w:pPr>
            <w:r>
              <w:rPr>
                <w:rFonts w:ascii="Arial" w:cs="Arial" w:eastAsia="Arial" w:hAnsi="Arial"/>
                <w:sz w:val="14"/>
                <w:szCs w:val="14"/>
                <w:color w:val="auto"/>
              </w:rPr>
              <w:t>Residential real estate</w:t>
            </w:r>
          </w:p>
        </w:tc>
        <w:tc>
          <w:tcPr>
            <w:tcW w:w="280" w:type="dxa"/>
            <w:vAlign w:val="bottom"/>
          </w:tcPr>
          <w:p>
            <w:pPr>
              <w:spacing w:after="0"/>
              <w:rPr>
                <w:sz w:val="23"/>
                <w:szCs w:val="23"/>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b w:val="1"/>
                <w:bCs w:val="1"/>
                <w:color w:val="auto"/>
              </w:rPr>
              <w:t>98,002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72,424</w:t>
            </w:r>
          </w:p>
        </w:tc>
      </w:tr>
      <w:tr>
        <w:trPr>
          <w:trHeight w:val="270"/>
        </w:trPr>
        <w:tc>
          <w:tcPr>
            <w:tcW w:w="72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Commercial real estate</w:t>
            </w:r>
          </w:p>
        </w:tc>
        <w:tc>
          <w:tcPr>
            <w:tcW w:w="28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11,534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6,358</w:t>
            </w:r>
          </w:p>
        </w:tc>
      </w:tr>
      <w:tr>
        <w:trPr>
          <w:trHeight w:val="278"/>
        </w:trPr>
        <w:tc>
          <w:tcPr>
            <w:tcW w:w="72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unused lines of credit</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250,061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209,209</w:t>
            </w:r>
          </w:p>
        </w:tc>
      </w:tr>
      <w:tr>
        <w:trPr>
          <w:trHeight w:val="251"/>
        </w:trPr>
        <w:tc>
          <w:tcPr>
            <w:tcW w:w="7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97"/>
        </w:trPr>
        <w:tc>
          <w:tcPr>
            <w:tcW w:w="72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Commitments to originate residential loans held for sale</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2,306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647</w:t>
            </w:r>
          </w:p>
        </w:tc>
      </w:tr>
      <w:tr>
        <w:trPr>
          <w:trHeight w:val="251"/>
        </w:trPr>
        <w:tc>
          <w:tcPr>
            <w:tcW w:w="7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57"/>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Letters of credit</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5,502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6,216</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draw upon their lines in full at any time. Loan</w:t>
      </w:r>
    </w:p>
    <w:p>
      <w:pPr>
        <w:sectPr>
          <w:pgSz w:w="11900" w:h="16838" w:orient="portrait"/>
          <w:cols w:equalWidth="0" w:num="1">
            <w:col w:w="11420"/>
          </w:cols>
          <w:pgMar w:left="240" w:top="726" w:right="239" w:bottom="606"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726" w:right="239" w:bottom="606"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commitments generally have variable interest rates, fixed expiration dates, and may require payment of a fee.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maximum exposure to credit loss in the event of nonperformance by the customer is the contractual amount of the credit commitment. Loan commitments and lines of credit are made on the same terms, including collateral, as outstanding loans. Management is not aware of any accounting loss to be incurred by funding these loan commitments. The Company maintains an estimated reserve for off balance sheet items such as unfunded lines of credit which is reflected in other liabilities. Activity for this account is as follows:</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 Balance Sheet Reserve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Borders>
              <w:bottom w:val="single" w:sz="8" w:color="auto"/>
            </w:tcBorders>
          </w:tcPr>
          <w:p>
            <w:pPr>
              <w:spacing w:after="0"/>
              <w:rPr>
                <w:sz w:val="17"/>
                <w:szCs w:val="17"/>
                <w:color w:val="auto"/>
              </w:rPr>
            </w:pPr>
          </w:p>
        </w:tc>
      </w:tr>
      <w:tr>
        <w:trPr>
          <w:trHeight w:val="264"/>
        </w:trPr>
        <w:tc>
          <w:tcPr>
            <w:tcW w:w="5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580" w:type="dxa"/>
            <w:vAlign w:val="bottom"/>
            <w:gridSpan w:val="3"/>
          </w:tcPr>
          <w:p>
            <w:pPr>
              <w:ind w:left="80"/>
              <w:spacing w:after="0"/>
              <w:rPr>
                <w:sz w:val="20"/>
                <w:szCs w:val="20"/>
                <w:color w:val="auto"/>
              </w:rPr>
            </w:pPr>
            <w:r>
              <w:rPr>
                <w:rFonts w:ascii="Arial" w:cs="Arial" w:eastAsia="Arial" w:hAnsi="Arial"/>
                <w:sz w:val="14"/>
                <w:szCs w:val="14"/>
                <w:color w:val="auto"/>
              </w:rPr>
              <w:t>September 30, 2018</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September 30, 2018</w:t>
            </w:r>
          </w:p>
        </w:tc>
      </w:tr>
      <w:tr>
        <w:trPr>
          <w:trHeight w:val="251"/>
        </w:trPr>
        <w:tc>
          <w:tcPr>
            <w:tcW w:w="51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1,146</w:t>
            </w:r>
          </w:p>
        </w:tc>
        <w:tc>
          <w:tcPr>
            <w:tcW w:w="1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990</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1,053</w:t>
            </w: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901</w:t>
            </w:r>
          </w:p>
        </w:tc>
      </w:tr>
      <w:tr>
        <w:trPr>
          <w:trHeight w:val="269"/>
        </w:trPr>
        <w:tc>
          <w:tcPr>
            <w:tcW w:w="5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Provision charged to operating expense</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w:t>
            </w:r>
          </w:p>
        </w:tc>
        <w:tc>
          <w:tcPr>
            <w:tcW w:w="1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38"/>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 at end of period</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957</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makes representations and warranties that loans sold to investors meet their program's guidelines and that the information provided by the borrowers is accurate and complete. In the event of a default on a loan sold, the investor may have the right to make a claim for losses due to document deficiencies, program compliance, early payment default, and fraud or borrower misrepresentations.</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maintains an estimated reserve for potential losses on mortgage loans sold which is reflected in other liabilities. Activity in this reserve is as follows for the periods presented:</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Mortgage Loan Put-back Reserve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Borders>
              <w:bottom w:val="single" w:sz="8" w:color="auto"/>
            </w:tcBorders>
          </w:tcPr>
          <w:p>
            <w:pPr>
              <w:spacing w:after="0"/>
              <w:rPr>
                <w:sz w:val="17"/>
                <w:szCs w:val="17"/>
                <w:color w:val="auto"/>
              </w:rPr>
            </w:pPr>
          </w:p>
        </w:tc>
      </w:tr>
      <w:tr>
        <w:trPr>
          <w:trHeight w:val="264"/>
        </w:trPr>
        <w:tc>
          <w:tcPr>
            <w:tcW w:w="5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580" w:type="dxa"/>
            <w:vAlign w:val="bottom"/>
            <w:gridSpan w:val="3"/>
          </w:tcPr>
          <w:p>
            <w:pPr>
              <w:ind w:left="80"/>
              <w:spacing w:after="0"/>
              <w:rPr>
                <w:sz w:val="20"/>
                <w:szCs w:val="20"/>
                <w:color w:val="auto"/>
              </w:rPr>
            </w:pPr>
            <w:r>
              <w:rPr>
                <w:rFonts w:ascii="Arial" w:cs="Arial" w:eastAsia="Arial" w:hAnsi="Arial"/>
                <w:sz w:val="14"/>
                <w:szCs w:val="14"/>
                <w:color w:val="auto"/>
              </w:rPr>
              <w:t>September 30, 2018</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September 30, 2018</w:t>
            </w:r>
          </w:p>
        </w:tc>
      </w:tr>
      <w:tr>
        <w:trPr>
          <w:trHeight w:val="251"/>
        </w:trPr>
        <w:tc>
          <w:tcPr>
            <w:tcW w:w="51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527</w:t>
            </w:r>
          </w:p>
        </w:tc>
        <w:tc>
          <w:tcPr>
            <w:tcW w:w="1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501</w:t>
            </w: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457</w:t>
            </w:r>
          </w:p>
        </w:tc>
      </w:tr>
      <w:tr>
        <w:trPr>
          <w:trHeight w:val="269"/>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Provision charged to operating expense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61</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83</w:t>
            </w:r>
          </w:p>
        </w:tc>
      </w:tr>
      <w:tr>
        <w:trPr>
          <w:trHeight w:val="270"/>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Charge-offs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238"/>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Balance at end of period</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540</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540</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26"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Derivative Financial Instruments</w:t>
      </w: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or commits to deliver the locked loan to an investor in a binding (Mandatory) delivery program.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 efforts contracts are not readily ascertainable with precision because they are not actively traded in stand-alone markets. The Company determines the fair value of rate lock commitments and delivery contracts by estimating the fair value of the underlying asset, which is impacted by current interest rates and takes into consideration the probability that the rate lock commitments will close or will be funded.</w:t>
      </w:r>
    </w:p>
    <w:p>
      <w:pPr>
        <w:spacing w:after="0" w:line="178"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On January 7, 2015, the Company entered into an interest rate swap transaction with a notional amount of $2 million. The swap qualifies as a derivative and is designated as a hedging instrument. The swap fixed the interest rate the Company paid on the floating rate junior subordinated debentures for four years beginning on March 16, 2015 and matured on March 16, 2019. Based on the notional amount, the Company paid FTN Financial Markets (“FTN”) quarterly interest at a fixed rate, and FTN paid the Company interest at a rate of three</w:t>
      </w:r>
      <w:r>
        <w:rPr>
          <w:rFonts w:ascii="MS PGothic" w:cs="MS PGothic" w:eastAsia="MS PGothic" w:hAnsi="MS PGothic"/>
          <w:sz w:val="18"/>
          <w:szCs w:val="18"/>
          <w:color w:val="auto"/>
        </w:rPr>
        <w:t>‑</w:t>
      </w:r>
      <w:r>
        <w:rPr>
          <w:rFonts w:ascii="Arial" w:cs="Arial" w:eastAsia="Arial" w:hAnsi="Arial"/>
          <w:sz w:val="18"/>
          <w:szCs w:val="18"/>
          <w:color w:val="auto"/>
        </w:rPr>
        <w:t>month LIBOR plus 1.87%. The unrealized gain (loss), net of income tax, has been recorded in other comprehensive income.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December 31, 2018</w:t>
            </w:r>
          </w:p>
        </w:tc>
      </w:tr>
      <w:tr>
        <w:trPr>
          <w:trHeight w:val="251"/>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Notional amount of open forward sales agreements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112,500</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r>
      <w:tr>
        <w:trPr>
          <w:trHeight w:val="269"/>
        </w:trPr>
        <w:tc>
          <w:tcPr>
            <w:tcW w:w="7280" w:type="dxa"/>
            <w:vAlign w:val="bottom"/>
            <w:gridSpan w:val="2"/>
          </w:tcPr>
          <w:p>
            <w:pPr>
              <w:ind w:left="40"/>
              <w:spacing w:after="0"/>
              <w:rPr>
                <w:sz w:val="20"/>
                <w:szCs w:val="20"/>
                <w:color w:val="auto"/>
              </w:rPr>
            </w:pPr>
            <w:r>
              <w:rPr>
                <w:rFonts w:ascii="Arial" w:cs="Arial" w:eastAsia="Arial" w:hAnsi="Arial"/>
                <w:sz w:val="14"/>
                <w:szCs w:val="14"/>
                <w:color w:val="auto"/>
              </w:rPr>
              <w:t>Fair value of open forward delivery sales agreements.</w:t>
            </w: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26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71"/>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Notional amount of open mandatory delivery commitments</w:t>
            </w: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21,454</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4,256</w:t>
            </w:r>
          </w:p>
        </w:tc>
      </w:tr>
      <w:tr>
        <w:trPr>
          <w:trHeight w:val="269"/>
        </w:trPr>
        <w:tc>
          <w:tcPr>
            <w:tcW w:w="7280" w:type="dxa"/>
            <w:vAlign w:val="bottom"/>
            <w:gridSpan w:val="2"/>
          </w:tcPr>
          <w:p>
            <w:pPr>
              <w:ind w:left="40"/>
              <w:spacing w:after="0"/>
              <w:rPr>
                <w:sz w:val="20"/>
                <w:szCs w:val="20"/>
                <w:color w:val="auto"/>
              </w:rPr>
            </w:pPr>
            <w:r>
              <w:rPr>
                <w:rFonts w:ascii="Arial" w:cs="Arial" w:eastAsia="Arial" w:hAnsi="Arial"/>
                <w:sz w:val="14"/>
                <w:szCs w:val="14"/>
                <w:color w:val="auto"/>
              </w:rPr>
              <w:t>Fair value of open mandatory delivery commitments</w:t>
            </w:r>
          </w:p>
        </w:tc>
        <w:tc>
          <w:tcPr>
            <w:tcW w:w="240" w:type="dxa"/>
            <w:vAlign w:val="bottom"/>
          </w:tcPr>
          <w:p>
            <w:pPr>
              <w:spacing w:after="0"/>
              <w:rPr>
                <w:sz w:val="23"/>
                <w:szCs w:val="23"/>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auto"/>
              </w:rPr>
              <w:t>46</w:t>
            </w:r>
          </w:p>
        </w:tc>
        <w:tc>
          <w:tcPr>
            <w:tcW w:w="260" w:type="dxa"/>
            <w:vAlign w:val="bottom"/>
          </w:tcPr>
          <w:p>
            <w:pPr>
              <w:spacing w:after="0"/>
              <w:rPr>
                <w:sz w:val="23"/>
                <w:szCs w:val="23"/>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59</w:t>
            </w:r>
          </w:p>
        </w:tc>
      </w:tr>
      <w:tr>
        <w:trPr>
          <w:trHeight w:val="271"/>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Notional amount of interest rate lock commitments</w:t>
            </w: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87,619</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18,776</w:t>
            </w:r>
          </w:p>
        </w:tc>
      </w:tr>
      <w:tr>
        <w:trPr>
          <w:trHeight w:val="269"/>
        </w:trPr>
        <w:tc>
          <w:tcPr>
            <w:tcW w:w="7280" w:type="dxa"/>
            <w:vAlign w:val="bottom"/>
            <w:gridSpan w:val="2"/>
          </w:tcPr>
          <w:p>
            <w:pPr>
              <w:ind w:left="40"/>
              <w:spacing w:after="0"/>
              <w:rPr>
                <w:sz w:val="20"/>
                <w:szCs w:val="20"/>
                <w:color w:val="auto"/>
              </w:rPr>
            </w:pPr>
            <w:r>
              <w:rPr>
                <w:rFonts w:ascii="Arial" w:cs="Arial" w:eastAsia="Arial" w:hAnsi="Arial"/>
                <w:sz w:val="14"/>
                <w:szCs w:val="14"/>
                <w:color w:val="auto"/>
              </w:rPr>
              <w:t>Fair value of interest rate lock commitments</w:t>
            </w: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260" w:type="dxa"/>
            <w:vAlign w:val="bottom"/>
          </w:tcPr>
          <w:p>
            <w:pPr>
              <w:spacing w:after="0"/>
              <w:rPr>
                <w:sz w:val="23"/>
                <w:szCs w:val="23"/>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108</w:t>
            </w:r>
          </w:p>
        </w:tc>
      </w:tr>
      <w:tr>
        <w:trPr>
          <w:trHeight w:val="271"/>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Fair value of interest rate swap</w:t>
            </w: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26" w:right="239" w:bottom="1440" w:gutter="0" w:footer="0" w:header="0"/>
        </w:sectPr>
      </w:pPr>
    </w:p>
    <w:bookmarkStart w:id="32" w:name="page33"/>
    <w:bookmarkEnd w:id="32"/>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69462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46265"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9462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46265"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Leases</w:t>
      </w: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On January 1, 2019, the Company adopted ASU 2016-02, Leases, as further explained in Note 1 - Nature of Business and Basis of Presentation. The Company’s primary leasing activities relate to certain real estate leases entered into in support of the Company’s branch operations and back office operations. As of January 1, 2019, the Company had leased five of its full service branches and four other locations for corporate/administration activities, operations, and loan production. All property leases under lease agreements have been been designated as operating leases. The Company does not have leases designated as finance leases.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2.24%.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2019, the Company’s lease ROU assets and related lease liabilities were $4.2 million and $4.6 million, respectively, and have remaining terms ranging from 1 - 6 years, including extension options that the Company is reasonably certain will be exercised. As of September 30, 2019, the Company had not entered into any material leases that have not yet commenced. The Company’s lease information is summarized as follows: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September 30, 2019</w:t>
            </w:r>
          </w:p>
        </w:tc>
      </w:tr>
      <w:tr>
        <w:trPr>
          <w:trHeight w:val="265"/>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Lease Right of Use Asset</w:t>
            </w:r>
          </w:p>
        </w:tc>
        <w:tc>
          <w:tcPr>
            <w:tcW w:w="2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69"/>
        </w:trPr>
        <w:tc>
          <w:tcPr>
            <w:tcW w:w="9380" w:type="dxa"/>
            <w:vAlign w:val="bottom"/>
            <w:gridSpan w:val="2"/>
          </w:tcPr>
          <w:p>
            <w:pPr>
              <w:ind w:left="40"/>
              <w:spacing w:after="0"/>
              <w:rPr>
                <w:sz w:val="20"/>
                <w:szCs w:val="20"/>
                <w:color w:val="auto"/>
              </w:rPr>
            </w:pPr>
            <w:r>
              <w:rPr>
                <w:rFonts w:ascii="Arial" w:cs="Arial" w:eastAsia="Arial" w:hAnsi="Arial"/>
                <w:sz w:val="14"/>
                <w:szCs w:val="14"/>
                <w:color w:val="auto"/>
              </w:rPr>
              <w:t>Lease asset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jc w:val="right"/>
              <w:ind w:right="28"/>
              <w:spacing w:after="0"/>
              <w:rPr>
                <w:sz w:val="20"/>
                <w:szCs w:val="20"/>
                <w:color w:val="auto"/>
              </w:rPr>
            </w:pPr>
            <w:r>
              <w:rPr>
                <w:rFonts w:ascii="Arial" w:cs="Arial" w:eastAsia="Arial" w:hAnsi="Arial"/>
                <w:sz w:val="14"/>
                <w:szCs w:val="14"/>
                <w:b w:val="1"/>
                <w:bCs w:val="1"/>
                <w:color w:val="auto"/>
              </w:rPr>
              <w:t>5,158</w:t>
            </w:r>
          </w:p>
        </w:tc>
      </w:tr>
      <w:tr>
        <w:trPr>
          <w:trHeight w:val="270"/>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2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(927)</w:t>
            </w:r>
          </w:p>
        </w:tc>
      </w:tr>
      <w:tr>
        <w:trPr>
          <w:trHeight w:val="250"/>
        </w:trPr>
        <w:tc>
          <w:tcPr>
            <w:tcW w:w="9380" w:type="dxa"/>
            <w:vAlign w:val="bottom"/>
            <w:gridSpan w:val="2"/>
          </w:tcPr>
          <w:p>
            <w:pPr>
              <w:ind w:left="40"/>
              <w:spacing w:after="0"/>
              <w:rPr>
                <w:sz w:val="20"/>
                <w:szCs w:val="20"/>
                <w:color w:val="auto"/>
              </w:rPr>
            </w:pPr>
            <w:r>
              <w:rPr>
                <w:rFonts w:ascii="Arial" w:cs="Arial" w:eastAsia="Arial" w:hAnsi="Arial"/>
                <w:sz w:val="14"/>
                <w:szCs w:val="14"/>
                <w:color w:val="auto"/>
              </w:rPr>
              <w:t>Net lease asset</w:t>
            </w:r>
          </w:p>
        </w:tc>
        <w:tc>
          <w:tcPr>
            <w:tcW w:w="220" w:type="dxa"/>
            <w:vAlign w:val="bottom"/>
          </w:tcPr>
          <w:p>
            <w:pPr>
              <w:spacing w:after="0"/>
              <w:rPr>
                <w:sz w:val="21"/>
                <w:szCs w:val="21"/>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b w:val="1"/>
                <w:bCs w:val="1"/>
                <w:color w:val="auto"/>
              </w:rPr>
              <w:t>4,231</w:t>
            </w:r>
          </w:p>
        </w:tc>
      </w:tr>
      <w:tr>
        <w:trPr>
          <w:trHeight w:val="270"/>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premises and equipment, net</w:t>
            </w:r>
          </w:p>
        </w:tc>
        <w:tc>
          <w:tcPr>
            <w:tcW w:w="2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2,436</w:t>
            </w:r>
          </w:p>
        </w:tc>
      </w:tr>
      <w:tr>
        <w:trPr>
          <w:trHeight w:val="278"/>
        </w:trPr>
        <w:tc>
          <w:tcPr>
            <w:tcW w:w="9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Premises and equipment, net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6,667</w:t>
            </w:r>
          </w:p>
        </w:tc>
      </w:tr>
      <w:tr>
        <w:trPr>
          <w:trHeight w:val="251"/>
        </w:trPr>
        <w:tc>
          <w:tcPr>
            <w:tcW w:w="9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69"/>
        </w:trPr>
        <w:tc>
          <w:tcPr>
            <w:tcW w:w="9380" w:type="dxa"/>
            <w:vAlign w:val="bottom"/>
            <w:gridSpan w:val="2"/>
          </w:tcPr>
          <w:p>
            <w:pPr>
              <w:ind w:left="40"/>
              <w:spacing w:after="0"/>
              <w:rPr>
                <w:sz w:val="20"/>
                <w:szCs w:val="20"/>
                <w:color w:val="auto"/>
              </w:rPr>
            </w:pPr>
            <w:r>
              <w:rPr>
                <w:rFonts w:ascii="Arial" w:cs="Arial" w:eastAsia="Arial" w:hAnsi="Arial"/>
                <w:sz w:val="14"/>
                <w:szCs w:val="14"/>
                <w:b w:val="1"/>
                <w:bCs w:val="1"/>
                <w:color w:val="auto"/>
              </w:rPr>
              <w:t>Lease Right of Use Liability</w:t>
            </w:r>
          </w:p>
        </w:tc>
        <w:tc>
          <w:tcPr>
            <w:tcW w:w="2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1"/>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Lease liability</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5,358</w:t>
            </w:r>
          </w:p>
        </w:tc>
      </w:tr>
      <w:tr>
        <w:trPr>
          <w:trHeight w:val="269"/>
        </w:trPr>
        <w:tc>
          <w:tcPr>
            <w:tcW w:w="9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Less: Accumulated amortization</w:t>
            </w: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(748)</w:t>
            </w:r>
          </w:p>
        </w:tc>
      </w:tr>
      <w:tr>
        <w:trPr>
          <w:trHeight w:val="251"/>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lease liability</w:t>
            </w:r>
          </w:p>
        </w:tc>
        <w:tc>
          <w:tcPr>
            <w:tcW w:w="2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4,610</w:t>
            </w:r>
          </w:p>
        </w:tc>
      </w:tr>
      <w:tr>
        <w:trPr>
          <w:trHeight w:val="269"/>
        </w:trPr>
        <w:tc>
          <w:tcPr>
            <w:tcW w:w="9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miscellaneous liabilities</w:t>
            </w: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13,438</w:t>
            </w:r>
          </w:p>
        </w:tc>
      </w:tr>
      <w:tr>
        <w:trPr>
          <w:trHeight w:val="238"/>
        </w:trPr>
        <w:tc>
          <w:tcPr>
            <w:tcW w:w="9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Other liabilities,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18,048</w:t>
            </w:r>
          </w:p>
        </w:tc>
      </w:tr>
      <w:tr>
        <w:trPr>
          <w:trHeight w:val="20"/>
        </w:trPr>
        <w:tc>
          <w:tcPr>
            <w:tcW w:w="9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26" w:right="239" w:bottom="1440" w:gutter="0" w:footer="0" w:header="0"/>
        </w:sectPr>
      </w:pPr>
    </w:p>
    <w:bookmarkStart w:id="33" w:name="page34"/>
    <w:bookmarkEnd w:id="33"/>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Leases (continued)</w:t>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Payment Obligations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September 30, 2019</w:t>
            </w:r>
          </w:p>
        </w:tc>
      </w:tr>
      <w:tr>
        <w:trPr>
          <w:trHeight w:val="265"/>
        </w:trPr>
        <w:tc>
          <w:tcPr>
            <w:tcW w:w="9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Amounts due in:</w:t>
            </w:r>
          </w:p>
        </w:tc>
        <w:tc>
          <w:tcPr>
            <w:tcW w:w="2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69"/>
        </w:trPr>
        <w:tc>
          <w:tcPr>
            <w:tcW w:w="9380" w:type="dxa"/>
            <w:vAlign w:val="bottom"/>
          </w:tcPr>
          <w:p>
            <w:pPr>
              <w:ind w:left="40"/>
              <w:spacing w:after="0"/>
              <w:rPr>
                <w:sz w:val="20"/>
                <w:szCs w:val="20"/>
                <w:color w:val="auto"/>
              </w:rPr>
            </w:pPr>
            <w:r>
              <w:rPr>
                <w:rFonts w:ascii="Arial" w:cs="Arial" w:eastAsia="Arial" w:hAnsi="Arial"/>
                <w:sz w:val="14"/>
                <w:szCs w:val="14"/>
                <w:color w:val="auto"/>
              </w:rPr>
              <w:t>2019</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jc w:val="right"/>
              <w:ind w:right="28"/>
              <w:spacing w:after="0"/>
              <w:rPr>
                <w:sz w:val="20"/>
                <w:szCs w:val="20"/>
                <w:color w:val="auto"/>
              </w:rPr>
            </w:pPr>
            <w:r>
              <w:rPr>
                <w:rFonts w:ascii="Arial" w:cs="Arial" w:eastAsia="Arial" w:hAnsi="Arial"/>
                <w:sz w:val="14"/>
                <w:szCs w:val="14"/>
                <w:b w:val="1"/>
                <w:bCs w:val="1"/>
                <w:color w:val="auto"/>
              </w:rPr>
              <w:t>322</w:t>
            </w:r>
          </w:p>
        </w:tc>
      </w:tr>
      <w:tr>
        <w:trPr>
          <w:trHeight w:val="271"/>
        </w:trPr>
        <w:tc>
          <w:tcPr>
            <w:tcW w:w="9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22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1,204</w:t>
            </w:r>
          </w:p>
        </w:tc>
      </w:tr>
      <w:tr>
        <w:trPr>
          <w:trHeight w:val="269"/>
        </w:trPr>
        <w:tc>
          <w:tcPr>
            <w:tcW w:w="9380" w:type="dxa"/>
            <w:vAlign w:val="bottom"/>
          </w:tcPr>
          <w:p>
            <w:pPr>
              <w:ind w:left="40"/>
              <w:spacing w:after="0"/>
              <w:rPr>
                <w:sz w:val="20"/>
                <w:szCs w:val="20"/>
                <w:color w:val="auto"/>
              </w:rPr>
            </w:pPr>
            <w:r>
              <w:rPr>
                <w:rFonts w:ascii="Arial" w:cs="Arial" w:eastAsia="Arial" w:hAnsi="Arial"/>
                <w:sz w:val="14"/>
                <w:szCs w:val="14"/>
                <w:color w:val="auto"/>
              </w:rPr>
              <w:t>2021</w:t>
            </w:r>
          </w:p>
        </w:tc>
        <w:tc>
          <w:tcPr>
            <w:tcW w:w="220" w:type="dxa"/>
            <w:vAlign w:val="bottom"/>
          </w:tcPr>
          <w:p>
            <w:pPr>
              <w:spacing w:after="0"/>
              <w:rPr>
                <w:sz w:val="23"/>
                <w:szCs w:val="23"/>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b w:val="1"/>
                <w:bCs w:val="1"/>
                <w:color w:val="auto"/>
              </w:rPr>
              <w:t>1,187</w:t>
            </w:r>
          </w:p>
        </w:tc>
      </w:tr>
      <w:tr>
        <w:trPr>
          <w:trHeight w:val="271"/>
        </w:trPr>
        <w:tc>
          <w:tcPr>
            <w:tcW w:w="9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22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824</w:t>
            </w:r>
          </w:p>
        </w:tc>
      </w:tr>
      <w:tr>
        <w:trPr>
          <w:trHeight w:val="269"/>
        </w:trPr>
        <w:tc>
          <w:tcPr>
            <w:tcW w:w="9380" w:type="dxa"/>
            <w:vAlign w:val="bottom"/>
          </w:tcPr>
          <w:p>
            <w:pPr>
              <w:ind w:left="40"/>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23"/>
                <w:szCs w:val="23"/>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b w:val="1"/>
                <w:bCs w:val="1"/>
                <w:color w:val="auto"/>
              </w:rPr>
              <w:t>712</w:t>
            </w:r>
          </w:p>
        </w:tc>
      </w:tr>
      <w:tr>
        <w:trPr>
          <w:trHeight w:val="270"/>
        </w:trPr>
        <w:tc>
          <w:tcPr>
            <w:tcW w:w="9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After 2023</w:t>
            </w:r>
          </w:p>
        </w:tc>
        <w:tc>
          <w:tcPr>
            <w:tcW w:w="2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420</w:t>
            </w:r>
          </w:p>
        </w:tc>
      </w:tr>
      <w:tr>
        <w:trPr>
          <w:trHeight w:val="238"/>
        </w:trPr>
        <w:tc>
          <w:tcPr>
            <w:tcW w:w="9380" w:type="dxa"/>
            <w:vAlign w:val="bottom"/>
          </w:tcPr>
          <w:p>
            <w:pPr>
              <w:ind w:left="180"/>
              <w:spacing w:after="0"/>
              <w:rPr>
                <w:sz w:val="20"/>
                <w:szCs w:val="20"/>
                <w:color w:val="auto"/>
              </w:rPr>
            </w:pPr>
            <w:r>
              <w:rPr>
                <w:rFonts w:ascii="Arial" w:cs="Arial" w:eastAsia="Arial" w:hAnsi="Arial"/>
                <w:sz w:val="14"/>
                <w:szCs w:val="14"/>
                <w:color w:val="auto"/>
              </w:rPr>
              <w:t>Total lease payments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4,669</w:t>
            </w:r>
          </w:p>
        </w:tc>
      </w:tr>
      <w:tr>
        <w:trPr>
          <w:trHeight w:val="20"/>
        </w:trPr>
        <w:tc>
          <w:tcPr>
            <w:tcW w:w="9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w:t>
      </w:r>
    </w:p>
    <w:p>
      <w:pPr>
        <w:spacing w:after="0" w:line="2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2 inputs.</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attributes of that loan.</w:t>
      </w:r>
    </w:p>
    <w:p>
      <w:pPr>
        <w:spacing w:after="0" w:line="1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interest rate swap is reported at fair value utilizing Level 2 inputs. The Company obtains dealer quotations to value its swap. For purposes of potential valuation adjustments to its derivative position, the Company evaluates the credit risk of its counterparty. Accordingly, the Company has considered factors such as the likelihood of default by the counterparty and the remaining contractual life, among other things,</w:t>
      </w: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26" w:right="239" w:bottom="1440" w:gutter="0" w:footer="0" w:header="0"/>
        </w:sectPr>
      </w:pPr>
    </w:p>
    <w:bookmarkStart w:id="34" w:name="page35"/>
    <w:bookmarkEnd w:id="3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Fair Value (continued)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if any fair value adjustment related to credit risk is required.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categorized its financial instruments measured at fair value on a recurring basis as of September 30, 2019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as follows:</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Financial Instruments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08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89"/>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 Inputs</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 Inputs</w:t>
            </w:r>
          </w:p>
        </w:tc>
      </w:tr>
      <w:tr>
        <w:trPr>
          <w:trHeight w:val="261"/>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Investment securities available for sale</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U.S. government-sponsored enterprises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r>
      <w:tr>
        <w:trPr>
          <w:trHeight w:val="269"/>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Municipal</w:t>
            </w:r>
          </w:p>
        </w:tc>
        <w:tc>
          <w:tcPr>
            <w:tcW w:w="28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528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528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ind w:left="860"/>
              <w:spacing w:after="0"/>
              <w:rPr>
                <w:sz w:val="20"/>
                <w:szCs w:val="20"/>
                <w:color w:val="auto"/>
              </w:rPr>
            </w:pPr>
            <w:r>
              <w:rPr>
                <w:rFonts w:ascii="Arial" w:cs="Arial" w:eastAsia="Arial" w:hAnsi="Arial"/>
                <w:sz w:val="14"/>
                <w:szCs w:val="14"/>
                <w:b w:val="1"/>
                <w:bCs w:val="1"/>
                <w:color w:val="auto"/>
              </w:rPr>
              <w:t>—</w:t>
            </w:r>
          </w:p>
        </w:tc>
      </w:tr>
      <w:tr>
        <w:trPr>
          <w:trHeight w:val="271"/>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Corporate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r>
      <w:tr>
        <w:trPr>
          <w:trHeight w:val="269"/>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Mortgage-backed securities</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27,881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27,881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r>
      <w:tr>
        <w:trPr>
          <w:trHeight w:val="237"/>
        </w:trPr>
        <w:tc>
          <w:tcPr>
            <w:tcW w:w="5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37,073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37,073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r>
      <w:tr>
        <w:trPr>
          <w:trHeight w:val="20"/>
        </w:trPr>
        <w:tc>
          <w:tcPr>
            <w:tcW w:w="60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Loans held for sale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68,982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68,982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r>
      <w:tr>
        <w:trPr>
          <w:trHeight w:val="21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r>
      <w:tr>
        <w:trPr>
          <w:trHeight w:val="20"/>
        </w:trPr>
        <w:tc>
          <w:tcPr>
            <w:tcW w:w="60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Derivative liabilities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165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ind w:left="860"/>
              <w:spacing w:after="0"/>
              <w:rPr>
                <w:sz w:val="20"/>
                <w:szCs w:val="20"/>
                <w:color w:val="auto"/>
              </w:rPr>
            </w:pPr>
            <w:r>
              <w:rPr>
                <w:rFonts w:ascii="Arial" w:cs="Arial" w:eastAsia="Arial" w:hAnsi="Arial"/>
                <w:sz w:val="14"/>
                <w:szCs w:val="14"/>
                <w:b w:val="1"/>
                <w:bCs w:val="1"/>
                <w:color w:val="auto"/>
              </w:rPr>
              <w:t>—</w:t>
            </w:r>
          </w:p>
        </w:tc>
      </w:tr>
      <w:tr>
        <w:trPr>
          <w:trHeight w:val="170"/>
        </w:trPr>
        <w:tc>
          <w:tcPr>
            <w:tcW w:w="59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266"/>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r>
      <w:tr>
        <w:trPr>
          <w:trHeight w:val="254"/>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Investment securities available for sale</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6"/>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U.S. government-sponsored enterprises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17,360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17,360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ind w:left="860"/>
              <w:spacing w:after="0"/>
              <w:rPr>
                <w:sz w:val="20"/>
                <w:szCs w:val="20"/>
                <w:color w:val="auto"/>
              </w:rPr>
            </w:pPr>
            <w:r>
              <w:rPr>
                <w:rFonts w:ascii="Arial" w:cs="Arial" w:eastAsia="Arial" w:hAnsi="Arial"/>
                <w:sz w:val="14"/>
                <w:szCs w:val="14"/>
                <w:color w:val="auto"/>
              </w:rPr>
              <w:t>—</w:t>
            </w:r>
          </w:p>
        </w:tc>
      </w:tr>
      <w:tr>
        <w:trPr>
          <w:trHeight w:val="27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Municipal</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r>
      <w:tr>
        <w:trPr>
          <w:trHeight w:val="266"/>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Corporate</w:t>
            </w:r>
          </w:p>
        </w:tc>
        <w:tc>
          <w:tcPr>
            <w:tcW w:w="28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ind w:left="860"/>
              <w:spacing w:after="0"/>
              <w:rPr>
                <w:sz w:val="20"/>
                <w:szCs w:val="20"/>
                <w:color w:val="auto"/>
              </w:rPr>
            </w:pPr>
            <w:r>
              <w:rPr>
                <w:rFonts w:ascii="Arial" w:cs="Arial" w:eastAsia="Arial" w:hAnsi="Arial"/>
                <w:sz w:val="14"/>
                <w:szCs w:val="14"/>
                <w:color w:val="auto"/>
              </w:rPr>
              <w:t>—</w:t>
            </w:r>
          </w:p>
        </w:tc>
      </w:tr>
      <w:tr>
        <w:trPr>
          <w:trHeight w:val="27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26,186</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26,186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r>
      <w:tr>
        <w:trPr>
          <w:trHeight w:val="290"/>
        </w:trPr>
        <w:tc>
          <w:tcPr>
            <w:tcW w:w="5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46,932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46,932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r>
      <w:tr>
        <w:trPr>
          <w:trHeight w:val="228"/>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Loans held for sale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18,526</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18,526</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Derivative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Derivative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Loans Held for Sale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December 31, 2018</w:t>
            </w:r>
          </w:p>
        </w:tc>
      </w:tr>
      <w:tr>
        <w:trPr>
          <w:trHeight w:val="250"/>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Aggregate fair value</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68,982</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18,526</w:t>
            </w:r>
          </w:p>
        </w:tc>
      </w:tr>
      <w:tr>
        <w:trPr>
          <w:trHeight w:val="27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Contractual principal</w:t>
            </w:r>
          </w:p>
        </w:tc>
        <w:tc>
          <w:tcPr>
            <w:tcW w:w="2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67,118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17,822</w:t>
            </w:r>
          </w:p>
        </w:tc>
      </w:tr>
      <w:tr>
        <w:trPr>
          <w:trHeight w:val="238"/>
        </w:trPr>
        <w:tc>
          <w:tcPr>
            <w:tcW w:w="7180" w:type="dxa"/>
            <w:vAlign w:val="bottom"/>
            <w:gridSpan w:val="2"/>
          </w:tcPr>
          <w:p>
            <w:pPr>
              <w:ind w:left="160"/>
              <w:spacing w:after="0"/>
              <w:rPr>
                <w:sz w:val="20"/>
                <w:szCs w:val="20"/>
                <w:color w:val="auto"/>
              </w:rPr>
            </w:pPr>
            <w:r>
              <w:rPr>
                <w:rFonts w:ascii="Arial" w:cs="Arial" w:eastAsia="Arial" w:hAnsi="Arial"/>
                <w:sz w:val="14"/>
                <w:szCs w:val="14"/>
                <w:color w:val="auto"/>
              </w:rPr>
              <w:t>Difference</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1,864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704</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26"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726" w:right="239" w:bottom="1440" w:gutter="0" w:footer="0" w:header="0"/>
          <w:type w:val="continuous"/>
        </w:sectPr>
      </w:pPr>
    </w:p>
    <w:bookmarkStart w:id="35" w:name="page36"/>
    <w:bookmarkEnd w:id="3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Fair Value (continued)</w:t>
      </w:r>
    </w:p>
    <w:p>
      <w:pPr>
        <w:spacing w:after="0" w:line="268"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Company has elected to account for loans held for sale at fair value to eliminate the mismatch that would occur by recording changes in market value on derivative instruments used to hedge loans held for sale while carrying the loans at the lower of cost or market.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Impaired loans </w:t>
      </w:r>
      <w:r>
        <w:rPr>
          <w:rFonts w:ascii="Arial" w:cs="Arial" w:eastAsia="Arial" w:hAnsi="Arial"/>
          <w:sz w:val="18"/>
          <w:szCs w:val="18"/>
          <w:color w:val="auto"/>
        </w:rPr>
        <w:t>- The Company has measured impairment generally based on the fair value of the loan's collateral and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analysis. Fair value is generally determined based upon independent third-party appraisals of the properties, or discounted cash flows based upon the expected proceeds. These assets are included as Level 3 fair values. As of September 30, 2019 and December 31, 2018, the fair values consist of loan balances of $6.2 million and $4.4 million, with specific reserves of $258 thousand and $262 thousand, respectively.</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was determined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offers and/or appraisals. Cost to sell the real estate was based on standard market factors. The Company has categorized its foreclosed real estate as Level 3.</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categorized its impaired loans and foreclosed real estate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Impaired Loans and Foreclosed Real Estate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December 31, 2018</w:t>
            </w:r>
          </w:p>
        </w:tc>
      </w:tr>
      <w:tr>
        <w:trPr>
          <w:trHeight w:val="265"/>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w:t>
            </w: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69"/>
        </w:trPr>
        <w:tc>
          <w:tcPr>
            <w:tcW w:w="7180" w:type="dxa"/>
            <w:vAlign w:val="bottom"/>
            <w:gridSpan w:val="2"/>
          </w:tcPr>
          <w:p>
            <w:pPr>
              <w:ind w:left="40"/>
              <w:spacing w:after="0"/>
              <w:rPr>
                <w:sz w:val="20"/>
                <w:szCs w:val="20"/>
                <w:color w:val="auto"/>
              </w:rPr>
            </w:pPr>
            <w:r>
              <w:rPr>
                <w:rFonts w:ascii="Arial" w:cs="Arial" w:eastAsia="Arial" w:hAnsi="Arial"/>
                <w:sz w:val="14"/>
                <w:szCs w:val="14"/>
                <w:color w:val="auto"/>
              </w:rPr>
              <w:t>Level 1 inputs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Level 2 inputs</w:t>
            </w:r>
          </w:p>
        </w:tc>
        <w:tc>
          <w:tcPr>
            <w:tcW w:w="24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7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Level 3 inputs</w:t>
            </w:r>
          </w:p>
        </w:tc>
        <w:tc>
          <w:tcPr>
            <w:tcW w:w="2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5,913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4,093</w:t>
            </w:r>
          </w:p>
        </w:tc>
      </w:tr>
      <w:tr>
        <w:trPr>
          <w:trHeight w:val="238"/>
        </w:trPr>
        <w:tc>
          <w:tcPr>
            <w:tcW w:w="7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4,093</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51"/>
        </w:trPr>
        <w:tc>
          <w:tcPr>
            <w:tcW w:w="7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0"/>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Foreclosed real estate</w:t>
            </w: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69"/>
        </w:trPr>
        <w:tc>
          <w:tcPr>
            <w:tcW w:w="7180" w:type="dxa"/>
            <w:vAlign w:val="bottom"/>
            <w:gridSpan w:val="2"/>
          </w:tcPr>
          <w:p>
            <w:pPr>
              <w:ind w:left="40"/>
              <w:spacing w:after="0"/>
              <w:rPr>
                <w:sz w:val="20"/>
                <w:szCs w:val="20"/>
                <w:color w:val="auto"/>
              </w:rPr>
            </w:pPr>
            <w:r>
              <w:rPr>
                <w:rFonts w:ascii="Arial" w:cs="Arial" w:eastAsia="Arial" w:hAnsi="Arial"/>
                <w:sz w:val="14"/>
                <w:szCs w:val="14"/>
                <w:color w:val="auto"/>
              </w:rPr>
              <w:t>Level 1 inputs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Level 2 inputs</w:t>
            </w:r>
          </w:p>
        </w:tc>
        <w:tc>
          <w:tcPr>
            <w:tcW w:w="24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7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Level 3 inputs</w:t>
            </w:r>
          </w:p>
        </w:tc>
        <w:tc>
          <w:tcPr>
            <w:tcW w:w="2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r>
      <w:tr>
        <w:trPr>
          <w:trHeight w:val="238"/>
        </w:trPr>
        <w:tc>
          <w:tcPr>
            <w:tcW w:w="7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following table provides information describing the unobservable inputs used in Level 3 fair value measurements at September 30, 2019 and December 31, 2018:</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Unobservable Inputs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Borders>
              <w:bottom w:val="single" w:sz="8" w:color="CCEEFF"/>
            </w:tcBorders>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Valuation Technique</w:t>
            </w:r>
          </w:p>
        </w:tc>
        <w:tc>
          <w:tcPr>
            <w:tcW w:w="120" w:type="dxa"/>
            <w:vAlign w:val="bottom"/>
            <w:tcBorders>
              <w:bottom w:val="single" w:sz="8" w:color="CCEEFF"/>
            </w:tcBorders>
          </w:tcPr>
          <w:p>
            <w:pPr>
              <w:spacing w:after="0"/>
              <w:rPr>
                <w:sz w:val="20"/>
                <w:szCs w:val="20"/>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Unobservable Inputs</w:t>
            </w:r>
          </w:p>
        </w:tc>
        <w:tc>
          <w:tcPr>
            <w:tcW w:w="1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Range of Inputs</w:t>
            </w:r>
          </w:p>
        </w:tc>
      </w:tr>
      <w:tr>
        <w:trPr>
          <w:trHeight w:val="195"/>
        </w:trPr>
        <w:tc>
          <w:tcPr>
            <w:tcW w:w="218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Appraised Value/Discounted Cash</w:t>
            </w: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Discounts to appraisals or cash flows for estimated</w:t>
            </w:r>
          </w:p>
        </w:tc>
        <w:tc>
          <w:tcPr>
            <w:tcW w:w="1820" w:type="dxa"/>
            <w:vAlign w:val="bottom"/>
            <w:shd w:val="clear" w:color="auto" w:fill="CCEEFF"/>
          </w:tcPr>
          <w:p>
            <w:pPr>
              <w:spacing w:after="0"/>
              <w:rPr>
                <w:sz w:val="16"/>
                <w:szCs w:val="16"/>
                <w:color w:val="auto"/>
              </w:rPr>
            </w:pPr>
          </w:p>
        </w:tc>
      </w:tr>
      <w:tr>
        <w:trPr>
          <w:trHeight w:val="234"/>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Impaired Loans</w:t>
            </w: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Flows</w:t>
            </w: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holding and/or selling costs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 to 25%</w:t>
            </w:r>
          </w:p>
        </w:tc>
      </w:tr>
      <w:tr>
        <w:trPr>
          <w:trHeight w:val="198"/>
        </w:trPr>
        <w:tc>
          <w:tcPr>
            <w:tcW w:w="21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rPr>
              <w:t>Discounts to appraisals for estimated holding and/or</w:t>
            </w:r>
          </w:p>
        </w:tc>
        <w:tc>
          <w:tcPr>
            <w:tcW w:w="1820" w:type="dxa"/>
            <w:vAlign w:val="bottom"/>
          </w:tcPr>
          <w:p>
            <w:pPr>
              <w:spacing w:after="0"/>
              <w:rPr>
                <w:sz w:val="17"/>
                <w:szCs w:val="17"/>
                <w:color w:val="auto"/>
              </w:rPr>
            </w:pPr>
          </w:p>
        </w:tc>
      </w:tr>
      <w:tr>
        <w:trPr>
          <w:trHeight w:val="219"/>
        </w:trPr>
        <w:tc>
          <w:tcPr>
            <w:tcW w:w="2180" w:type="dxa"/>
            <w:vAlign w:val="bottom"/>
          </w:tcPr>
          <w:p>
            <w:pPr>
              <w:ind w:left="40"/>
              <w:spacing w:after="0"/>
              <w:rPr>
                <w:sz w:val="20"/>
                <w:szCs w:val="20"/>
                <w:color w:val="auto"/>
              </w:rPr>
            </w:pPr>
            <w:r>
              <w:rPr>
                <w:rFonts w:ascii="Arial" w:cs="Arial" w:eastAsia="Arial" w:hAnsi="Arial"/>
                <w:sz w:val="16"/>
                <w:szCs w:val="16"/>
                <w:color w:val="auto"/>
              </w:rPr>
              <w:t>Foreclosed Real Estate</w:t>
            </w:r>
          </w:p>
        </w:tc>
        <w:tc>
          <w:tcPr>
            <w:tcW w:w="3100" w:type="dxa"/>
            <w:vAlign w:val="bottom"/>
            <w:gridSpan w:val="2"/>
          </w:tcPr>
          <w:p>
            <w:pPr>
              <w:jc w:val="center"/>
              <w:ind w:right="120"/>
              <w:spacing w:after="0"/>
              <w:rPr>
                <w:sz w:val="20"/>
                <w:szCs w:val="20"/>
                <w:color w:val="auto"/>
              </w:rPr>
            </w:pPr>
            <w:r>
              <w:rPr>
                <w:rFonts w:ascii="Arial" w:cs="Arial" w:eastAsia="Arial" w:hAnsi="Arial"/>
                <w:sz w:val="16"/>
                <w:szCs w:val="16"/>
                <w:color w:val="auto"/>
              </w:rPr>
              <w:t>Appraised Value/Comparable Sales</w:t>
            </w:r>
          </w:p>
        </w:tc>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rPr>
              <w:t>selling costs</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11 to 25%</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w:t>
      </w:r>
    </w:p>
    <w:p>
      <w:pPr>
        <w:sectPr>
          <w:pgSz w:w="11900" w:h="16838" w:orient="portrait"/>
          <w:cols w:equalWidth="0" w:num="1">
            <w:col w:w="11420"/>
          </w:cols>
          <w:pgMar w:left="240" w:top="726"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726" w:right="239" w:bottom="1440" w:gutter="0" w:footer="0" w:header="0"/>
          <w:type w:val="continuous"/>
        </w:sectPr>
      </w:pPr>
    </w:p>
    <w:bookmarkStart w:id="36" w:name="page37"/>
    <w:bookmarkEnd w:id="3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Fair Value (continued)</w:t>
      </w:r>
    </w:p>
    <w:p>
      <w:pPr>
        <w:spacing w:after="0" w:line="26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market information. Financial instruments include cash, evidence of ownership in an entity, or contracts that convey or impose on an entity that contractual right or obligation to either receive or deliver cash for another financial instrument.</w:t>
      </w:r>
    </w:p>
    <w:p>
      <w:pPr>
        <w:spacing w:after="0" w:line="1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used to determine fair value is highly subjective and judgmental in nature and, therefore, the results may not be 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2018, the Company adopted ASU 2016-01, “Recognition and Measurement of Financial Assets and Liabilities.” The amendments included within this standard, which are applied prospectively, require the Company to disclose fair value of financial instruments measured at amortized cost on the balance sheet and to measure that fair value using an exit price notion. Prior to adopting the amendments included in the standard, the Company was allowed to measure fair value under an entry price notion. The entry price notion previously applied by the Company used a discounted cash flows technique to calculate the present value of expected future cash flows for a financial instrument. The exit price notion uses the same approach, but also incorporates other factors, such as enhanced credit risk, illiquidity risk, and market factors that sometimes exist in exit prices in dislocated markets.</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178"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14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fair value of cash and cash equivalents and investments in restricted stocks is the carrying amount. Restricted stock includes equity of the Federal Reserve and other banker’s banks.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noninterest bearing deposits and securities sold under agreements to repurchase is the carrying amount.</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145"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14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26" w:right="239" w:bottom="1440" w:gutter="0" w:footer="0" w:header="0"/>
        </w:sectPr>
      </w:pPr>
    </w:p>
    <w:bookmarkStart w:id="37" w:name="page38"/>
    <w:bookmarkEnd w:id="3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Fair Value (continued)</w:t>
      </w:r>
    </w:p>
    <w:p>
      <w:pPr>
        <w:spacing w:after="0" w:line="26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carrying amount, fair value, and placement in the fair value hierarchy of the Company’s financial instruments.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Selected Financial Instruments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color w:val="auto"/>
              </w:rPr>
              <w:t>December 31, 2018</w:t>
            </w:r>
          </w:p>
        </w:tc>
      </w:tr>
      <w:tr>
        <w:trPr>
          <w:trHeight w:val="263"/>
        </w:trPr>
        <w:tc>
          <w:tcPr>
            <w:tcW w:w="56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Carrying Amount</w:t>
            </w:r>
          </w:p>
        </w:tc>
        <w:tc>
          <w:tcPr>
            <w:tcW w:w="240" w:type="dxa"/>
            <w:vAlign w:val="bottom"/>
          </w:tcPr>
          <w:p>
            <w:pPr>
              <w:spacing w:after="0"/>
              <w:rPr>
                <w:sz w:val="22"/>
                <w:szCs w:val="22"/>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Fair Value</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74"/>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Level 1</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4"/>
                <w:szCs w:val="14"/>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11,093</w:t>
            </w:r>
          </w:p>
        </w:tc>
        <w:tc>
          <w:tcPr>
            <w:tcW w:w="120" w:type="dxa"/>
            <w:vAlign w:val="bottom"/>
          </w:tcPr>
          <w:p>
            <w:pPr>
              <w:spacing w:after="0"/>
              <w:rPr>
                <w:sz w:val="23"/>
                <w:szCs w:val="23"/>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11,093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10,431</w:t>
            </w:r>
          </w:p>
        </w:tc>
        <w:tc>
          <w:tcPr>
            <w:tcW w:w="100" w:type="dxa"/>
            <w:vAlign w:val="bottom"/>
          </w:tcPr>
          <w:p>
            <w:pPr>
              <w:spacing w:after="0"/>
              <w:rPr>
                <w:sz w:val="23"/>
                <w:szCs w:val="23"/>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10,431</w:t>
            </w:r>
          </w:p>
        </w:tc>
      </w:tr>
      <w:tr>
        <w:trPr>
          <w:trHeight w:val="271"/>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bearing deposits at other financial institutions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40,521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40,521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22,007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22,007</w:t>
            </w:r>
          </w:p>
        </w:tc>
      </w:tr>
      <w:tr>
        <w:trPr>
          <w:trHeight w:val="269"/>
        </w:trPr>
        <w:tc>
          <w:tcPr>
            <w:tcW w:w="5620" w:type="dxa"/>
            <w:vAlign w:val="bottom"/>
          </w:tcPr>
          <w:p>
            <w:pPr>
              <w:ind w:left="280"/>
              <w:spacing w:after="0"/>
              <w:rPr>
                <w:sz w:val="20"/>
                <w:szCs w:val="20"/>
                <w:color w:val="auto"/>
              </w:rPr>
            </w:pPr>
            <w:r>
              <w:rPr>
                <w:rFonts w:ascii="Arial" w:cs="Arial" w:eastAsia="Arial" w:hAnsi="Arial"/>
                <w:sz w:val="14"/>
                <w:szCs w:val="14"/>
                <w:color w:val="auto"/>
              </w:rPr>
              <w:t>Federal funds sold</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3,464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3,464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2,285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2,285</w:t>
            </w:r>
          </w:p>
        </w:tc>
      </w:tr>
      <w:tr>
        <w:trPr>
          <w:trHeight w:val="271"/>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Restricted investments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4,007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2,503</w:t>
            </w:r>
          </w:p>
        </w:tc>
      </w:tr>
      <w:tr>
        <w:trPr>
          <w:trHeight w:val="266"/>
        </w:trPr>
        <w:tc>
          <w:tcPr>
            <w:tcW w:w="5620" w:type="dxa"/>
            <w:vAlign w:val="bottom"/>
          </w:tcPr>
          <w:p>
            <w:pPr>
              <w:ind w:left="18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receivable,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1,127,502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1,124,707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988,960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979,058</w:t>
            </w:r>
          </w:p>
        </w:tc>
      </w:tr>
      <w:tr>
        <w:trPr>
          <w:trHeight w:val="270"/>
        </w:trPr>
        <w:tc>
          <w:tcPr>
            <w:tcW w:w="5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5620" w:type="dxa"/>
            <w:vAlign w:val="bottom"/>
          </w:tcPr>
          <w:p>
            <w:pPr>
              <w:ind w:left="18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Noninterest 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293,378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293,378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242,259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242,259</w:t>
            </w:r>
          </w:p>
        </w:tc>
      </w:tr>
      <w:tr>
        <w:trPr>
          <w:trHeight w:val="269"/>
        </w:trPr>
        <w:tc>
          <w:tcPr>
            <w:tcW w:w="5620" w:type="dxa"/>
            <w:vAlign w:val="bottom"/>
          </w:tcPr>
          <w:p>
            <w:pPr>
              <w:ind w:left="280"/>
              <w:spacing w:after="0"/>
              <w:rPr>
                <w:sz w:val="20"/>
                <w:szCs w:val="20"/>
                <w:color w:val="auto"/>
              </w:rPr>
            </w:pPr>
            <w:r>
              <w:rPr>
                <w:rFonts w:ascii="Arial" w:cs="Arial" w:eastAsia="Arial" w:hAnsi="Arial"/>
                <w:sz w:val="14"/>
                <w:szCs w:val="14"/>
                <w:color w:val="auto"/>
              </w:rPr>
              <w:t>Securities sold under agreements to repurchase</w:t>
            </w:r>
          </w:p>
        </w:tc>
        <w:tc>
          <w:tcPr>
            <w:tcW w:w="10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3,332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3,332</w:t>
            </w:r>
          </w:p>
        </w:tc>
      </w:tr>
      <w:tr>
        <w:trPr>
          <w:trHeight w:val="271"/>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Level 3</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4"/>
                <w:szCs w:val="14"/>
                <w:color w:val="auto"/>
              </w:rPr>
              <w:t>Interest bearing deposits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819,066</w:t>
            </w:r>
          </w:p>
        </w:tc>
        <w:tc>
          <w:tcPr>
            <w:tcW w:w="120" w:type="dxa"/>
            <w:vAlign w:val="bottom"/>
          </w:tcPr>
          <w:p>
            <w:pPr>
              <w:spacing w:after="0"/>
              <w:rPr>
                <w:sz w:val="23"/>
                <w:szCs w:val="23"/>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819,810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712,981</w:t>
            </w:r>
          </w:p>
        </w:tc>
        <w:tc>
          <w:tcPr>
            <w:tcW w:w="100" w:type="dxa"/>
            <w:vAlign w:val="bottom"/>
          </w:tcPr>
          <w:p>
            <w:pPr>
              <w:spacing w:after="0"/>
              <w:rPr>
                <w:sz w:val="23"/>
                <w:szCs w:val="23"/>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711,876</w:t>
            </w:r>
          </w:p>
        </w:tc>
      </w:tr>
      <w:tr>
        <w:trPr>
          <w:trHeight w:val="271"/>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FHLB advances and other borrowed funds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50,972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51,077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19,393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19,447</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26" w:right="239" w:bottom="1440" w:gutter="0" w:footer="0" w:header="0"/>
        </w:sectPr>
      </w:pPr>
    </w:p>
    <w:bookmarkStart w:id="38" w:name="page39"/>
    <w:bookmarkEnd w:id="38"/>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Litigation</w:t>
      </w: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previously reported in the Company’s quarterly report on Form 10 -Q for the quarter ended March 31, 2019, the Bank, along with two other banking institutions, was a defendant in a lawsuit with respect to which the Bank entered into a Settlement Agreement and Joint Tortfeasor Release. All amounts paid by the Bank were fully funded by its insurance carrier except for $200,000 which was accrued at March 31, 2019 and paid in April, 2019. The Settlement includes a release of all claims in the lawsuit that were or could have been brought and precludes further proceedings.</w:t>
      </w:r>
    </w:p>
    <w:p>
      <w:pPr>
        <w:spacing w:after="0" w:line="175"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8"/>
          <w:szCs w:val="18"/>
          <w:color w:val="auto"/>
        </w:rPr>
        <w:t>In addition to the lawsuit described above, the Company is involved in legal proceedings occurring in the ordinary course of business. The aggregate effect of these, in management’s opinion, will not materially affect the results of operations or financial condition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2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SECURITIES LITIGATION REFORM ACT SAFE HARBOR STATEMENT</w:t>
      </w:r>
    </w:p>
    <w:p>
      <w:pPr>
        <w:spacing w:after="0" w:line="2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“plan,” “estimate,” “could,” “project,” “seek,” “should,” “will,” or “would,” or the negative of these words and phrases or similar words and phrases.</w:t>
      </w:r>
    </w:p>
    <w:p>
      <w:pPr>
        <w:spacing w:after="0" w:line="18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These forward-looking statements are subject to risks and uncertainties that could cause actual results, performance or achievements to differ materially from those projected. These risks and uncertainties, some of which are beyond our control, include, but are not limited to:</w:t>
      </w:r>
    </w:p>
    <w:p>
      <w:pPr>
        <w:spacing w:after="0" w:line="145" w:lineRule="exact"/>
        <w:rPr>
          <w:sz w:val="20"/>
          <w:szCs w:val="20"/>
          <w:color w:val="auto"/>
        </w:rPr>
      </w:pPr>
    </w:p>
    <w:p>
      <w:pPr>
        <w:ind w:left="66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(including interest rate environment, government economic and monetary policies, the strength of global financial markets and inflation and deflation) that impact the financial services industry as a whole and/or our business;</w:t>
      </w:r>
    </w:p>
    <w:p>
      <w:pPr>
        <w:spacing w:after="0" w:line="144"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metropolitan areas and the effect of changes in the economic, political and environmental conditions on these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225"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greater risks of non-payment or other unfavorable consequences;</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adequacy of reserves, including our allowance for loan losses;</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deterioration of our asset quality;</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residential mortgage banking business;</w:t>
      </w:r>
    </w:p>
    <w:p>
      <w:pPr>
        <w:spacing w:after="0" w:line="238"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OpenSky credit card division, including compliance with applicable consumer finance and fraud prevention regulations;</w:t>
      </w:r>
    </w:p>
    <w:p>
      <w:pPr>
        <w:spacing w:after="0" w:line="144"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144"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internal control over financial reporting and our ability to remediate any future material weakness in our internal control over financial reporting;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58" w:right="239" w:bottom="1440" w:gutter="0" w:footer="0" w:header="0"/>
        </w:sectPr>
      </w:pPr>
    </w:p>
    <w:bookmarkStart w:id="40" w:name="page41"/>
    <w:bookmarkEnd w:id="40"/>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 risks associated with our business;</w:t>
      </w:r>
    </w:p>
    <w:p>
      <w:pPr>
        <w:spacing w:after="0" w:line="225"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possible impact of uncertainty about the future of </w:t>
      </w:r>
      <w:r>
        <w:rPr>
          <w:rFonts w:ascii="Arial" w:cs="Arial" w:eastAsia="Arial" w:hAnsi="Arial"/>
          <w:sz w:val="18"/>
          <w:szCs w:val="18"/>
          <w:i w:val="1"/>
          <w:iCs w:val="1"/>
          <w:color w:val="auto"/>
        </w:rPr>
        <w:t>LIBOR</w:t>
      </w:r>
      <w:r>
        <w:rPr>
          <w:rFonts w:ascii="Arial" w:cs="Arial" w:eastAsia="Arial" w:hAnsi="Arial"/>
          <w:sz w:val="18"/>
          <w:szCs w:val="18"/>
          <w:color w:val="auto"/>
        </w:rPr>
        <w:t xml:space="preserve"> on our net interest income;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important deposit customer relationships and our reputation;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risks associated with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225"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capital, including sources of capital and the extent to which we may be required to raise additional capital to meet our goals;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fair value of our investment securities that are beyond our control;</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225" w:lineRule="exact"/>
        <w:rPr>
          <w:rFonts w:ascii="Arial" w:cs="Arial" w:eastAsia="Arial" w:hAnsi="Arial"/>
          <w:sz w:val="18"/>
          <w:szCs w:val="18"/>
          <w:color w:val="auto"/>
        </w:rPr>
      </w:pPr>
    </w:p>
    <w:p>
      <w:pPr>
        <w:ind w:left="328" w:right="20" w:hanging="328"/>
        <w:spacing w:after="0" w:line="292"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our information technology and telecommunications systems and the potential for any systems failures or interruptions;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225" w:lineRule="exact"/>
        <w:rPr>
          <w:rFonts w:ascii="Arial" w:cs="Arial" w:eastAsia="Arial" w:hAnsi="Arial"/>
          <w:sz w:val="18"/>
          <w:szCs w:val="18"/>
          <w:color w:val="auto"/>
        </w:rPr>
      </w:pPr>
    </w:p>
    <w:p>
      <w:pPr>
        <w:ind w:left="328" w:right="20" w:hanging="328"/>
        <w:spacing w:after="0" w:line="292"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 and</w:t>
      </w:r>
    </w:p>
    <w:p>
      <w:pPr>
        <w:spacing w:after="0" w:line="225"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w:t>
      </w:r>
    </w:p>
    <w:p>
      <w:pPr>
        <w:spacing w:after="0" w:line="200" w:lineRule="exact"/>
        <w:rPr>
          <w:sz w:val="20"/>
          <w:szCs w:val="20"/>
          <w:color w:val="auto"/>
        </w:rPr>
      </w:pPr>
    </w:p>
    <w:p>
      <w:pPr>
        <w:spacing w:after="0" w:line="363"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8"/>
          </w:cols>
          <w:pgMar w:left="572" w:top="360" w:right="239" w:bottom="1440" w:gutter="0" w:footer="0" w:header="0"/>
        </w:sectPr>
      </w:pPr>
    </w:p>
    <w:bookmarkStart w:id="41" w:name="page42"/>
    <w:bookmarkEnd w:id="41"/>
    <w:p>
      <w:pPr>
        <w:jc w:val="both"/>
        <w:ind w:firstLine="324"/>
        <w:spacing w:after="0" w:line="254" w:lineRule="auto"/>
        <w:rPr>
          <w:sz w:val="20"/>
          <w:szCs w:val="20"/>
          <w:color w:val="auto"/>
        </w:rPr>
      </w:pPr>
      <w:r>
        <w:rPr>
          <w:rFonts w:ascii="Arial" w:cs="Arial" w:eastAsia="Arial" w:hAnsi="Arial"/>
          <w:sz w:val="18"/>
          <w:szCs w:val="18"/>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2018. 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 In light of these risks and uncertainties, you should keep in mind that any forward-looking statement made in this document or elsewhere might not reflect actual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Capital Bancorp, Inc. (the “Company”) was incorporated in 1998 in Maryland to act as the bank holding company for Capital Bank, N.A. (the “Bank”) which received its charter in 1999 and began operations in 1999. The Bank is headquartered in Rockville, Maryland and serves the Washington, D.C. and Baltimore metropolitan areas through five commercial bank branches, five mortgage offices, two loan production offices, a limited service branch and three corporate and operations facilities located in key markets throughout our operating area. We serve businesses, not-for-profit associations and entrepreneurs throughout the region by partnering with them to design tailored financial solutions supported by customized technology and “client first” advice.</w:t>
      </w:r>
    </w:p>
    <w:p>
      <w:pPr>
        <w:spacing w:after="0" w:line="17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operate through three divisions: Commercial Banking; Capital Bank Home Loans (“CBHL”), formerly Church Street Mortgage, our residential mortgage banking arm; and OpenSky</w:t>
      </w:r>
      <w:r>
        <w:rPr>
          <w:rFonts w:ascii="Arial" w:cs="Arial" w:eastAsia="Arial" w:hAnsi="Arial"/>
          <w:sz w:val="21"/>
          <w:szCs w:val="21"/>
          <w:color w:val="auto"/>
          <w:vertAlign w:val="superscript"/>
        </w:rPr>
        <w:t>®</w:t>
      </w:r>
      <w:r>
        <w:rPr>
          <w:rFonts w:ascii="Arial" w:cs="Arial" w:eastAsia="Arial" w:hAnsi="Arial"/>
          <w:sz w:val="18"/>
          <w:szCs w:val="18"/>
          <w:color w:val="auto"/>
        </w:rPr>
        <w:t>, a secured, digitally-driven nationwide credit card platform. Our Commercial Banking division accounts for the majority of the Bank’s total assets. Our commercial bankers provide high quality service, customized solutions and tailored advice to commercial clients in our operating markets.</w:t>
      </w:r>
    </w:p>
    <w:p>
      <w:pPr>
        <w:spacing w:after="0" w:line="18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CBHL division originates conventional and government-guaranteed residential mortgage loans on a nationwide basis primarily for sale into the secondary market and in certain, limited circumstances for the Bank’s loan portfolio.</w:t>
      </w:r>
    </w:p>
    <w:p>
      <w:pPr>
        <w:spacing w:after="0" w:line="14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Our 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division provides secured credit cards on a nationwide basis to under-banked populations and those looking to rebuild their credit scores. 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cards operate on a fully digital and mobile enabled platform with all marketing and application procedures conducted through website and mobile applications. A deposit equal to the full credit limit of the card is made into a noninterest-bearing demand account with the Bank when the account is opened and the deposit is required to be maintained throughout the life of the card. Using our proprietary scoring model, which considers credit score and repayment history (typically a minimum of six months of on-time repayments, but ultimately determined on a case-by-case basis), the Bank has recently begun to offer certain existing customers an unsecured line in excess of their secured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tcBorders>
              <w:bottom w:val="single" w:sz="8" w:color="auto"/>
            </w:tcBorders>
          </w:tcPr>
          <w:p>
            <w:pPr>
              <w:spacing w:after="0"/>
              <w:rPr>
                <w:sz w:val="17"/>
                <w:szCs w:val="17"/>
                <w:color w:val="auto"/>
              </w:rPr>
            </w:pPr>
          </w:p>
        </w:tc>
      </w:tr>
      <w:tr>
        <w:trPr>
          <w:trHeight w:val="263"/>
        </w:trPr>
        <w:tc>
          <w:tcPr>
            <w:tcW w:w="63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Change</w:t>
            </w:r>
          </w:p>
        </w:tc>
      </w:tr>
      <w:tr>
        <w:trPr>
          <w:trHeight w:val="246"/>
        </w:trPr>
        <w:tc>
          <w:tcPr>
            <w:tcW w:w="63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
        </w:trPr>
        <w:tc>
          <w:tcPr>
            <w:tcW w:w="6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22,354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17,447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4,170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2,955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41.1%</w:t>
            </w:r>
          </w:p>
        </w:tc>
      </w:tr>
      <w:tr>
        <w:trPr>
          <w:trHeight w:val="257"/>
        </w:trPr>
        <w:tc>
          <w:tcPr>
            <w:tcW w:w="63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w:t>
            </w:r>
          </w:p>
        </w:tc>
        <w:tc>
          <w:tcPr>
            <w:tcW w:w="9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18,184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loan losses</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116.4%</w:t>
            </w:r>
          </w:p>
        </w:tc>
      </w:tr>
      <w:tr>
        <w:trPr>
          <w:trHeight w:val="257"/>
        </w:trPr>
        <w:tc>
          <w:tcPr>
            <w:tcW w:w="63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 after provision</w:t>
            </w:r>
          </w:p>
        </w:tc>
        <w:tc>
          <w:tcPr>
            <w:tcW w:w="9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17,113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13,997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62"/>
        </w:trPr>
        <w:tc>
          <w:tcPr>
            <w:tcW w:w="638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940" w:type="dxa"/>
            <w:vAlign w:val="bottom"/>
          </w:tcPr>
          <w:p>
            <w:pPr>
              <w:spacing w:after="0"/>
              <w:rPr>
                <w:sz w:val="22"/>
                <w:szCs w:val="22"/>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7,221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4,240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70.3%</w:t>
            </w:r>
          </w:p>
        </w:tc>
      </w:tr>
      <w:tr>
        <w:trPr>
          <w:trHeight w:val="278"/>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expenses</w:t>
            </w:r>
          </w:p>
        </w:tc>
        <w:tc>
          <w:tcPr>
            <w:tcW w:w="9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18,228</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13,900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46"/>
        </w:trPr>
        <w:tc>
          <w:tcPr>
            <w:tcW w:w="6380" w:type="dxa"/>
            <w:vAlign w:val="bottom"/>
          </w:tcPr>
          <w:p>
            <w:pPr>
              <w:ind w:left="280"/>
              <w:spacing w:after="0"/>
              <w:rPr>
                <w:sz w:val="20"/>
                <w:szCs w:val="20"/>
                <w:color w:val="auto"/>
              </w:rPr>
            </w:pPr>
            <w:r>
              <w:rPr>
                <w:rFonts w:ascii="Arial" w:cs="Arial" w:eastAsia="Arial" w:hAnsi="Arial"/>
                <w:sz w:val="16"/>
                <w:szCs w:val="16"/>
                <w:b w:val="1"/>
                <w:bCs w:val="1"/>
                <w:color w:val="auto"/>
              </w:rPr>
              <w:t>Net income before income taxes</w:t>
            </w:r>
          </w:p>
        </w:tc>
        <w:tc>
          <w:tcPr>
            <w:tcW w:w="940" w:type="dxa"/>
            <w:vAlign w:val="bottom"/>
          </w:tcPr>
          <w:p>
            <w:pPr>
              <w:spacing w:after="0"/>
              <w:rPr>
                <w:sz w:val="21"/>
                <w:szCs w:val="21"/>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6,106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4,337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67"/>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9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1,625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43"/>
        </w:trPr>
        <w:tc>
          <w:tcPr>
            <w:tcW w:w="6380" w:type="dxa"/>
            <w:vAlign w:val="bottom"/>
          </w:tcPr>
          <w:p>
            <w:pPr>
              <w:ind w:left="280"/>
              <w:spacing w:after="0"/>
              <w:rPr>
                <w:sz w:val="20"/>
                <w:szCs w:val="20"/>
                <w:color w:val="auto"/>
              </w:rPr>
            </w:pPr>
            <w:r>
              <w:rPr>
                <w:rFonts w:ascii="Arial" w:cs="Arial" w:eastAsia="Arial" w:hAnsi="Arial"/>
                <w:sz w:val="16"/>
                <w:szCs w:val="16"/>
                <w:b w:val="1"/>
                <w:bCs w:val="1"/>
                <w:color w:val="auto"/>
              </w:rPr>
              <w:t>Net income</w:t>
            </w: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4,481</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0"/>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Net income for the three months ended September 30, 2019 was $4.5 million, an increase of approximately $1.3 million, or 42%, from net income for the three months ended September 30, 2018 of $3.1 million. The increase was primarily due to increased net interest income and noninterest income, offset by higher provision for loan losses and noninterest expenses.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1020" w:type="dxa"/>
            <w:vAlign w:val="bottom"/>
            <w:tcBorders>
              <w:bottom w:val="single" w:sz="8" w:color="auto"/>
            </w:tcBorders>
          </w:tcPr>
          <w:p>
            <w:pPr>
              <w:spacing w:after="0"/>
              <w:rPr>
                <w:sz w:val="17"/>
                <w:szCs w:val="17"/>
                <w:color w:val="auto"/>
              </w:rPr>
            </w:pPr>
          </w:p>
        </w:tc>
      </w:tr>
      <w:tr>
        <w:trPr>
          <w:trHeight w:val="263"/>
        </w:trPr>
        <w:tc>
          <w:tcPr>
            <w:tcW w:w="63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Change</w:t>
            </w:r>
          </w:p>
        </w:tc>
      </w:tr>
      <w:tr>
        <w:trPr>
          <w:trHeight w:val="246"/>
        </w:trPr>
        <w:tc>
          <w:tcPr>
            <w:tcW w:w="63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0"/>
        </w:trPr>
        <w:tc>
          <w:tcPr>
            <w:tcW w:w="6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60,961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50,890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8"/>
              </w:rPr>
              <w:t>11,502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7,891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45.8%</w:t>
            </w:r>
          </w:p>
        </w:tc>
      </w:tr>
      <w:tr>
        <w:trPr>
          <w:trHeight w:val="257"/>
        </w:trPr>
        <w:tc>
          <w:tcPr>
            <w:tcW w:w="63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w:t>
            </w:r>
          </w:p>
        </w:tc>
        <w:tc>
          <w:tcPr>
            <w:tcW w:w="9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49,459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42,999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loan losses</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1,869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1,640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14.0%</w:t>
            </w:r>
          </w:p>
        </w:tc>
      </w:tr>
      <w:tr>
        <w:trPr>
          <w:trHeight w:val="257"/>
        </w:trPr>
        <w:tc>
          <w:tcPr>
            <w:tcW w:w="63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 after provision</w:t>
            </w:r>
          </w:p>
        </w:tc>
        <w:tc>
          <w:tcPr>
            <w:tcW w:w="9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47,590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41,359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62"/>
        </w:trPr>
        <w:tc>
          <w:tcPr>
            <w:tcW w:w="638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940" w:type="dxa"/>
            <w:vAlign w:val="bottom"/>
          </w:tcPr>
          <w:p>
            <w:pPr>
              <w:spacing w:after="0"/>
              <w:rPr>
                <w:sz w:val="22"/>
                <w:szCs w:val="22"/>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w w:val="98"/>
              </w:rPr>
              <w:t>17,240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12,657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78"/>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expenses</w:t>
            </w:r>
          </w:p>
        </w:tc>
        <w:tc>
          <w:tcPr>
            <w:tcW w:w="9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48,768</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41,028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46"/>
        </w:trPr>
        <w:tc>
          <w:tcPr>
            <w:tcW w:w="6380" w:type="dxa"/>
            <w:vAlign w:val="bottom"/>
          </w:tcPr>
          <w:p>
            <w:pPr>
              <w:ind w:left="280"/>
              <w:spacing w:after="0"/>
              <w:rPr>
                <w:sz w:val="20"/>
                <w:szCs w:val="20"/>
                <w:color w:val="auto"/>
              </w:rPr>
            </w:pPr>
            <w:r>
              <w:rPr>
                <w:rFonts w:ascii="Arial" w:cs="Arial" w:eastAsia="Arial" w:hAnsi="Arial"/>
                <w:sz w:val="16"/>
                <w:szCs w:val="16"/>
                <w:b w:val="1"/>
                <w:bCs w:val="1"/>
                <w:color w:val="auto"/>
              </w:rPr>
              <w:t>Net income before income taxes</w:t>
            </w:r>
          </w:p>
        </w:tc>
        <w:tc>
          <w:tcPr>
            <w:tcW w:w="940" w:type="dxa"/>
            <w:vAlign w:val="bottom"/>
          </w:tcPr>
          <w:p>
            <w:pPr>
              <w:spacing w:after="0"/>
              <w:rPr>
                <w:sz w:val="21"/>
                <w:szCs w:val="21"/>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w w:val="98"/>
              </w:rPr>
              <w:t>16,062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12,988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67"/>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9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4,239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3,706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43"/>
        </w:trPr>
        <w:tc>
          <w:tcPr>
            <w:tcW w:w="6380" w:type="dxa"/>
            <w:vAlign w:val="bottom"/>
          </w:tcPr>
          <w:p>
            <w:pPr>
              <w:ind w:left="280"/>
              <w:spacing w:after="0"/>
              <w:rPr>
                <w:sz w:val="20"/>
                <w:szCs w:val="20"/>
                <w:color w:val="auto"/>
              </w:rPr>
            </w:pPr>
            <w:r>
              <w:rPr>
                <w:rFonts w:ascii="Arial" w:cs="Arial" w:eastAsia="Arial" w:hAnsi="Arial"/>
                <w:sz w:val="16"/>
                <w:szCs w:val="16"/>
                <w:b w:val="1"/>
                <w:bCs w:val="1"/>
                <w:color w:val="auto"/>
              </w:rPr>
              <w:t>Net income</w:t>
            </w: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8"/>
              </w:rPr>
              <w:t>11,823</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0"/>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Net income for the nine months ended September 30, 2019 was $11.8 million, an increase of approximately $2.5 million, or 27%, from net income for the nine months ended September 30, 2018 of $9.3 million. The increase was primarily due to increased net interest income and noninterest income, offset by higher noninterest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analyze our ability to generate income from interest earning assets and control the interest expenses of our liabilities, measured as net interest income, through our net interest margin and net interest spread. Net interest income is the difference between the interest and fees earned on interest earning assets, such as loans and securities, and the interest expense incurred in connection with interest bearing liabilities, such as deposits and borrowings, which are used to fund those assets. Net interest margin is a ratio calculated as net interest income divided by average interest earning assets for the same period. Net interest spread is the difference between average interest rates earned on interest earning assets and average interest rates paid on interest bearing liabilities.</w:t>
      </w:r>
    </w:p>
    <w:p>
      <w:pPr>
        <w:spacing w:after="0" w:line="17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Changes in market interest rates and the interest rates we earn on interest earning assets or pay on interest bearing liabilities, as well as in the volume and types of interest earning assets, interest bearing and</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358" w:right="239" w:bottom="1440" w:gutter="0" w:footer="0" w:header="0"/>
          <w:type w:val="continuous"/>
        </w:sectPr>
      </w:pPr>
    </w:p>
    <w:bookmarkStart w:id="43" w:name="page44"/>
    <w:bookmarkEnd w:id="43"/>
    <w:p>
      <w:pPr>
        <w:jc w:val="both"/>
        <w:spacing w:after="0" w:line="255" w:lineRule="auto"/>
        <w:rPr>
          <w:sz w:val="20"/>
          <w:szCs w:val="20"/>
          <w:color w:val="auto"/>
        </w:rPr>
      </w:pPr>
      <w:r>
        <w:rPr>
          <w:rFonts w:ascii="Arial" w:cs="Arial" w:eastAsia="Arial" w:hAnsi="Arial"/>
          <w:sz w:val="18"/>
          <w:szCs w:val="18"/>
          <w:color w:val="auto"/>
        </w:rPr>
        <w:t>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our net interest income and net interest margin as our primary sources of earnings.</w:t>
      </w: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0" w:right="239" w:bottom="1440" w:gutter="0" w:footer="0" w:header="0"/>
        </w:sectPr>
      </w:pPr>
    </w:p>
    <w:bookmarkStart w:id="44" w:name="page45"/>
    <w:bookmarkEnd w:id="44"/>
    <w:p>
      <w:pPr>
        <w:jc w:val="both"/>
        <w:ind w:firstLine="324"/>
        <w:spacing w:after="0" w:line="271" w:lineRule="auto"/>
        <w:rPr>
          <w:sz w:val="20"/>
          <w:szCs w:val="20"/>
          <w:color w:val="auto"/>
        </w:rPr>
      </w:pPr>
      <w:r>
        <w:rPr>
          <w:rFonts w:ascii="Arial" w:cs="Arial" w:eastAsia="Arial" w:hAnsi="Arial"/>
          <w:sz w:val="18"/>
          <w:szCs w:val="18"/>
          <w:color w:val="auto"/>
        </w:rPr>
        <w:t>The following table shows the average outstanding balance of each principal category of our assets, liabilities and stockholders’ equity, together with the average yields on our assets and the average costs of our liabilities for the periods indicated. Such yields and cost are calculated by dividing income or expense by the average daily balances of the corresponding assets or liabilities for the same period.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Interest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40"/>
              <w:spacing w:after="0"/>
              <w:rPr>
                <w:sz w:val="20"/>
                <w:szCs w:val="20"/>
                <w:color w:val="auto"/>
              </w:rPr>
            </w:pPr>
            <w:r>
              <w:rPr>
                <w:rFonts w:ascii="Arial" w:cs="Arial" w:eastAsia="Arial" w:hAnsi="Arial"/>
                <w:sz w:val="14"/>
                <w:szCs w:val="14"/>
                <w:color w:val="auto"/>
              </w:rPr>
              <w:t>Interest earning assets:</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deposits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42,734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66"/>
        </w:trPr>
        <w:tc>
          <w:tcPr>
            <w:tcW w:w="3780" w:type="dxa"/>
            <w:vAlign w:val="bottom"/>
          </w:tcPr>
          <w:p>
            <w:pPr>
              <w:ind w:left="200"/>
              <w:spacing w:after="0"/>
              <w:rPr>
                <w:sz w:val="20"/>
                <w:szCs w:val="20"/>
                <w:color w:val="auto"/>
              </w:rPr>
            </w:pPr>
            <w:r>
              <w:rPr>
                <w:rFonts w:ascii="Arial" w:cs="Arial" w:eastAsia="Arial" w:hAnsi="Arial"/>
                <w:sz w:val="14"/>
                <w:szCs w:val="14"/>
                <w:color w:val="auto"/>
              </w:rPr>
              <w:t>Federal funds sold</w:t>
            </w:r>
          </w:p>
        </w:tc>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securities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66"/>
        </w:trPr>
        <w:tc>
          <w:tcPr>
            <w:tcW w:w="3780" w:type="dxa"/>
            <w:vAlign w:val="bottom"/>
          </w:tcPr>
          <w:p>
            <w:pPr>
              <w:ind w:left="200"/>
              <w:spacing w:after="0"/>
              <w:rPr>
                <w:sz w:val="20"/>
                <w:szCs w:val="20"/>
                <w:color w:val="auto"/>
              </w:rPr>
            </w:pPr>
            <w:r>
              <w:rPr>
                <w:rFonts w:ascii="Arial" w:cs="Arial" w:eastAsia="Arial" w:hAnsi="Arial"/>
                <w:sz w:val="14"/>
                <w:szCs w:val="14"/>
                <w:color w:val="auto"/>
              </w:rPr>
              <w:t>Restricted investments</w:t>
            </w:r>
          </w:p>
        </w:tc>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5,629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2,604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Loans held for sale</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56,301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28"/>
                <w:szCs w:val="28"/>
                <w:color w:val="auto"/>
                <w:vertAlign w:val="subscript"/>
              </w:rPr>
              <w:t>Loans</w:t>
            </w:r>
            <w:r>
              <w:rPr>
                <w:rFonts w:ascii="Arial" w:cs="Arial" w:eastAsia="Arial" w:hAnsi="Arial"/>
                <w:sz w:val="9"/>
                <w:szCs w:val="9"/>
                <w:color w:val="auto"/>
              </w:rPr>
              <w:t>(2)(3)</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1,099,191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21,004</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919,759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16,543</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earning assets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1,236,558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22,354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1,034,281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17,447</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60"/>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Noninterest earning assets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15,908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3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1,252,466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1,046,205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40"/>
              <w:spacing w:after="0"/>
              <w:rPr>
                <w:sz w:val="20"/>
                <w:szCs w:val="20"/>
                <w:color w:val="auto"/>
              </w:rPr>
            </w:pPr>
            <w:r>
              <w:rPr>
                <w:rFonts w:ascii="Arial" w:cs="Arial" w:eastAsia="Arial" w:hAnsi="Arial"/>
                <w:sz w:val="14"/>
                <w:szCs w:val="14"/>
                <w:color w:val="auto"/>
              </w:rPr>
              <w:t>Interest bearing liabilities:</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demand accounts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116,820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74,854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66"/>
        </w:trPr>
        <w:tc>
          <w:tcPr>
            <w:tcW w:w="3780" w:type="dxa"/>
            <w:vAlign w:val="bottom"/>
          </w:tcPr>
          <w:p>
            <w:pPr>
              <w:ind w:left="200"/>
              <w:spacing w:after="0"/>
              <w:rPr>
                <w:sz w:val="20"/>
                <w:szCs w:val="20"/>
                <w:color w:val="auto"/>
              </w:rPr>
            </w:pPr>
            <w:r>
              <w:rPr>
                <w:rFonts w:ascii="Arial" w:cs="Arial" w:eastAsia="Arial" w:hAnsi="Arial"/>
                <w:sz w:val="14"/>
                <w:szCs w:val="14"/>
                <w:color w:val="auto"/>
              </w:rPr>
              <w:t>Savings</w:t>
            </w:r>
          </w:p>
        </w:tc>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4,062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Money market accounts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339,751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270,697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972</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66"/>
        </w:trPr>
        <w:tc>
          <w:tcPr>
            <w:tcW w:w="3780" w:type="dxa"/>
            <w:vAlign w:val="bottom"/>
          </w:tcPr>
          <w:p>
            <w:pPr>
              <w:ind w:left="200"/>
              <w:spacing w:after="0"/>
              <w:rPr>
                <w:sz w:val="20"/>
                <w:szCs w:val="20"/>
                <w:color w:val="auto"/>
              </w:rPr>
            </w:pPr>
            <w:r>
              <w:rPr>
                <w:rFonts w:ascii="Arial" w:cs="Arial" w:eastAsia="Arial" w:hAnsi="Arial"/>
                <w:sz w:val="14"/>
                <w:szCs w:val="14"/>
                <w:color w:val="auto"/>
              </w:rPr>
              <w:t>Time deposits</w:t>
            </w:r>
          </w:p>
        </w:tc>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286,605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1,771</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338,005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1,585</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Borrowed funds</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89,746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32,248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interest bearing liabilities</w:t>
            </w:r>
          </w:p>
        </w:tc>
        <w:tc>
          <w:tcPr>
            <w:tcW w:w="1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836,835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4,170</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719,866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2,955</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68"/>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bearing liabilities: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200"/>
              <w:spacing w:after="0"/>
              <w:rPr>
                <w:sz w:val="20"/>
                <w:szCs w:val="20"/>
                <w:color w:val="auto"/>
              </w:rPr>
            </w:pPr>
            <w:r>
              <w:rPr>
                <w:rFonts w:ascii="Arial" w:cs="Arial" w:eastAsia="Arial" w:hAnsi="Arial"/>
                <w:sz w:val="14"/>
                <w:szCs w:val="14"/>
                <w:color w:val="auto"/>
              </w:rPr>
              <w:t>Noninterest bearing liabilities</w:t>
            </w:r>
          </w:p>
        </w:tc>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17,163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Noninterest bearing deposits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271,851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224,877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Stockholders’ equity</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126,617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91,212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3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1,252,466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1,046,205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interest spread</w:t>
            </w:r>
            <w:r>
              <w:rPr>
                <w:rFonts w:ascii="Arial" w:cs="Arial" w:eastAsia="Arial" w:hAnsi="Arial"/>
                <w:sz w:val="17"/>
                <w:szCs w:val="17"/>
                <w:color w:val="auto"/>
                <w:vertAlign w:val="superscript"/>
              </w:rPr>
              <w:t>(4)</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Net interest income</w:t>
            </w: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bottom w:val="single" w:sz="8" w:color="CCEEFF"/>
            </w:tcBorders>
            <w:vMerge w:val="restart"/>
          </w:tcPr>
          <w:p>
            <w:pPr>
              <w:jc w:val="right"/>
              <w:ind w:right="28"/>
              <w:spacing w:after="0"/>
              <w:rPr>
                <w:sz w:val="20"/>
                <w:szCs w:val="20"/>
                <w:color w:val="auto"/>
              </w:rPr>
            </w:pPr>
            <w:r>
              <w:rPr>
                <w:rFonts w:ascii="Arial" w:cs="Arial" w:eastAsia="Arial" w:hAnsi="Arial"/>
                <w:sz w:val="14"/>
                <w:szCs w:val="14"/>
                <w:color w:val="auto"/>
              </w:rPr>
              <w:t>18,184</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bottom w:val="single" w:sz="8" w:color="CCEEFF"/>
            </w:tcBorders>
            <w:vMerge w:val="restart"/>
          </w:tcPr>
          <w:p>
            <w:pPr>
              <w:jc w:val="right"/>
              <w:ind w:right="28"/>
              <w:spacing w:after="0"/>
              <w:rPr>
                <w:sz w:val="20"/>
                <w:szCs w:val="20"/>
                <w:color w:val="auto"/>
              </w:rPr>
            </w:pPr>
            <w:r>
              <w:rPr>
                <w:rFonts w:ascii="Arial" w:cs="Arial" w:eastAsia="Arial" w:hAnsi="Arial"/>
                <w:sz w:val="14"/>
                <w:szCs w:val="14"/>
                <w:color w:val="auto"/>
              </w:rPr>
              <w:t>14,492</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780" w:type="dxa"/>
            <w:vAlign w:val="bottom"/>
            <w:tcBorders>
              <w:bottom w:val="single" w:sz="8" w:color="CCEEFF"/>
            </w:tcBorders>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17"/>
                <w:szCs w:val="17"/>
                <w:color w:val="auto"/>
                <w:vertAlign w:val="superscript"/>
              </w:rPr>
              <w:t>(5)</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vMerge w:val="restart"/>
          </w:tcPr>
          <w:p>
            <w:pPr>
              <w:ind w:left="40"/>
              <w:spacing w:after="0"/>
              <w:rPr>
                <w:sz w:val="20"/>
                <w:szCs w:val="20"/>
                <w:color w:val="auto"/>
              </w:rPr>
            </w:pPr>
            <w:r>
              <w:rPr>
                <w:rFonts w:ascii="Arial" w:cs="Arial" w:eastAsia="Arial" w:hAnsi="Arial"/>
                <w:sz w:val="14"/>
                <w:szCs w:val="14"/>
                <w:color w:val="auto"/>
              </w:rPr>
              <w:t>Net interest margin excluding credit card portfolio</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6574155</wp:posOffset>
            </wp:positionH>
            <wp:positionV relativeFrom="paragraph">
              <wp:posOffset>-2540</wp:posOffset>
            </wp:positionV>
            <wp:extent cx="6775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-2540</wp:posOffset>
            </wp:positionV>
            <wp:extent cx="6775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6574155</wp:posOffset>
            </wp:positionH>
            <wp:positionV relativeFrom="paragraph">
              <wp:posOffset>-125095</wp:posOffset>
            </wp:positionV>
            <wp:extent cx="6775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-125095</wp:posOffset>
            </wp:positionV>
            <wp:extent cx="6775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ind w:left="340" w:hanging="332"/>
        <w:spacing w:after="0" w:line="230"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Annualized.</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Interest income includes amortization of deferred loan fees, net of deferred loan costs.</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Net interest spread is the difference between interest rates earned on interest earning assets and interest rates paid on interest bearing liabilities.</w:t>
      </w:r>
    </w:p>
    <w:p>
      <w:pPr>
        <w:ind w:left="340" w:hanging="332"/>
        <w:spacing w:after="0" w:line="204"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Net interest margin is a ratio calculated as annualized net interest income divided by average interest earning assets for the same period.</w:t>
      </w: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0" w:right="239" w:bottom="1440" w:gutter="0" w:footer="0" w:header="0"/>
        </w:sectPr>
      </w:pPr>
    </w:p>
    <w:bookmarkStart w:id="45" w:name="page46"/>
    <w:bookmarkEnd w:id="45"/>
    <w:p>
      <w:pPr>
        <w:jc w:val="both"/>
        <w:ind w:firstLine="324"/>
        <w:spacing w:after="0" w:line="264" w:lineRule="auto"/>
        <w:rPr>
          <w:sz w:val="20"/>
          <w:szCs w:val="20"/>
          <w:color w:val="auto"/>
        </w:rPr>
      </w:pPr>
      <w:r>
        <w:rPr>
          <w:rFonts w:ascii="Arial" w:cs="Arial" w:eastAsia="Arial" w:hAnsi="Arial"/>
          <w:sz w:val="18"/>
          <w:szCs w:val="18"/>
          <w:color w:val="auto"/>
        </w:rPr>
        <w:t>The following table presents information regarding the dollar amount of changes in interest income and interest expense for the periods indicated for each major component of interest earning assets and interest bearing liabilities and distinguishes between the changes attributable to changes in volume and changes attributable to changes in interest rates. For purposes of this table, changes attributable to both rate and volume that cannot be segregated have been proportionately allocated to both volume and rate.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920" w:type="dxa"/>
            <w:vAlign w:val="bottom"/>
            <w:gridSpan w:val="7"/>
          </w:tcPr>
          <w:p>
            <w:pPr>
              <w:jc w:val="center"/>
              <w:ind w:right="988"/>
              <w:spacing w:after="0"/>
              <w:rPr>
                <w:sz w:val="20"/>
                <w:szCs w:val="20"/>
                <w:color w:val="auto"/>
              </w:rPr>
            </w:pPr>
            <w:r>
              <w:rPr>
                <w:rFonts w:ascii="Arial" w:cs="Arial" w:eastAsia="Arial" w:hAnsi="Arial"/>
                <w:sz w:val="14"/>
                <w:szCs w:val="14"/>
                <w:b w:val="1"/>
                <w:bCs w:val="1"/>
                <w:color w:val="auto"/>
              </w:rPr>
              <w:t>Three Months Ended September 30, 2019</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Compared to the</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20" w:type="dxa"/>
            <w:vAlign w:val="bottom"/>
            <w:gridSpan w:val="7"/>
          </w:tcPr>
          <w:p>
            <w:pPr>
              <w:jc w:val="center"/>
              <w:ind w:right="988"/>
              <w:spacing w:after="0"/>
              <w:rPr>
                <w:sz w:val="20"/>
                <w:szCs w:val="20"/>
                <w:color w:val="auto"/>
              </w:rPr>
            </w:pPr>
            <w:r>
              <w:rPr>
                <w:rFonts w:ascii="Arial" w:cs="Arial" w:eastAsia="Arial" w:hAnsi="Arial"/>
                <w:sz w:val="14"/>
                <w:szCs w:val="14"/>
                <w:b w:val="1"/>
                <w:bCs w:val="1"/>
                <w:color w:val="auto"/>
              </w:rPr>
              <w:t>Three Months Ended September 30, 2018</w:t>
            </w:r>
          </w:p>
        </w:tc>
        <w:tc>
          <w:tcPr>
            <w:tcW w:w="0" w:type="dxa"/>
            <w:vAlign w:val="bottom"/>
          </w:tcPr>
          <w:p>
            <w:pPr>
              <w:spacing w:after="0"/>
              <w:rPr>
                <w:sz w:val="1"/>
                <w:szCs w:val="1"/>
                <w:color w:val="auto"/>
              </w:rPr>
            </w:pPr>
          </w:p>
        </w:tc>
      </w:tr>
      <w:tr>
        <w:trPr>
          <w:trHeight w:val="56"/>
        </w:trPr>
        <w:tc>
          <w:tcPr>
            <w:tcW w:w="64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Change Due To</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4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Volume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8"/>
                <w:szCs w:val="18"/>
                <w:color w:val="auto"/>
              </w:rPr>
            </w:pPr>
          </w:p>
        </w:tc>
        <w:tc>
          <w:tcPr>
            <w:tcW w:w="1420" w:type="dxa"/>
            <w:vAlign w:val="bottom"/>
          </w:tcPr>
          <w:p>
            <w:pPr>
              <w:jc w:val="right"/>
              <w:ind w:right="148"/>
              <w:spacing w:after="0"/>
              <w:rPr>
                <w:sz w:val="20"/>
                <w:szCs w:val="20"/>
                <w:color w:val="auto"/>
              </w:rPr>
            </w:pPr>
            <w:r>
              <w:rPr>
                <w:rFonts w:ascii="Arial" w:cs="Arial" w:eastAsia="Arial" w:hAnsi="Arial"/>
                <w:sz w:val="14"/>
                <w:szCs w:val="14"/>
                <w:b w:val="1"/>
                <w:bCs w:val="1"/>
                <w:color w:val="auto"/>
              </w:rPr>
              <w:t>Interest Variance</w:t>
            </w:r>
          </w:p>
        </w:tc>
        <w:tc>
          <w:tcPr>
            <w:tcW w:w="0" w:type="dxa"/>
            <w:vAlign w:val="bottom"/>
          </w:tcPr>
          <w:p>
            <w:pPr>
              <w:spacing w:after="0"/>
              <w:rPr>
                <w:sz w:val="1"/>
                <w:szCs w:val="1"/>
                <w:color w:val="auto"/>
              </w:rPr>
            </w:pPr>
          </w:p>
        </w:tc>
      </w:tr>
      <w:tr>
        <w:trPr>
          <w:trHeight w:val="56"/>
        </w:trPr>
        <w:tc>
          <w:tcPr>
            <w:tcW w:w="640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(in thousands)</w:t>
            </w:r>
          </w:p>
        </w:tc>
        <w:tc>
          <w:tcPr>
            <w:tcW w:w="10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400" w:type="dxa"/>
            <w:vAlign w:val="bottom"/>
            <w:vMerge w:val="continue"/>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 Income:</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400" w:type="dxa"/>
            <w:vAlign w:val="bottom"/>
          </w:tcPr>
          <w:p>
            <w:pPr>
              <w:ind w:left="200"/>
              <w:spacing w:after="0"/>
              <w:rPr>
                <w:sz w:val="20"/>
                <w:szCs w:val="20"/>
                <w:color w:val="auto"/>
              </w:rPr>
            </w:pPr>
            <w:r>
              <w:rPr>
                <w:rFonts w:ascii="Arial" w:cs="Arial" w:eastAsia="Arial" w:hAnsi="Arial"/>
                <w:sz w:val="14"/>
                <w:szCs w:val="14"/>
                <w:color w:val="auto"/>
              </w:rPr>
              <w:t>Interest bearing deposits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Federal funds sold</w:t>
            </w:r>
          </w:p>
        </w:tc>
        <w:tc>
          <w:tcPr>
            <w:tcW w:w="10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6"/>
        </w:trPr>
        <w:tc>
          <w:tcPr>
            <w:tcW w:w="6400" w:type="dxa"/>
            <w:vAlign w:val="bottom"/>
          </w:tcPr>
          <w:p>
            <w:pPr>
              <w:ind w:left="260"/>
              <w:spacing w:after="0"/>
              <w:rPr>
                <w:sz w:val="20"/>
                <w:szCs w:val="20"/>
                <w:color w:val="auto"/>
              </w:rPr>
            </w:pPr>
            <w:r>
              <w:rPr>
                <w:rFonts w:ascii="Arial" w:cs="Arial" w:eastAsia="Arial" w:hAnsi="Arial"/>
                <w:sz w:val="14"/>
                <w:szCs w:val="14"/>
                <w:color w:val="auto"/>
              </w:rPr>
              <w:t>Investment securities</w:t>
            </w:r>
          </w:p>
        </w:tc>
        <w:tc>
          <w:tcPr>
            <w:tcW w:w="108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6"/>
        </w:trPr>
        <w:tc>
          <w:tcPr>
            <w:tcW w:w="6400" w:type="dxa"/>
            <w:vAlign w:val="bottom"/>
          </w:tcPr>
          <w:p>
            <w:pPr>
              <w:ind w:left="200"/>
              <w:spacing w:after="0"/>
              <w:rPr>
                <w:sz w:val="20"/>
                <w:szCs w:val="20"/>
                <w:color w:val="auto"/>
              </w:rPr>
            </w:pPr>
            <w:r>
              <w:rPr>
                <w:rFonts w:ascii="Arial" w:cs="Arial" w:eastAsia="Arial" w:hAnsi="Arial"/>
                <w:sz w:val="14"/>
                <w:szCs w:val="14"/>
                <w:color w:val="auto"/>
              </w:rPr>
              <w:t>Loans held for sale</w:t>
            </w:r>
          </w:p>
        </w:tc>
        <w:tc>
          <w:tcPr>
            <w:tcW w:w="108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Loans</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3,380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4,461</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interest income</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4,907</w:t>
            </w:r>
          </w:p>
        </w:tc>
        <w:tc>
          <w:tcPr>
            <w:tcW w:w="0" w:type="dxa"/>
            <w:vAlign w:val="bottom"/>
          </w:tcPr>
          <w:p>
            <w:pPr>
              <w:spacing w:after="0"/>
              <w:rPr>
                <w:sz w:val="1"/>
                <w:szCs w:val="1"/>
                <w:color w:val="auto"/>
              </w:rPr>
            </w:pPr>
          </w:p>
        </w:tc>
      </w:tr>
      <w:tr>
        <w:trPr>
          <w:trHeight w:val="268"/>
        </w:trPr>
        <w:tc>
          <w:tcPr>
            <w:tcW w:w="6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Interest Expense:</w:t>
            </w: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demand accounts</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66"/>
        </w:trPr>
        <w:tc>
          <w:tcPr>
            <w:tcW w:w="6400" w:type="dxa"/>
            <w:vAlign w:val="bottom"/>
          </w:tcPr>
          <w:p>
            <w:pPr>
              <w:ind w:left="200"/>
              <w:spacing w:after="0"/>
              <w:rPr>
                <w:sz w:val="20"/>
                <w:szCs w:val="20"/>
                <w:color w:val="auto"/>
              </w:rPr>
            </w:pPr>
            <w:r>
              <w:rPr>
                <w:rFonts w:ascii="Arial" w:cs="Arial" w:eastAsia="Arial" w:hAnsi="Arial"/>
                <w:sz w:val="14"/>
                <w:szCs w:val="14"/>
                <w:color w:val="auto"/>
              </w:rPr>
              <w:t>Savings</w:t>
            </w:r>
          </w:p>
        </w:tc>
        <w:tc>
          <w:tcPr>
            <w:tcW w:w="10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Money market accounts</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66"/>
        </w:trPr>
        <w:tc>
          <w:tcPr>
            <w:tcW w:w="6400" w:type="dxa"/>
            <w:vAlign w:val="bottom"/>
          </w:tcPr>
          <w:p>
            <w:pPr>
              <w:ind w:left="200"/>
              <w:spacing w:after="0"/>
              <w:rPr>
                <w:sz w:val="20"/>
                <w:szCs w:val="20"/>
                <w:color w:val="auto"/>
              </w:rPr>
            </w:pPr>
            <w:r>
              <w:rPr>
                <w:rFonts w:ascii="Arial" w:cs="Arial" w:eastAsia="Arial" w:hAnsi="Arial"/>
                <w:sz w:val="14"/>
                <w:szCs w:val="14"/>
                <w:color w:val="auto"/>
              </w:rPr>
              <w:t>Time deposits</w:t>
            </w:r>
          </w:p>
        </w:tc>
        <w:tc>
          <w:tcPr>
            <w:tcW w:w="108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Borrowed funds</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interest expense</w:t>
            </w:r>
          </w:p>
        </w:tc>
        <w:tc>
          <w:tcPr>
            <w:tcW w:w="10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241"/>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3,692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interest income increased by $3.7 million to $18.2 million for the third quarter of 2019 compared to the third quarter of 2018. The Company’s annualized net interest margin excluding credit cards was 4.37% for the three months ended September 30, 2019, up 11 basis points from 4.26% for the three months ended September 30, 2018. Average total interest earning assets were $1.24 billion for the third quarter of 2019 compared with $ 1.03 billion for the third quarter of 2018. The annualized yield on those interest earning assets increased 48 basis points from 6.69% for the three months ended September 30, 2018 to 7.17% for the three months ended September 30, 2019. The increase in the average balance of interest earning assets was driven almost entirely by growth in the average balance of the loan portfolio of $179.4 million, or 20%, to $1.10 billion for the three months ended September 30, 2019 compared to $919.8 million for the three months ended September 30, 2018.</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Average interest bearing liabilities increased by $117.0 million from $719.9 million for the third quarter of 2018 to $836.8 million for the third quarter of 2019. The increase was due to an increase in the average balance of interest bearing deposits of $59.5 million, or 9%, and an increase in the average balance of borrowed funds of $57.5 million, or 178%. Deposits are our primary funding source. The annualized average interest rate paid on interest bearing liabilities increased to 1.98% for the third quarter of 2019 compared to 1.63% for the third quarter of 2018, with the annualized average interest rate paid on interest bearing deposits increasing 32 basis points, offset by the decrease in annualized average interest rate paid on borrowed funds of 98 basis points. The increases in annualized average interest rates reflect several interest rate changes during 2018 and 2019.</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For the three months ended September 30, 2019, the Company’s annualized net interest margin was 5.83% and net interest spread was 5.19%. For the three months ended September 30, 2018, annualized net interest margin was 5.56% and net interest spread was 5.06%. The year over year net interest margin</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360" w:right="239" w:bottom="1440" w:gutter="0" w:footer="0" w:header="0"/>
          <w:type w:val="continuous"/>
        </w:sectPr>
      </w:pPr>
    </w:p>
    <w:bookmarkStart w:id="46" w:name="page47"/>
    <w:bookmarkEnd w:id="46"/>
    <w:p>
      <w:pPr>
        <w:ind w:right="20"/>
        <w:spacing w:after="0" w:line="292" w:lineRule="auto"/>
        <w:rPr>
          <w:sz w:val="20"/>
          <w:szCs w:val="20"/>
          <w:color w:val="auto"/>
        </w:rPr>
      </w:pPr>
      <w:r>
        <w:rPr>
          <w:rFonts w:ascii="Arial" w:cs="Arial" w:eastAsia="Arial" w:hAnsi="Arial"/>
          <w:sz w:val="18"/>
          <w:szCs w:val="18"/>
          <w:color w:val="auto"/>
        </w:rPr>
        <w:t>increase of 27 basis points was primarily due to increased volume of interest earning assets offset by the increased rate on interest bearing liabilities.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Interest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40"/>
              <w:spacing w:after="0"/>
              <w:rPr>
                <w:sz w:val="20"/>
                <w:szCs w:val="20"/>
                <w:color w:val="auto"/>
              </w:rPr>
            </w:pPr>
            <w:r>
              <w:rPr>
                <w:rFonts w:ascii="Arial" w:cs="Arial" w:eastAsia="Arial" w:hAnsi="Arial"/>
                <w:sz w:val="14"/>
                <w:szCs w:val="14"/>
                <w:color w:val="auto"/>
              </w:rPr>
              <w:t>Interest earning assets:</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deposits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66"/>
        </w:trPr>
        <w:tc>
          <w:tcPr>
            <w:tcW w:w="3780" w:type="dxa"/>
            <w:vAlign w:val="bottom"/>
          </w:tcPr>
          <w:p>
            <w:pPr>
              <w:ind w:left="200"/>
              <w:spacing w:after="0"/>
              <w:rPr>
                <w:sz w:val="20"/>
                <w:szCs w:val="20"/>
                <w:color w:val="auto"/>
              </w:rPr>
            </w:pPr>
            <w:r>
              <w:rPr>
                <w:rFonts w:ascii="Arial" w:cs="Arial" w:eastAsia="Arial" w:hAnsi="Arial"/>
                <w:sz w:val="14"/>
                <w:szCs w:val="14"/>
                <w:color w:val="auto"/>
              </w:rPr>
              <w:t>Federal funds sold</w:t>
            </w:r>
          </w:p>
        </w:tc>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securities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786</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66"/>
        </w:trPr>
        <w:tc>
          <w:tcPr>
            <w:tcW w:w="3780" w:type="dxa"/>
            <w:vAlign w:val="bottom"/>
          </w:tcPr>
          <w:p>
            <w:pPr>
              <w:ind w:left="200"/>
              <w:spacing w:after="0"/>
              <w:rPr>
                <w:sz w:val="20"/>
                <w:szCs w:val="20"/>
                <w:color w:val="auto"/>
              </w:rPr>
            </w:pPr>
            <w:r>
              <w:rPr>
                <w:rFonts w:ascii="Arial" w:cs="Arial" w:eastAsia="Arial" w:hAnsi="Arial"/>
                <w:sz w:val="14"/>
                <w:szCs w:val="14"/>
                <w:color w:val="auto"/>
              </w:rPr>
              <w:t>Restricted investments</w:t>
            </w:r>
          </w:p>
        </w:tc>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4,276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2,554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Loans held for sale</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1,182</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28"/>
                <w:szCs w:val="28"/>
                <w:color w:val="auto"/>
                <w:vertAlign w:val="subscript"/>
              </w:rPr>
              <w:t>Loans</w:t>
            </w:r>
            <w:r>
              <w:rPr>
                <w:rFonts w:ascii="Arial" w:cs="Arial" w:eastAsia="Arial" w:hAnsi="Arial"/>
                <w:sz w:val="9"/>
                <w:szCs w:val="9"/>
                <w:color w:val="auto"/>
              </w:rPr>
              <w:t>(2)(3)</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1,041,364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57,620</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904,279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48,273</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earning assets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1,159,999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60,961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1,021,938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50,890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60"/>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Noninterest earning assets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3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1,175,114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1,032,357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40"/>
              <w:spacing w:after="0"/>
              <w:rPr>
                <w:sz w:val="20"/>
                <w:szCs w:val="20"/>
                <w:color w:val="auto"/>
              </w:rPr>
            </w:pPr>
            <w:r>
              <w:rPr>
                <w:rFonts w:ascii="Arial" w:cs="Arial" w:eastAsia="Arial" w:hAnsi="Arial"/>
                <w:sz w:val="14"/>
                <w:szCs w:val="14"/>
                <w:color w:val="auto"/>
              </w:rPr>
              <w:t>Interest bearing liabilities:</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demand accounts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97,325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66"/>
        </w:trPr>
        <w:tc>
          <w:tcPr>
            <w:tcW w:w="3780" w:type="dxa"/>
            <w:vAlign w:val="bottom"/>
          </w:tcPr>
          <w:p>
            <w:pPr>
              <w:ind w:left="200"/>
              <w:spacing w:after="0"/>
              <w:rPr>
                <w:sz w:val="20"/>
                <w:szCs w:val="20"/>
                <w:color w:val="auto"/>
              </w:rPr>
            </w:pPr>
            <w:r>
              <w:rPr>
                <w:rFonts w:ascii="Arial" w:cs="Arial" w:eastAsia="Arial" w:hAnsi="Arial"/>
                <w:sz w:val="14"/>
                <w:szCs w:val="14"/>
                <w:color w:val="auto"/>
              </w:rPr>
              <w:t>Savings</w:t>
            </w:r>
          </w:p>
        </w:tc>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3,613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3,690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Money market accounts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330,086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286,349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2,678</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66"/>
        </w:trPr>
        <w:tc>
          <w:tcPr>
            <w:tcW w:w="3780" w:type="dxa"/>
            <w:vAlign w:val="bottom"/>
          </w:tcPr>
          <w:p>
            <w:pPr>
              <w:ind w:left="200"/>
              <w:spacing w:after="0"/>
              <w:rPr>
                <w:sz w:val="20"/>
                <w:szCs w:val="20"/>
                <w:color w:val="auto"/>
              </w:rPr>
            </w:pPr>
            <w:r>
              <w:rPr>
                <w:rFonts w:ascii="Arial" w:cs="Arial" w:eastAsia="Arial" w:hAnsi="Arial"/>
                <w:sz w:val="14"/>
                <w:szCs w:val="14"/>
                <w:color w:val="auto"/>
              </w:rPr>
              <w:t>Time deposits</w:t>
            </w:r>
          </w:p>
        </w:tc>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294,693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5,288</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328,139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4,036</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Borrowed funds</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59,816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1,615</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31,233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1,015</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interest bearing liabilities</w:t>
            </w:r>
          </w:p>
        </w:tc>
        <w:tc>
          <w:tcPr>
            <w:tcW w:w="1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785,533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11,502</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722,540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7,891</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68"/>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bearing liabilities: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200"/>
              <w:spacing w:after="0"/>
              <w:rPr>
                <w:sz w:val="20"/>
                <w:szCs w:val="20"/>
                <w:color w:val="auto"/>
              </w:rPr>
            </w:pPr>
            <w:r>
              <w:rPr>
                <w:rFonts w:ascii="Arial" w:cs="Arial" w:eastAsia="Arial" w:hAnsi="Arial"/>
                <w:sz w:val="14"/>
                <w:szCs w:val="14"/>
                <w:color w:val="auto"/>
              </w:rPr>
              <w:t>Noninterest bearing liabilities</w:t>
            </w:r>
          </w:p>
        </w:tc>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14,971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9,765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Noninterest bearing deposits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252,353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215,133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Stockholders’ equity</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122,257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84,919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3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1,175,114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1,032,357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interest spread</w:t>
            </w:r>
            <w:r>
              <w:rPr>
                <w:rFonts w:ascii="Arial" w:cs="Arial" w:eastAsia="Arial" w:hAnsi="Arial"/>
                <w:sz w:val="17"/>
                <w:szCs w:val="17"/>
                <w:color w:val="auto"/>
                <w:vertAlign w:val="superscript"/>
              </w:rPr>
              <w:t>(4)</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Net interest income</w:t>
            </w: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bottom w:val="single" w:sz="8" w:color="CCEEFF"/>
            </w:tcBorders>
            <w:vMerge w:val="restart"/>
          </w:tcPr>
          <w:p>
            <w:pPr>
              <w:jc w:val="right"/>
              <w:ind w:right="28"/>
              <w:spacing w:after="0"/>
              <w:rPr>
                <w:sz w:val="20"/>
                <w:szCs w:val="20"/>
                <w:color w:val="auto"/>
              </w:rPr>
            </w:pPr>
            <w:r>
              <w:rPr>
                <w:rFonts w:ascii="Arial" w:cs="Arial" w:eastAsia="Arial" w:hAnsi="Arial"/>
                <w:sz w:val="14"/>
                <w:szCs w:val="14"/>
                <w:color w:val="auto"/>
              </w:rPr>
              <w:t>49,459</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bottom w:val="single" w:sz="8" w:color="CCEEFF"/>
            </w:tcBorders>
            <w:vMerge w:val="restart"/>
          </w:tcPr>
          <w:p>
            <w:pPr>
              <w:jc w:val="right"/>
              <w:ind w:right="28"/>
              <w:spacing w:after="0"/>
              <w:rPr>
                <w:sz w:val="20"/>
                <w:szCs w:val="20"/>
                <w:color w:val="auto"/>
              </w:rPr>
            </w:pPr>
            <w:r>
              <w:rPr>
                <w:rFonts w:ascii="Arial" w:cs="Arial" w:eastAsia="Arial" w:hAnsi="Arial"/>
                <w:sz w:val="14"/>
                <w:szCs w:val="14"/>
                <w:color w:val="auto"/>
              </w:rPr>
              <w:t>42,999</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780" w:type="dxa"/>
            <w:vAlign w:val="bottom"/>
            <w:tcBorders>
              <w:bottom w:val="single" w:sz="8" w:color="CCEEFF"/>
            </w:tcBorders>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17"/>
                <w:szCs w:val="17"/>
                <w:color w:val="auto"/>
                <w:vertAlign w:val="superscript"/>
              </w:rPr>
              <w:t>(5)</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vMerge w:val="restart"/>
          </w:tcPr>
          <w:p>
            <w:pPr>
              <w:ind w:left="40"/>
              <w:spacing w:after="0"/>
              <w:rPr>
                <w:sz w:val="20"/>
                <w:szCs w:val="20"/>
                <w:color w:val="auto"/>
              </w:rPr>
            </w:pPr>
            <w:r>
              <w:rPr>
                <w:rFonts w:ascii="Arial" w:cs="Arial" w:eastAsia="Arial" w:hAnsi="Arial"/>
                <w:sz w:val="14"/>
                <w:szCs w:val="14"/>
                <w:color w:val="auto"/>
              </w:rPr>
              <w:t>Net interest margin excluding credit card portfolio</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6574155</wp:posOffset>
            </wp:positionH>
            <wp:positionV relativeFrom="paragraph">
              <wp:posOffset>-2540</wp:posOffset>
            </wp:positionV>
            <wp:extent cx="6775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-2540</wp:posOffset>
            </wp:positionV>
            <wp:extent cx="6775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6574155</wp:posOffset>
            </wp:positionH>
            <wp:positionV relativeFrom="paragraph">
              <wp:posOffset>-125095</wp:posOffset>
            </wp:positionV>
            <wp:extent cx="6775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-125095</wp:posOffset>
            </wp:positionV>
            <wp:extent cx="6775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ind w:left="340" w:hanging="332"/>
        <w:spacing w:after="0" w:line="230"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Annualized.</w:t>
      </w: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w:t>
      </w: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Interest income includes amortization of deferred loan fees, net of deferred loan costs.</w:t>
      </w: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interest spread is the difference between interest rates earned on interest earning assets and interest rates paid on interest bearing liabilities.</w:t>
      </w:r>
    </w:p>
    <w:p>
      <w:pPr>
        <w:ind w:left="340" w:hanging="332"/>
        <w:spacing w:after="0" w:line="204"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interest margin is a ratio calculated as annualized net interest income divided by average interest earning assets for the same period.</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360" w:right="2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6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920" w:type="dxa"/>
            <w:vAlign w:val="bottom"/>
            <w:gridSpan w:val="7"/>
          </w:tcPr>
          <w:p>
            <w:pPr>
              <w:jc w:val="center"/>
              <w:ind w:right="960"/>
              <w:spacing w:after="0"/>
              <w:rPr>
                <w:sz w:val="20"/>
                <w:szCs w:val="20"/>
                <w:color w:val="auto"/>
              </w:rPr>
            </w:pPr>
            <w:r>
              <w:rPr>
                <w:rFonts w:ascii="Arial" w:cs="Arial" w:eastAsia="Arial" w:hAnsi="Arial"/>
                <w:sz w:val="14"/>
                <w:szCs w:val="14"/>
                <w:b w:val="1"/>
                <w:bCs w:val="1"/>
                <w:color w:val="auto"/>
              </w:rPr>
              <w:t>Nine Months Ended September 30, 2019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Compared to the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6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7"/>
          </w:tcPr>
          <w:p>
            <w:pPr>
              <w:jc w:val="center"/>
              <w:ind w:right="960"/>
              <w:spacing w:after="0"/>
              <w:rPr>
                <w:sz w:val="20"/>
                <w:szCs w:val="20"/>
                <w:color w:val="auto"/>
              </w:rPr>
            </w:pPr>
            <w:r>
              <w:rPr>
                <w:rFonts w:ascii="Arial" w:cs="Arial" w:eastAsia="Arial" w:hAnsi="Arial"/>
                <w:sz w:val="14"/>
                <w:szCs w:val="14"/>
                <w:b w:val="1"/>
                <w:bCs w:val="1"/>
                <w:color w:val="auto"/>
              </w:rPr>
              <w:t>Nine Months Ended September 30, 2018</w:t>
            </w:r>
          </w:p>
        </w:tc>
        <w:tc>
          <w:tcPr>
            <w:tcW w:w="0" w:type="dxa"/>
            <w:vAlign w:val="bottom"/>
          </w:tcPr>
          <w:p>
            <w:pPr>
              <w:spacing w:after="0"/>
              <w:rPr>
                <w:sz w:val="1"/>
                <w:szCs w:val="1"/>
                <w:color w:val="auto"/>
              </w:rPr>
            </w:pPr>
          </w:p>
        </w:tc>
      </w:tr>
      <w:tr>
        <w:trPr>
          <w:trHeight w:val="209"/>
        </w:trPr>
        <w:tc>
          <w:tcPr>
            <w:tcW w:w="6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Change Due To</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3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Volume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Rate</w:t>
            </w:r>
          </w:p>
        </w:tc>
        <w:tc>
          <w:tcPr>
            <w:tcW w:w="160" w:type="dxa"/>
            <w:vAlign w:val="bottom"/>
          </w:tcPr>
          <w:p>
            <w:pPr>
              <w:spacing w:after="0"/>
              <w:rPr>
                <w:sz w:val="18"/>
                <w:szCs w:val="18"/>
                <w:color w:val="auto"/>
              </w:rPr>
            </w:pPr>
          </w:p>
        </w:tc>
        <w:tc>
          <w:tcPr>
            <w:tcW w:w="1420" w:type="dxa"/>
            <w:vAlign w:val="bottom"/>
          </w:tcPr>
          <w:p>
            <w:pPr>
              <w:jc w:val="right"/>
              <w:ind w:right="140"/>
              <w:spacing w:after="0"/>
              <w:rPr>
                <w:sz w:val="20"/>
                <w:szCs w:val="20"/>
                <w:color w:val="auto"/>
              </w:rPr>
            </w:pPr>
            <w:r>
              <w:rPr>
                <w:rFonts w:ascii="Arial" w:cs="Arial" w:eastAsia="Arial" w:hAnsi="Arial"/>
                <w:sz w:val="14"/>
                <w:szCs w:val="14"/>
                <w:b w:val="1"/>
                <w:bCs w:val="1"/>
                <w:color w:val="auto"/>
              </w:rPr>
              <w:t>Interest Variance</w:t>
            </w:r>
          </w:p>
        </w:tc>
        <w:tc>
          <w:tcPr>
            <w:tcW w:w="0" w:type="dxa"/>
            <w:vAlign w:val="bottom"/>
          </w:tcPr>
          <w:p>
            <w:pPr>
              <w:spacing w:after="0"/>
              <w:rPr>
                <w:sz w:val="1"/>
                <w:szCs w:val="1"/>
                <w:color w:val="auto"/>
              </w:rPr>
            </w:pPr>
          </w:p>
        </w:tc>
      </w:tr>
      <w:tr>
        <w:trPr>
          <w:trHeight w:val="56"/>
        </w:trPr>
        <w:tc>
          <w:tcPr>
            <w:tcW w:w="63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380" w:type="dxa"/>
            <w:vAlign w:val="bottom"/>
            <w:vMerge w:val="continue"/>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 Income:</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380" w:type="dxa"/>
            <w:vAlign w:val="bottom"/>
          </w:tcPr>
          <w:p>
            <w:pPr>
              <w:ind w:left="200"/>
              <w:spacing w:after="0"/>
              <w:rPr>
                <w:sz w:val="20"/>
                <w:szCs w:val="20"/>
                <w:color w:val="auto"/>
              </w:rPr>
            </w:pPr>
            <w:r>
              <w:rPr>
                <w:rFonts w:ascii="Arial" w:cs="Arial" w:eastAsia="Arial" w:hAnsi="Arial"/>
                <w:sz w:val="16"/>
                <w:szCs w:val="16"/>
                <w:color w:val="auto"/>
              </w:rPr>
              <w:t>Interest bearing deposits</w:t>
            </w:r>
          </w:p>
        </w:tc>
        <w:tc>
          <w:tcPr>
            <w:tcW w:w="1080" w:type="dxa"/>
            <w:vAlign w:val="bottom"/>
          </w:tcPr>
          <w:p>
            <w:pPr>
              <w:jc w:val="right"/>
              <w:ind w:right="88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8"/>
        </w:trPr>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 funds sold</w:t>
            </w: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2"/>
        </w:trPr>
        <w:tc>
          <w:tcPr>
            <w:tcW w:w="6380" w:type="dxa"/>
            <w:vAlign w:val="bottom"/>
          </w:tcPr>
          <w:p>
            <w:pPr>
              <w:ind w:left="200"/>
              <w:spacing w:after="0"/>
              <w:rPr>
                <w:sz w:val="20"/>
                <w:szCs w:val="20"/>
                <w:color w:val="auto"/>
              </w:rPr>
            </w:pPr>
            <w:r>
              <w:rPr>
                <w:rFonts w:ascii="Arial" w:cs="Arial" w:eastAsia="Arial" w:hAnsi="Arial"/>
                <w:sz w:val="16"/>
                <w:szCs w:val="16"/>
                <w:color w:val="auto"/>
              </w:rPr>
              <w:t>Investment securities</w:t>
            </w:r>
          </w:p>
        </w:tc>
        <w:tc>
          <w:tcPr>
            <w:tcW w:w="10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78"/>
        </w:trPr>
        <w:tc>
          <w:tcPr>
            <w:tcW w:w="6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stock</w:t>
            </w: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2"/>
        </w:trPr>
        <w:tc>
          <w:tcPr>
            <w:tcW w:w="6380" w:type="dxa"/>
            <w:vAlign w:val="bottom"/>
          </w:tcPr>
          <w:p>
            <w:pPr>
              <w:ind w:left="240"/>
              <w:spacing w:after="0"/>
              <w:rPr>
                <w:sz w:val="20"/>
                <w:szCs w:val="20"/>
                <w:color w:val="auto"/>
              </w:rPr>
            </w:pPr>
            <w:r>
              <w:rPr>
                <w:rFonts w:ascii="Arial" w:cs="Arial" w:eastAsia="Arial" w:hAnsi="Arial"/>
                <w:sz w:val="16"/>
                <w:szCs w:val="16"/>
                <w:color w:val="auto"/>
              </w:rPr>
              <w:t>Loans held for sale</w:t>
            </w:r>
          </w:p>
        </w:tc>
        <w:tc>
          <w:tcPr>
            <w:tcW w:w="1080" w:type="dxa"/>
            <w:vAlign w:val="bottom"/>
          </w:tcPr>
          <w:p>
            <w:pPr>
              <w:spacing w:after="0"/>
              <w:rPr>
                <w:sz w:val="22"/>
                <w:szCs w:val="22"/>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902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71"/>
        </w:trPr>
        <w:tc>
          <w:tcPr>
            <w:tcW w:w="6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Loans</w:t>
            </w: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9"/>
              </w:rPr>
              <w:t>7,533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9,347</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interest income</w:t>
            </w: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9"/>
              </w:rPr>
              <w:t>8,387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10,071</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Interest Expense:</w:t>
            </w: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bearing demand accounts</w:t>
            </w: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62"/>
        </w:trPr>
        <w:tc>
          <w:tcPr>
            <w:tcW w:w="6380" w:type="dxa"/>
            <w:vAlign w:val="bottom"/>
          </w:tcPr>
          <w:p>
            <w:pPr>
              <w:ind w:left="200"/>
              <w:spacing w:after="0"/>
              <w:rPr>
                <w:sz w:val="20"/>
                <w:szCs w:val="20"/>
                <w:color w:val="auto"/>
              </w:rPr>
            </w:pPr>
            <w:r>
              <w:rPr>
                <w:rFonts w:ascii="Arial" w:cs="Arial" w:eastAsia="Arial" w:hAnsi="Arial"/>
                <w:sz w:val="16"/>
                <w:szCs w:val="16"/>
                <w:color w:val="auto"/>
              </w:rPr>
              <w:t>Savings</w:t>
            </w:r>
          </w:p>
        </w:tc>
        <w:tc>
          <w:tcPr>
            <w:tcW w:w="10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8"/>
        </w:trPr>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Money market accounts</w:t>
            </w: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1,525</w:t>
            </w:r>
          </w:p>
        </w:tc>
        <w:tc>
          <w:tcPr>
            <w:tcW w:w="0" w:type="dxa"/>
            <w:vAlign w:val="bottom"/>
          </w:tcPr>
          <w:p>
            <w:pPr>
              <w:spacing w:after="0"/>
              <w:rPr>
                <w:sz w:val="1"/>
                <w:szCs w:val="1"/>
                <w:color w:val="auto"/>
              </w:rPr>
            </w:pPr>
          </w:p>
        </w:tc>
      </w:tr>
      <w:tr>
        <w:trPr>
          <w:trHeight w:val="262"/>
        </w:trPr>
        <w:tc>
          <w:tcPr>
            <w:tcW w:w="6380" w:type="dxa"/>
            <w:vAlign w:val="bottom"/>
          </w:tcPr>
          <w:p>
            <w:pPr>
              <w:ind w:left="200"/>
              <w:spacing w:after="0"/>
              <w:rPr>
                <w:sz w:val="20"/>
                <w:szCs w:val="20"/>
                <w:color w:val="auto"/>
              </w:rPr>
            </w:pPr>
            <w:r>
              <w:rPr>
                <w:rFonts w:ascii="Arial" w:cs="Arial" w:eastAsia="Arial" w:hAnsi="Arial"/>
                <w:sz w:val="16"/>
                <w:szCs w:val="16"/>
                <w:color w:val="auto"/>
              </w:rPr>
              <w:t>Time deposits</w:t>
            </w:r>
          </w:p>
        </w:tc>
        <w:tc>
          <w:tcPr>
            <w:tcW w:w="10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71"/>
        </w:trPr>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Borrowed funds</w:t>
            </w: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736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interest expense</w:t>
            </w:r>
          </w:p>
        </w:tc>
        <w:tc>
          <w:tcPr>
            <w:tcW w:w="10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2,716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3,611</w:t>
            </w:r>
          </w:p>
        </w:tc>
        <w:tc>
          <w:tcPr>
            <w:tcW w:w="0" w:type="dxa"/>
            <w:vAlign w:val="bottom"/>
          </w:tcPr>
          <w:p>
            <w:pPr>
              <w:spacing w:after="0"/>
              <w:rPr>
                <w:sz w:val="1"/>
                <w:szCs w:val="1"/>
                <w:color w:val="auto"/>
              </w:rPr>
            </w:pPr>
          </w:p>
        </w:tc>
      </w:tr>
      <w:tr>
        <w:trPr>
          <w:trHeight w:val="24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9"/>
              </w:rPr>
              <w:t>7,492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6,460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interest income increased by $6.5 million to $49.5 million for the nine months ended September 30, 2019 compared to the same period in 2018. The Company’s annualized net interest margin excluding credit cards was 4.35% for the nine months ended September 30, 2019, up 8 basis points from 4.27% for the nine months ended September 30, 2018. Average total interest earning assets were $1.16 billion for the nine months ended September 30, 2019 compared with $1.02 billion for the same period of the prior year. The annualized yield on those interest earning assets increased 37 basis points from 6.66% for the nine months ended September 30, 2018 to 7.03% for the nine months ended September 30, 2019. The increase in the average balance of interest earning assets was driven almost entirely by growth in the average balance of the loan portfolio of $ 137.1 million, or 15%, to $1.04 billion for the nine months ended September 30, 2019 compared to $904.3 million for the nine months ended September 30, 2018.</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Average interest bearing liabilities increased by $63.0 million from $722.5 million for the nine months ended September 30, 2018 to $785.5 million for the nine months ended September 30, 2019. The increase was due to an increase in the average balance of interest bearing deposits of $34.4 million and an increase in the average balance of borrowed funds of $28.6 million, or 92%. Deposits are our primary funding source. The annualized average interest rate paid on interest bearing liabilities increased to 1.96% for the nine months ended September 30, 2019 compared to 1.46% for the nine months ended September 30, 2018</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annualized average interest rate paid on interest bearing deposits increased 56 basis points while the annualized average interest rate paid on borrowed funds decreased by 36 basis points for these nine month periods. The increases in annualized average interest rates reflects several interest rate changes since September 2018.</w:t>
      </w:r>
    </w:p>
    <w:p>
      <w:pPr>
        <w:spacing w:after="0" w:line="17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nine months ended September 30, 2019, the Company’s annualized net interest margin was 5.70% and net interest spread was 5.07%. For the nine months ended September 30, 2018, annualized net interest margin was 5.63% and net interest spread was 5.20%. The year over year net interest spread decrease of 13 basis points was primarily due to a more rapid adjustment to market rate increases of our interest bearing liabilities relative to our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5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Provision for Loan Losses</w:t>
      </w:r>
    </w:p>
    <w:p>
      <w:pPr>
        <w:spacing w:after="0" w:line="2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provision for loan losses is a charge to income in order to bring our allowance for loan losses to a level deemed appropriate by management. For a description of the factors taken into account by our management in determining the allowance for loan losses see “Financial Condition—Allowance for Loan Losses.”</w:t>
      </w:r>
    </w:p>
    <w:p>
      <w:pPr>
        <w:spacing w:after="0" w:line="16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provision for loan losses amounted to $1.1 million for the three months ended September 30, 2019, and $495 thousand for the three months ended September 30, 2018. The provision for loan losses was $ 1.9 million and $ 1.6 million for the nine months ended September 30, 2019 and 2018, respectively. The increase for the three and nine month periods in 2019 compared to the same periods in 2018 was primarily due to larger loan volumes in the 2019 period. Our allowance for loan losses as a percent of total loans was 1.12% and 1.13% at September 30, 2019 and December 31, 2018, respectively. Net charge -offs amounted to $369 thousand for the nine months ended September 30, 2019, compared to $781 thousand for the nine months ended September 30,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primary sources of recurring noninterest income are service charges on deposit accounts, certain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NONINTEREST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6"/>
          </w:tcPr>
          <w:p>
            <w:pPr>
              <w:jc w:val="right"/>
              <w:ind w:right="1059"/>
              <w:spacing w:after="0"/>
              <w:rPr>
                <w:sz w:val="20"/>
                <w:szCs w:val="20"/>
                <w:color w:val="auto"/>
              </w:rPr>
            </w:pPr>
            <w:r>
              <w:rPr>
                <w:rFonts w:ascii="Arial" w:cs="Arial" w:eastAsia="Arial" w:hAnsi="Arial"/>
                <w:sz w:val="16"/>
                <w:szCs w:val="16"/>
                <w:b w:val="1"/>
                <w:bCs w:val="1"/>
                <w:color w:val="auto"/>
              </w:rPr>
              <w:t>Three Months Ended September 30,</w:t>
            </w:r>
          </w:p>
        </w:tc>
      </w:tr>
      <w:tr>
        <w:trPr>
          <w:trHeight w:val="261"/>
        </w:trPr>
        <w:tc>
          <w:tcPr>
            <w:tcW w:w="636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1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636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
        </w:trPr>
        <w:tc>
          <w:tcPr>
            <w:tcW w:w="6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10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2"/>
        </w:trPr>
        <w:tc>
          <w:tcPr>
            <w:tcW w:w="6360" w:type="dxa"/>
            <w:vAlign w:val="bottom"/>
          </w:tcPr>
          <w:p>
            <w:pPr>
              <w:ind w:left="200"/>
              <w:spacing w:after="0"/>
              <w:rPr>
                <w:sz w:val="20"/>
                <w:szCs w:val="20"/>
                <w:color w:val="auto"/>
              </w:rPr>
            </w:pPr>
            <w:r>
              <w:rPr>
                <w:rFonts w:ascii="Arial" w:cs="Arial" w:eastAsia="Arial" w:hAnsi="Arial"/>
                <w:sz w:val="16"/>
                <w:szCs w:val="16"/>
                <w:color w:val="auto"/>
              </w:rPr>
              <w:t>Service charges on deposit accounts</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78"/>
        </w:trPr>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Credit card fees</w:t>
            </w: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1,592</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62"/>
        </w:trPr>
        <w:tc>
          <w:tcPr>
            <w:tcW w:w="6360" w:type="dxa"/>
            <w:vAlign w:val="bottom"/>
          </w:tcPr>
          <w:p>
            <w:pPr>
              <w:ind w:left="200"/>
              <w:spacing w:after="0"/>
              <w:rPr>
                <w:sz w:val="20"/>
                <w:szCs w:val="20"/>
                <w:color w:val="auto"/>
              </w:rPr>
            </w:pPr>
            <w:r>
              <w:rPr>
                <w:rFonts w:ascii="Arial" w:cs="Arial" w:eastAsia="Arial" w:hAnsi="Arial"/>
                <w:sz w:val="16"/>
                <w:szCs w:val="16"/>
                <w:color w:val="auto"/>
              </w:rPr>
              <w:t>Mortgage banking revenue</w:t>
            </w:r>
          </w:p>
        </w:tc>
        <w:tc>
          <w:tcPr>
            <w:tcW w:w="104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4,900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2,451</w:t>
            </w:r>
          </w:p>
        </w:tc>
        <w:tc>
          <w:tcPr>
            <w:tcW w:w="1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99.9%</w:t>
            </w:r>
          </w:p>
        </w:tc>
      </w:tr>
      <w:tr>
        <w:trPr>
          <w:trHeight w:val="271"/>
        </w:trPr>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fees and charges</w:t>
            </w:r>
          </w:p>
        </w:tc>
        <w:tc>
          <w:tcPr>
            <w:tcW w:w="10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242"/>
        </w:trPr>
        <w:tc>
          <w:tcPr>
            <w:tcW w:w="6360" w:type="dxa"/>
            <w:vAlign w:val="bottom"/>
          </w:tcPr>
          <w:p>
            <w:pPr>
              <w:ind w:left="360"/>
              <w:spacing w:after="0"/>
              <w:rPr>
                <w:sz w:val="20"/>
                <w:szCs w:val="20"/>
                <w:color w:val="auto"/>
              </w:rPr>
            </w:pPr>
            <w:r>
              <w:rPr>
                <w:rFonts w:ascii="Arial" w:cs="Arial" w:eastAsia="Arial" w:hAnsi="Arial"/>
                <w:sz w:val="16"/>
                <w:szCs w:val="16"/>
                <w:color w:val="auto"/>
              </w:rPr>
              <w:t>Total noninterest income</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7,221</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4,240</w:t>
            </w:r>
          </w:p>
        </w:tc>
        <w:tc>
          <w:tcPr>
            <w:tcW w:w="120" w:type="dxa"/>
            <w:vAlign w:val="bottom"/>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r>
      <w:tr>
        <w:trPr>
          <w:trHeight w:val="20"/>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Noninterest income increased $3.0 million, or 70%, to $7.2 million for the three months ended September 30, 2019 compared to $4.2 million for the three months ended September 30, 2018. The primary increase was due to mortgage banking revenue, which increased by $ 2.4 million, or 100%, during the third quarter of 2019 compared to the third quarter of 2018. Our focus for the CBHL division continues to be purchase transactions over refinances, which have slightly higher rates and prices. However, the recent decreases in market rates have resulted in a larger ratio of refinances over purchase transactions. Purchase volume as a percentage of loan originations was 44% for the third quarter of 2019, compared to 79% for the second quarter of 2019. Net proceeds from the sale of loans held for sale amounted to $171.9 million for the three months ended September 30, 2019 compared to $81.0 million for the three months ended September 30, 2018.</w:t>
      </w:r>
    </w:p>
    <w:p>
      <w:pPr>
        <w:spacing w:after="0" w:line="17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credit card issuances continue at higher levels, totaling 31 thousand for the three months ended September 30, 2019, compared to 20 thousand for the three months ended September 30, 2018. Credit card fees correspondingly increased $467 thousand from the three months ended September 30, 2018.</w:t>
      </w: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2"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2"/>
        </w:trPr>
        <w:tc>
          <w:tcPr>
            <w:tcW w:w="6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6"/>
          </w:tcPr>
          <w:p>
            <w:pPr>
              <w:jc w:val="right"/>
              <w:ind w:right="1119"/>
              <w:spacing w:after="0"/>
              <w:rPr>
                <w:sz w:val="20"/>
                <w:szCs w:val="20"/>
                <w:color w:val="auto"/>
              </w:rPr>
            </w:pPr>
            <w:r>
              <w:rPr>
                <w:rFonts w:ascii="Arial" w:cs="Arial" w:eastAsia="Arial" w:hAnsi="Arial"/>
                <w:sz w:val="16"/>
                <w:szCs w:val="16"/>
                <w:b w:val="1"/>
                <w:bCs w:val="1"/>
                <w:color w:val="auto"/>
              </w:rPr>
              <w:t>Nine Months Ended September 30,</w:t>
            </w:r>
          </w:p>
        </w:tc>
      </w:tr>
      <w:tr>
        <w:trPr>
          <w:trHeight w:val="261"/>
        </w:trPr>
        <w:tc>
          <w:tcPr>
            <w:tcW w:w="63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632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6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2"/>
        </w:trPr>
        <w:tc>
          <w:tcPr>
            <w:tcW w:w="6320" w:type="dxa"/>
            <w:vAlign w:val="bottom"/>
          </w:tcPr>
          <w:p>
            <w:pPr>
              <w:ind w:left="200"/>
              <w:spacing w:after="0"/>
              <w:rPr>
                <w:sz w:val="20"/>
                <w:szCs w:val="20"/>
                <w:color w:val="auto"/>
              </w:rPr>
            </w:pPr>
            <w:r>
              <w:rPr>
                <w:rFonts w:ascii="Arial" w:cs="Arial" w:eastAsia="Arial" w:hAnsi="Arial"/>
                <w:sz w:val="16"/>
                <w:szCs w:val="16"/>
                <w:color w:val="auto"/>
              </w:rPr>
              <w:t>Service charges on deposit accounts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4.7 %</w:t>
            </w:r>
          </w:p>
        </w:tc>
      </w:tr>
      <w:tr>
        <w:trPr>
          <w:trHeight w:val="278"/>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Credit card fees</w:t>
            </w: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5,521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4,609</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r>
      <w:tr>
        <w:trPr>
          <w:trHeight w:val="262"/>
        </w:trPr>
        <w:tc>
          <w:tcPr>
            <w:tcW w:w="6320" w:type="dxa"/>
            <w:vAlign w:val="bottom"/>
          </w:tcPr>
          <w:p>
            <w:pPr>
              <w:ind w:left="200"/>
              <w:spacing w:after="0"/>
              <w:rPr>
                <w:sz w:val="20"/>
                <w:szCs w:val="20"/>
                <w:color w:val="auto"/>
              </w:rPr>
            </w:pPr>
            <w:r>
              <w:rPr>
                <w:rFonts w:ascii="Arial" w:cs="Arial" w:eastAsia="Arial" w:hAnsi="Arial"/>
                <w:sz w:val="16"/>
                <w:szCs w:val="16"/>
                <w:color w:val="auto"/>
              </w:rPr>
              <w:t>Mortgage banking revenue</w:t>
            </w:r>
          </w:p>
        </w:tc>
        <w:tc>
          <w:tcPr>
            <w:tcW w:w="98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10,991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7,379</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48.9 %</w:t>
            </w:r>
          </w:p>
        </w:tc>
      </w:tr>
      <w:tr>
        <w:trPr>
          <w:trHeight w:val="278"/>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sale of securities</w:t>
            </w: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w:t>
            </w:r>
          </w:p>
        </w:tc>
      </w:tr>
      <w:tr>
        <w:trPr>
          <w:trHeight w:val="264"/>
        </w:trPr>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fees and charges</w:t>
            </w: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r>
      <w:tr>
        <w:trPr>
          <w:trHeight w:val="242"/>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noninterest income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17,240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12,657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36.2 %</w:t>
            </w:r>
          </w:p>
        </w:tc>
      </w:tr>
      <w:tr>
        <w:trPr>
          <w:trHeight w:val="20"/>
        </w:trPr>
        <w:tc>
          <w:tcPr>
            <w:tcW w:w="6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Noninterest income increased $4.6 million, or 36%, to $17.2 million for the nine months ended September 30, 2019 compared to $12.7 million for the nine months ended September 30, 2018. The increase was primarily due to mortgage banking revenue, which increased by $3.6 million, or 49%, during the nine months ended September 30, 2019 compared to the nine months ended September 30, 2018. Net proceeds from the sale of loans held for sale amounted to $370.0 million for the nine months ended September 30, 2019 compared to$278.4 million for the same period in 2018.</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credit card fees increased $912 thousand from the three months ended September 30, 2018 primarily due to an increase in credit card accounts.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NONINTEREST EXPENSE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1220" w:type="dxa"/>
            <w:vAlign w:val="bottom"/>
            <w:tcBorders>
              <w:bottom w:val="single" w:sz="8" w:color="auto"/>
            </w:tcBorders>
          </w:tcPr>
          <w:p>
            <w:pPr>
              <w:spacing w:after="0"/>
              <w:rPr>
                <w:sz w:val="17"/>
                <w:szCs w:val="17"/>
                <w:color w:val="auto"/>
              </w:rPr>
            </w:pPr>
          </w:p>
        </w:tc>
      </w:tr>
      <w:tr>
        <w:trPr>
          <w:trHeight w:val="263"/>
        </w:trPr>
        <w:tc>
          <w:tcPr>
            <w:tcW w:w="63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 Change</w:t>
            </w:r>
          </w:p>
        </w:tc>
      </w:tr>
      <w:tr>
        <w:trPr>
          <w:trHeight w:val="246"/>
        </w:trPr>
        <w:tc>
          <w:tcPr>
            <w:tcW w:w="63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2"/>
        </w:trPr>
        <w:tc>
          <w:tcPr>
            <w:tcW w:w="636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8"/>
        </w:trPr>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Salaries and employee benefits</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9,238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6,571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62"/>
        </w:trPr>
        <w:tc>
          <w:tcPr>
            <w:tcW w:w="6360" w:type="dxa"/>
            <w:vAlign w:val="bottom"/>
          </w:tcPr>
          <w:p>
            <w:pPr>
              <w:ind w:left="200"/>
              <w:spacing w:after="0"/>
              <w:rPr>
                <w:sz w:val="20"/>
                <w:szCs w:val="20"/>
                <w:color w:val="auto"/>
              </w:rPr>
            </w:pPr>
            <w:r>
              <w:rPr>
                <w:rFonts w:ascii="Arial" w:cs="Arial" w:eastAsia="Arial" w:hAnsi="Arial"/>
                <w:sz w:val="16"/>
                <w:szCs w:val="16"/>
                <w:color w:val="auto"/>
              </w:rPr>
              <w:t>Occupancy and equipment</w:t>
            </w:r>
          </w:p>
        </w:tc>
        <w:tc>
          <w:tcPr>
            <w:tcW w:w="98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1,111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8"/>
        </w:trPr>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Professional services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62"/>
        </w:trPr>
        <w:tc>
          <w:tcPr>
            <w:tcW w:w="6360" w:type="dxa"/>
            <w:vAlign w:val="bottom"/>
          </w:tcPr>
          <w:p>
            <w:pPr>
              <w:ind w:left="200"/>
              <w:spacing w:after="0"/>
              <w:rPr>
                <w:sz w:val="20"/>
                <w:szCs w:val="20"/>
                <w:color w:val="auto"/>
              </w:rPr>
            </w:pPr>
            <w:r>
              <w:rPr>
                <w:rFonts w:ascii="Arial" w:cs="Arial" w:eastAsia="Arial" w:hAnsi="Arial"/>
                <w:sz w:val="16"/>
                <w:szCs w:val="16"/>
                <w:color w:val="auto"/>
              </w:rPr>
              <w:t>Data processing</w:t>
            </w:r>
          </w:p>
        </w:tc>
        <w:tc>
          <w:tcPr>
            <w:tcW w:w="98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4,193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3,636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78"/>
        </w:trPr>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Advertising</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r>
      <w:tr>
        <w:trPr>
          <w:trHeight w:val="262"/>
        </w:trPr>
        <w:tc>
          <w:tcPr>
            <w:tcW w:w="6360" w:type="dxa"/>
            <w:vAlign w:val="bottom"/>
          </w:tcPr>
          <w:p>
            <w:pPr>
              <w:ind w:left="200"/>
              <w:spacing w:after="0"/>
              <w:rPr>
                <w:sz w:val="20"/>
                <w:szCs w:val="20"/>
                <w:color w:val="auto"/>
              </w:rPr>
            </w:pPr>
            <w:r>
              <w:rPr>
                <w:rFonts w:ascii="Arial" w:cs="Arial" w:eastAsia="Arial" w:hAnsi="Arial"/>
                <w:sz w:val="16"/>
                <w:szCs w:val="16"/>
                <w:color w:val="auto"/>
              </w:rPr>
              <w:t>Loan processing</w:t>
            </w:r>
          </w:p>
        </w:tc>
        <w:tc>
          <w:tcPr>
            <w:tcW w:w="98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213.9%</w:t>
            </w:r>
          </w:p>
        </w:tc>
      </w:tr>
      <w:tr>
        <w:trPr>
          <w:trHeight w:val="278"/>
        </w:trPr>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real estate expense, net</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6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1,737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1,536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42"/>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noninterest expense</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18,228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13,900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0"/>
        </w:trPr>
        <w:tc>
          <w:tcPr>
            <w:tcW w:w="6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Noninterest expense amounted to $ 18.2 million for the three months ended September 30, 2019, an increase of $4.3 million, or 31%, compared to $13.9 million for the three months ended September 30, 2018. The increase was primarily due to increases in salaries and employee benefits, which include commissions paid on mortgage originations, data processing expenses, advertising, and other expenses. Other operating expenses were also impacted by a $216 thousand credit to our FDIC assessment expense in the third quarter of 2019 as a result of the FDIC Deposit Insurance Fund exceeding it’s targeted level of insured deposits for the previous quarter.</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52"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1260" w:type="dxa"/>
            <w:vAlign w:val="bottom"/>
            <w:tcBorders>
              <w:bottom w:val="single" w:sz="8" w:color="auto"/>
            </w:tcBorders>
          </w:tcPr>
          <w:p>
            <w:pPr>
              <w:spacing w:after="0"/>
              <w:rPr>
                <w:sz w:val="17"/>
                <w:szCs w:val="17"/>
                <w:color w:val="auto"/>
              </w:rPr>
            </w:pPr>
          </w:p>
        </w:tc>
      </w:tr>
      <w:tr>
        <w:trPr>
          <w:trHeight w:val="263"/>
        </w:trPr>
        <w:tc>
          <w:tcPr>
            <w:tcW w:w="63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 Change</w:t>
            </w:r>
          </w:p>
        </w:tc>
      </w:tr>
      <w:tr>
        <w:trPr>
          <w:trHeight w:val="246"/>
        </w:trPr>
        <w:tc>
          <w:tcPr>
            <w:tcW w:w="63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82"/>
        </w:trPr>
        <w:tc>
          <w:tcPr>
            <w:tcW w:w="636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8"/>
        </w:trPr>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Salaries and employee benefits</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24,136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19,083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62"/>
        </w:trPr>
        <w:tc>
          <w:tcPr>
            <w:tcW w:w="6360" w:type="dxa"/>
            <w:vAlign w:val="bottom"/>
          </w:tcPr>
          <w:p>
            <w:pPr>
              <w:ind w:left="200"/>
              <w:spacing w:after="0"/>
              <w:rPr>
                <w:sz w:val="20"/>
                <w:szCs w:val="20"/>
                <w:color w:val="auto"/>
              </w:rPr>
            </w:pPr>
            <w:r>
              <w:rPr>
                <w:rFonts w:ascii="Arial" w:cs="Arial" w:eastAsia="Arial" w:hAnsi="Arial"/>
                <w:sz w:val="16"/>
                <w:szCs w:val="16"/>
                <w:color w:val="auto"/>
              </w:rPr>
              <w:t>Occupancy and equipment</w:t>
            </w:r>
          </w:p>
        </w:tc>
        <w:tc>
          <w:tcPr>
            <w:tcW w:w="98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3,307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3,241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8"/>
        </w:trPr>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Professional services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262"/>
        </w:trPr>
        <w:tc>
          <w:tcPr>
            <w:tcW w:w="6360" w:type="dxa"/>
            <w:vAlign w:val="bottom"/>
          </w:tcPr>
          <w:p>
            <w:pPr>
              <w:ind w:left="200"/>
              <w:spacing w:after="0"/>
              <w:rPr>
                <w:sz w:val="20"/>
                <w:szCs w:val="20"/>
                <w:color w:val="auto"/>
              </w:rPr>
            </w:pPr>
            <w:r>
              <w:rPr>
                <w:rFonts w:ascii="Arial" w:cs="Arial" w:eastAsia="Arial" w:hAnsi="Arial"/>
                <w:sz w:val="16"/>
                <w:szCs w:val="16"/>
                <w:color w:val="auto"/>
              </w:rPr>
              <w:t>Data processing</w:t>
            </w:r>
          </w:p>
        </w:tc>
        <w:tc>
          <w:tcPr>
            <w:tcW w:w="98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11,222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10,858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8"/>
        </w:trPr>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Advertising</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262"/>
        </w:trPr>
        <w:tc>
          <w:tcPr>
            <w:tcW w:w="6360" w:type="dxa"/>
            <w:vAlign w:val="bottom"/>
          </w:tcPr>
          <w:p>
            <w:pPr>
              <w:ind w:left="200"/>
              <w:spacing w:after="0"/>
              <w:rPr>
                <w:sz w:val="20"/>
                <w:szCs w:val="20"/>
                <w:color w:val="auto"/>
              </w:rPr>
            </w:pPr>
            <w:r>
              <w:rPr>
                <w:rFonts w:ascii="Arial" w:cs="Arial" w:eastAsia="Arial" w:hAnsi="Arial"/>
                <w:sz w:val="16"/>
                <w:szCs w:val="16"/>
                <w:color w:val="auto"/>
              </w:rPr>
              <w:t>Loan processing</w:t>
            </w:r>
          </w:p>
        </w:tc>
        <w:tc>
          <w:tcPr>
            <w:tcW w:w="98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1,279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78"/>
        </w:trPr>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real estate expense, net</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64"/>
        </w:trPr>
        <w:tc>
          <w:tcPr>
            <w:tcW w:w="6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5,258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42"/>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noninterest expense</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41,028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0"/>
        </w:trPr>
        <w:tc>
          <w:tcPr>
            <w:tcW w:w="6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Noninterest expense amounted to $48.8 million for the nine months ended September 30, 2019, an increase of $7.7 million, or 19%, compared to $41.0 million for the nine months ended September 30, 2018. The increase was primarily due to increases in salaries and employee benefits, which include commissions paid on mortgage originations, professional fees, and other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amount of income tax expense we incur is influenced by our pre-tax income and our other nondeductible expenses. Deferred tax assets and liabilities are reflected at current income tax rates in effect for the period in which the deferred tax assets and liabilities are expected to be realized or settled. As changes in tax laws or rates are enacted, deferred tax assets and liabilities are adjusted through the provision for income taxes. Valuation allowances are established when necessary to reduce deferred tax assets to the amount expected to be realized.</w:t>
      </w:r>
    </w:p>
    <w:p>
      <w:pPr>
        <w:spacing w:after="0" w:line="17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Income tax expense was $1.6 million for the three months ended September 30, 2019 compared to $1.2 million for the three months ended September 30, 2018. Our effective tax rates for those periods were approximately 27%. Income tax expense was $4.2 million for the nine months ended September 30, 2019 compared to $3.7 million for the nine months ended September 30, 2018</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with effective tax rates of 26.4% and 28.5% for the 2019 and 2018 periods, respectively. The decrease in the effective tax rate was primarily due to overall lower blended state and federal tax rates.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of September 30, 2019, our total assets increased $206.3 million from December 31, 2018 to approximately $1.3 billion. Loans receivable, interest bearing deposits at other financial institutions, loans held for sale, and premises and equipment increased while investment securities decreased over that period. Both noninterest bearing and interest bearing deposits increased. Securities sold under repurchase agreements and federal funds purchased decreased, while Federal Home Loan Bank advances increased. Stockholders’ equity increased $13.3 million, or 12%, to $127.8 million at September 30, 2019, primarily due to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Bearing Deposits at Other Financial Institutions</w:t>
      </w:r>
    </w:p>
    <w:p>
      <w:pPr>
        <w:spacing w:after="0" w:line="2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As of September 30, 2019, interest bearing deposits at other financial institutions increased $18.5 million, or 84%, to $40.5 million from $22.0 million at December 31, 2018. The increase was primarily due to increased deposits from fiduciary accounts.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jc w:val="both"/>
        <w:ind w:firstLine="324"/>
        <w:spacing w:after="0" w:line="260" w:lineRule="auto"/>
        <w:rPr>
          <w:sz w:val="20"/>
          <w:szCs w:val="20"/>
          <w:color w:val="auto"/>
        </w:rPr>
      </w:pPr>
      <w:r>
        <w:rPr>
          <w:rFonts w:ascii="Arial" w:cs="Arial" w:eastAsia="Arial" w:hAnsi="Arial"/>
          <w:sz w:val="18"/>
          <w:szCs w:val="18"/>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investment portfolio decreased 21%, or approximately $ 9.9 million, from $46.9 million at December 31, 2018, to $37.1 million at September 30, 2019 due to $15.5 million of paydowns received on mortgage-backed securities and $ 3.3 million in sales offset by $8.2 million in investment purchases. To supplement interest income earned on our loan portfolio, we invest in high quality mortgage-backed securities, government agency bonds, and high quality municipal and corporate bonds.</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tables summarize the contractual maturities and weighted-average yields of investment securities at September 30, 2019 and the amortized cost and carrying value of those securities as of the indicated dates.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MATURITIES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One Year or Less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w w:val="98"/>
              </w:rPr>
              <w:t>More Than One Year</w:t>
            </w:r>
          </w:p>
        </w:tc>
        <w:tc>
          <w:tcPr>
            <w:tcW w:w="140" w:type="dxa"/>
            <w:vAlign w:val="bottom"/>
          </w:tcPr>
          <w:p>
            <w:pPr>
              <w:spacing w:after="0"/>
              <w:rPr>
                <w:sz w:val="13"/>
                <w:szCs w:val="13"/>
                <w:color w:val="auto"/>
              </w:rPr>
            </w:pPr>
          </w:p>
        </w:tc>
        <w:tc>
          <w:tcPr>
            <w:tcW w:w="1580" w:type="dxa"/>
            <w:vAlign w:val="bottom"/>
            <w:gridSpan w:val="4"/>
          </w:tcPr>
          <w:p>
            <w:pPr>
              <w:ind w:left="40"/>
              <w:spacing w:after="0"/>
              <w:rPr>
                <w:sz w:val="20"/>
                <w:szCs w:val="20"/>
                <w:color w:val="auto"/>
              </w:rPr>
            </w:pPr>
            <w:r>
              <w:rPr>
                <w:rFonts w:ascii="Arial" w:cs="Arial" w:eastAsia="Arial" w:hAnsi="Arial"/>
                <w:sz w:val="13"/>
                <w:szCs w:val="13"/>
                <w:b w:val="1"/>
                <w:bCs w:val="1"/>
                <w:color w:val="auto"/>
              </w:rPr>
              <w:t>More Than Five Years</w:t>
            </w:r>
          </w:p>
        </w:tc>
        <w:tc>
          <w:tcPr>
            <w:tcW w:w="80" w:type="dxa"/>
            <w:vAlign w:val="bottom"/>
          </w:tcPr>
          <w:p>
            <w:pPr>
              <w:spacing w:after="0"/>
              <w:rPr>
                <w:sz w:val="13"/>
                <w:szCs w:val="13"/>
                <w:color w:val="auto"/>
              </w:rPr>
            </w:pPr>
          </w:p>
        </w:tc>
        <w:tc>
          <w:tcPr>
            <w:tcW w:w="162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rPr>
              <w:t>More Than 10 Years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6"/>
              </w:rPr>
              <w:t>Total</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Through Five Years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Through 10 Years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Weighted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Weighted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Weighted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00"/>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64"/>
        </w:trPr>
        <w:tc>
          <w:tcPr>
            <w:tcW w:w="1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Book Value</w:t>
            </w: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Average Yield</w:t>
            </w: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rPr>
              <w:t>Book Value</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Average Yield</w:t>
            </w: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rPr>
              <w:t>Book Value</w:t>
            </w: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Average Yield</w:t>
            </w: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Book Value</w:t>
            </w: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w w:val="93"/>
              </w:rPr>
              <w:t>Book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Fair Value</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Average Yield</w:t>
            </w:r>
          </w:p>
        </w:tc>
        <w:tc>
          <w:tcPr>
            <w:tcW w:w="0" w:type="dxa"/>
            <w:vAlign w:val="bottom"/>
          </w:tcPr>
          <w:p>
            <w:pPr>
              <w:spacing w:after="0"/>
              <w:rPr>
                <w:sz w:val="1"/>
                <w:szCs w:val="1"/>
                <w:color w:val="auto"/>
              </w:rPr>
            </w:pPr>
          </w:p>
        </w:tc>
      </w:tr>
      <w:tr>
        <w:trPr>
          <w:trHeight w:val="246"/>
        </w:trPr>
        <w:tc>
          <w:tcPr>
            <w:tcW w:w="17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74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Securities Available for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Sale:</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740" w:type="dxa"/>
            <w:vAlign w:val="bottom"/>
          </w:tcPr>
          <w:p>
            <w:pPr>
              <w:ind w:left="40"/>
              <w:spacing w:after="0" w:line="140" w:lineRule="exact"/>
              <w:rPr>
                <w:sz w:val="20"/>
                <w:szCs w:val="20"/>
                <w:color w:val="auto"/>
              </w:rPr>
            </w:pPr>
            <w:r>
              <w:rPr>
                <w:rFonts w:ascii="Arial" w:cs="Arial" w:eastAsia="Arial" w:hAnsi="Arial"/>
                <w:sz w:val="13"/>
                <w:szCs w:val="13"/>
                <w:color w:val="auto"/>
              </w:rPr>
              <w:t>U.S. government-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38"/>
              <w:spacing w:after="0"/>
              <w:rPr>
                <w:sz w:val="20"/>
                <w:szCs w:val="20"/>
                <w:color w:val="auto"/>
              </w:rPr>
            </w:pPr>
            <w:r>
              <w:rPr>
                <w:rFonts w:ascii="Arial" w:cs="Arial" w:eastAsia="Arial" w:hAnsi="Arial"/>
                <w:sz w:val="13"/>
                <w:szCs w:val="13"/>
                <w:color w:val="auto"/>
              </w:rPr>
              <w:t>6,000</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2"/>
                <w:szCs w:val="12"/>
                <w:color w:val="auto"/>
              </w:rPr>
            </w:pPr>
          </w:p>
        </w:tc>
        <w:tc>
          <w:tcPr>
            <w:tcW w:w="16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ind w:left="28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6,000</w:t>
            </w: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5,992</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77"/>
        </w:trPr>
        <w:tc>
          <w:tcPr>
            <w:tcW w:w="1740" w:type="dxa"/>
            <w:vAlign w:val="bottom"/>
          </w:tcPr>
          <w:p>
            <w:pPr>
              <w:ind w:left="40"/>
              <w:spacing w:after="0"/>
              <w:rPr>
                <w:sz w:val="20"/>
                <w:szCs w:val="20"/>
                <w:color w:val="auto"/>
              </w:rPr>
            </w:pPr>
            <w:r>
              <w:rPr>
                <w:rFonts w:ascii="Arial" w:cs="Arial" w:eastAsia="Arial" w:hAnsi="Arial"/>
                <w:sz w:val="13"/>
                <w:szCs w:val="13"/>
                <w:color w:val="auto"/>
              </w:rPr>
              <w:t>sponsored agencies</w:t>
            </w:r>
          </w:p>
        </w:tc>
        <w:tc>
          <w:tcPr>
            <w:tcW w:w="1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Municipal</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515</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528</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263"/>
        </w:trPr>
        <w:tc>
          <w:tcPr>
            <w:tcW w:w="1740" w:type="dxa"/>
            <w:vAlign w:val="bottom"/>
          </w:tcPr>
          <w:p>
            <w:pPr>
              <w:ind w:left="40"/>
              <w:spacing w:after="0"/>
              <w:rPr>
                <w:sz w:val="20"/>
                <w:szCs w:val="20"/>
                <w:color w:val="auto"/>
              </w:rPr>
            </w:pPr>
            <w:r>
              <w:rPr>
                <w:rFonts w:ascii="Arial" w:cs="Arial" w:eastAsia="Arial" w:hAnsi="Arial"/>
                <w:sz w:val="13"/>
                <w:szCs w:val="13"/>
                <w:color w:val="auto"/>
              </w:rPr>
              <w:t>Corporate bonds</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663</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2,672</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5.43%</w:t>
            </w:r>
          </w:p>
        </w:tc>
        <w:tc>
          <w:tcPr>
            <w:tcW w:w="0" w:type="dxa"/>
            <w:vAlign w:val="bottom"/>
          </w:tcPr>
          <w:p>
            <w:pPr>
              <w:spacing w:after="0"/>
              <w:rPr>
                <w:sz w:val="1"/>
                <w:szCs w:val="1"/>
                <w:color w:val="auto"/>
              </w:rPr>
            </w:pPr>
          </w:p>
        </w:tc>
      </w:tr>
      <w:tr>
        <w:trPr>
          <w:trHeight w:val="271"/>
        </w:trPr>
        <w:tc>
          <w:tcPr>
            <w:tcW w:w="1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Mortgage-backed securities</w:t>
            </w: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8,761</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19,118</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27,879</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27,881</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243"/>
        </w:trPr>
        <w:tc>
          <w:tcPr>
            <w:tcW w:w="1740" w:type="dxa"/>
            <w:vAlign w:val="bottom"/>
          </w:tcPr>
          <w:p>
            <w:pPr>
              <w:ind w:left="40"/>
              <w:spacing w:after="0"/>
              <w:rPr>
                <w:sz w:val="20"/>
                <w:szCs w:val="20"/>
                <w:color w:val="auto"/>
              </w:rPr>
            </w:pPr>
            <w:r>
              <w:rPr>
                <w:rFonts w:ascii="Arial" w:cs="Arial" w:eastAsia="Arial" w:hAnsi="Arial"/>
                <w:sz w:val="13"/>
                <w:szCs w:val="13"/>
                <w:color w:val="auto"/>
              </w:rPr>
              <w:t>Total</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6,000</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10,761</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2.46%</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20,296</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37,057</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37,073</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primary source of income is derived from interest earned on loans. Our loan portfolio consists of loans secured by real estate as well as commercial business loans, credit card loans, substantially all of which are secured by corresponding deposits at the Bank and, to a very limited extent, other consumer loans. Our loan customers primarily consist of small- to medium-sized businesses, professionals, real estate investors, small residential builders and individuals. Our owner-occupied and investment commercial real estate loans, residential construction loans and commercial business loans provide us with higher risk-adjusted returns, shorter maturities and more sensitivity to interest rate fluctuations, and are complemented by our relatively lower risk residential real estate loans to individuals. To a lesser extent, our credit card portfolio supplements our traditional lending products with enhanced yields. Our lending activities are principally directed to our market area consisting of the Washington, D.C. and Baltimore metropolitan areas.</w:t>
      </w: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0"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The following table summarizes our loan portfolio by type of loan as of the dates indicated: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LOAN PORTFOLIO</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September 30, 2019</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December 31, 2018</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48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80" w:type="dxa"/>
            <w:vAlign w:val="bottom"/>
          </w:tcPr>
          <w:p>
            <w:pPr>
              <w:spacing w:after="0"/>
              <w:rPr>
                <w:sz w:val="11"/>
                <w:szCs w:val="11"/>
                <w:color w:val="auto"/>
              </w:rPr>
            </w:pPr>
          </w:p>
        </w:tc>
        <w:tc>
          <w:tcPr>
            <w:tcW w:w="19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1"/>
                <w:szCs w:val="11"/>
                <w:color w:val="auto"/>
              </w:rPr>
            </w:pPr>
          </w:p>
        </w:tc>
        <w:tc>
          <w:tcPr>
            <w:tcW w:w="19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9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84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3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Residential</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443,961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407,844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62"/>
        </w:trPr>
        <w:tc>
          <w:tcPr>
            <w:tcW w:w="484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380" w:type="dxa"/>
            <w:vAlign w:val="bottom"/>
          </w:tcPr>
          <w:p>
            <w:pPr>
              <w:spacing w:after="0"/>
              <w:rPr>
                <w:sz w:val="22"/>
                <w:szCs w:val="22"/>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339,448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278,691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8"/>
        </w:trPr>
        <w:tc>
          <w:tcPr>
            <w:tcW w:w="4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Construction</w:t>
            </w: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182,224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157,586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62"/>
        </w:trPr>
        <w:tc>
          <w:tcPr>
            <w:tcW w:w="484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80" w:type="dxa"/>
            <w:vAlign w:val="bottom"/>
          </w:tcPr>
          <w:p>
            <w:pPr>
              <w:spacing w:after="0"/>
              <w:rPr>
                <w:sz w:val="22"/>
                <w:szCs w:val="22"/>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132,935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122,264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8"/>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44,058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34,673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6"/>
                <w:szCs w:val="16"/>
                <w:color w:val="auto"/>
              </w:rPr>
              <w:t>Other consumer</w:t>
            </w:r>
          </w:p>
        </w:tc>
        <w:tc>
          <w:tcPr>
            <w:tcW w:w="380" w:type="dxa"/>
            <w:vAlign w:val="bottom"/>
          </w:tcPr>
          <w:p>
            <w:pPr>
              <w:spacing w:after="0"/>
              <w:rPr>
                <w:sz w:val="22"/>
                <w:szCs w:val="22"/>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48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gross loans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1,143,774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1,002,260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40"/>
              <w:spacing w:after="0"/>
              <w:rPr>
                <w:sz w:val="20"/>
                <w:szCs w:val="20"/>
                <w:color w:val="auto"/>
              </w:rPr>
            </w:pPr>
            <w:r>
              <w:rPr>
                <w:rFonts w:ascii="Arial" w:cs="Arial" w:eastAsia="Arial" w:hAnsi="Arial"/>
                <w:sz w:val="16"/>
                <w:szCs w:val="16"/>
                <w:color w:val="auto"/>
              </w:rPr>
              <w:t>Unearned income</w:t>
            </w:r>
          </w:p>
        </w:tc>
        <w:tc>
          <w:tcPr>
            <w:tcW w:w="3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(3,464)</w:t>
            </w: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40" w:type="dxa"/>
            <w:vAlign w:val="bottom"/>
            <w:tcBorders>
              <w:bottom w:val="single" w:sz="8" w:color="CCEEFF"/>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loans, net of unearned income</w:t>
            </w: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1,140,310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1,000,268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Allowance for loan losses</w:t>
            </w: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net loans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1,127,502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988,960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repayment of loans is a source of additional liquidity for us. The following table details maturities and sensitivity to interest rate changes for our loan portfolio at September 30, 2019: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MATURITY AND SENSITIVITY TO CHANGES IN INTEREST RATES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As of September 30, 2019</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68"/>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Due in One Year</w:t>
            </w: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Due in One to</w:t>
            </w: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Due After</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7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 Less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Five Years</w:t>
            </w: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Five Years</w:t>
            </w:r>
          </w:p>
        </w:tc>
        <w:tc>
          <w:tcPr>
            <w:tcW w:w="380" w:type="dxa"/>
            <w:vAlign w:val="bottom"/>
          </w:tcPr>
          <w:p>
            <w:pPr>
              <w:spacing w:after="0"/>
              <w:rPr>
                <w:sz w:val="17"/>
                <w:szCs w:val="17"/>
                <w:color w:val="auto"/>
              </w:rPr>
            </w:pPr>
          </w:p>
        </w:tc>
        <w:tc>
          <w:tcPr>
            <w:tcW w:w="1220" w:type="dxa"/>
            <w:vAlign w:val="bottom"/>
          </w:tcPr>
          <w:p>
            <w:pPr>
              <w:jc w:val="right"/>
              <w:ind w:right="560"/>
              <w:spacing w:after="0"/>
              <w:rPr>
                <w:sz w:val="20"/>
                <w:szCs w:val="20"/>
                <w:color w:val="auto"/>
              </w:rPr>
            </w:pPr>
            <w:r>
              <w:rPr>
                <w:rFonts w:ascii="Arial" w:cs="Arial" w:eastAsia="Arial" w:hAnsi="Arial"/>
                <w:sz w:val="14"/>
                <w:szCs w:val="14"/>
                <w:b w:val="1"/>
                <w:bCs w:val="1"/>
                <w:color w:val="auto"/>
              </w:rPr>
              <w:t>Total</w:t>
            </w:r>
          </w:p>
        </w:tc>
      </w:tr>
      <w:tr>
        <w:trPr>
          <w:trHeight w:val="258"/>
        </w:trPr>
        <w:tc>
          <w:tcPr>
            <w:tcW w:w="470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78"/>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110,030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131,719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202,212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443,961</w:t>
            </w:r>
          </w:p>
        </w:tc>
      </w:tr>
      <w:tr>
        <w:trPr>
          <w:trHeight w:val="262"/>
        </w:trPr>
        <w:tc>
          <w:tcPr>
            <w:tcW w:w="470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70,732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186,093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82,623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339,448</w:t>
            </w:r>
          </w:p>
        </w:tc>
      </w:tr>
      <w:tr>
        <w:trPr>
          <w:trHeight w:val="278"/>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Construction</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151,679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28,445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182,224</w:t>
            </w: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59,633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57,328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15,974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132,935</w:t>
            </w: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44,058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44,058</w:t>
            </w:r>
          </w:p>
        </w:tc>
      </w:tr>
      <w:tr>
        <w:trPr>
          <w:trHeight w:val="264"/>
        </w:trPr>
        <w:tc>
          <w:tcPr>
            <w:tcW w:w="4700" w:type="dxa"/>
            <w:vAlign w:val="bottom"/>
          </w:tcPr>
          <w:p>
            <w:pPr>
              <w:ind w:left="40"/>
              <w:spacing w:after="0"/>
              <w:rPr>
                <w:sz w:val="20"/>
                <w:szCs w:val="20"/>
                <w:color w:val="auto"/>
              </w:rPr>
            </w:pPr>
            <w:r>
              <w:rPr>
                <w:rFonts w:ascii="Arial" w:cs="Arial" w:eastAsia="Arial" w:hAnsi="Arial"/>
                <w:sz w:val="16"/>
                <w:szCs w:val="16"/>
                <w:color w:val="auto"/>
              </w:rPr>
              <w:t>Other consumer</w:t>
            </w:r>
          </w:p>
        </w:tc>
        <w:tc>
          <w:tcPr>
            <w:tcW w:w="1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1,148</w:t>
            </w:r>
          </w:p>
        </w:tc>
      </w:tr>
      <w:tr>
        <w:trPr>
          <w:trHeight w:val="242"/>
        </w:trPr>
        <w:tc>
          <w:tcPr>
            <w:tcW w:w="47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436,915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403,950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302,909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1,143,774</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Amounts with fixed rates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110,655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256,463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55,059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422,177</w:t>
            </w:r>
          </w:p>
        </w:tc>
      </w:tr>
      <w:tr>
        <w:trPr>
          <w:trHeight w:val="224"/>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with floating rates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326,260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147,487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247,850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721,597</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Nonperforming loans increased to $ 6.5 million, or 0.57% of total loans, at September 30, 2019 compared to $4.7 million, or 0.47% of total loans, at December 31, 2018. The $1.9 million, or 40%, increase during the nine months ended September 30, 2019 was primarily due to an increase of $2.1 million in nonperforming construction loans. The increase is attributable to a single borrower relationship that is well secured and on which no impairment is expected. As such, there have been no losses related to the increase in non-performing assets. Foreclosed real estate increased to $149 thousand as of September 30, 2019 compared to $142 thousand as of December 31, 2018 due to the foreclosure of a residential loan.</w:t>
      </w:r>
    </w:p>
    <w:p>
      <w:pPr>
        <w:spacing w:after="0" w:line="17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Total nonperforming assets were $6.7 million at September 30, 2019 compared to $4.8 million at December 31, 2018, or 0.51% and 0.44%, respectively, of corresponding total assets.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360" w:right="239" w:bottom="1440" w:gutter="0" w:footer="0" w:header="0"/>
          <w:type w:val="continuous"/>
        </w:sectPr>
      </w:pPr>
    </w:p>
    <w:bookmarkStart w:id="53" w:name="page54"/>
    <w:bookmarkEnd w:id="53"/>
    <w:p>
      <w:pPr>
        <w:ind w:left="340"/>
        <w:spacing w:after="0"/>
        <w:rPr>
          <w:sz w:val="20"/>
          <w:szCs w:val="20"/>
          <w:color w:val="auto"/>
        </w:rPr>
      </w:pPr>
      <w:r>
        <w:rPr>
          <w:rFonts w:ascii="Arial" w:cs="Arial" w:eastAsia="Arial" w:hAnsi="Arial"/>
          <w:sz w:val="18"/>
          <w:szCs w:val="18"/>
          <w:color w:val="auto"/>
        </w:rPr>
        <w:t>The following table presents information regarding nonperforming assets at the dates indicated: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2019</w:t>
            </w: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December 31, 2018</w:t>
            </w:r>
          </w:p>
        </w:tc>
      </w:tr>
      <w:tr>
        <w:trPr>
          <w:trHeight w:val="138"/>
        </w:trPr>
        <w:tc>
          <w:tcPr>
            <w:tcW w:w="65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tcPr>
          <w:p>
            <w:pPr>
              <w:spacing w:after="0"/>
              <w:rPr>
                <w:sz w:val="11"/>
                <w:szCs w:val="11"/>
                <w:color w:val="auto"/>
              </w:rPr>
            </w:pPr>
          </w:p>
        </w:tc>
      </w:tr>
      <w:tr>
        <w:trPr>
          <w:trHeight w:val="390"/>
        </w:trPr>
        <w:tc>
          <w:tcPr>
            <w:tcW w:w="6540" w:type="dxa"/>
            <w:vAlign w:val="bottom"/>
          </w:tcPr>
          <w:p>
            <w:pPr>
              <w:ind w:left="40"/>
              <w:spacing w:after="0"/>
              <w:rPr>
                <w:sz w:val="20"/>
                <w:szCs w:val="20"/>
                <w:color w:val="auto"/>
              </w:rPr>
            </w:pPr>
            <w:r>
              <w:rPr>
                <w:rFonts w:ascii="Arial" w:cs="Arial" w:eastAsia="Arial" w:hAnsi="Arial"/>
                <w:sz w:val="16"/>
                <w:szCs w:val="16"/>
                <w:color w:val="auto"/>
              </w:rPr>
              <w:t>Nonaccrual loans</w:t>
            </w: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8"/>
        </w:trPr>
        <w:tc>
          <w:tcPr>
            <w:tcW w:w="6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Real Estate:</w:t>
            </w:r>
          </w:p>
        </w:tc>
        <w:tc>
          <w:tcPr>
            <w:tcW w:w="24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62"/>
        </w:trPr>
        <w:tc>
          <w:tcPr>
            <w:tcW w:w="6540" w:type="dxa"/>
            <w:vAlign w:val="bottom"/>
          </w:tcPr>
          <w:p>
            <w:pPr>
              <w:ind w:left="360"/>
              <w:spacing w:after="0"/>
              <w:rPr>
                <w:sz w:val="20"/>
                <w:szCs w:val="20"/>
                <w:color w:val="auto"/>
              </w:rPr>
            </w:pPr>
            <w:r>
              <w:rPr>
                <w:rFonts w:ascii="Arial" w:cs="Arial" w:eastAsia="Arial" w:hAnsi="Arial"/>
                <w:sz w:val="16"/>
                <w:szCs w:val="16"/>
                <w:color w:val="auto"/>
              </w:rPr>
              <w:t>Residential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00"/>
              <w:spacing w:after="0"/>
              <w:rPr>
                <w:sz w:val="20"/>
                <w:szCs w:val="20"/>
                <w:color w:val="auto"/>
              </w:rPr>
            </w:pPr>
            <w:r>
              <w:rPr>
                <w:rFonts w:ascii="Arial" w:cs="Arial" w:eastAsia="Arial" w:hAnsi="Arial"/>
                <w:sz w:val="16"/>
                <w:szCs w:val="16"/>
                <w:color w:val="auto"/>
              </w:rPr>
              <w:t>2,193</w:t>
            </w:r>
          </w:p>
        </w:tc>
        <w:tc>
          <w:tcPr>
            <w:tcW w:w="2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00"/>
              <w:spacing w:after="0"/>
              <w:rPr>
                <w:sz w:val="20"/>
                <w:szCs w:val="20"/>
                <w:color w:val="auto"/>
              </w:rPr>
            </w:pPr>
            <w:r>
              <w:rPr>
                <w:rFonts w:ascii="Arial" w:cs="Arial" w:eastAsia="Arial" w:hAnsi="Arial"/>
                <w:sz w:val="16"/>
                <w:szCs w:val="16"/>
                <w:color w:val="auto"/>
              </w:rPr>
              <w:t>2,207</w:t>
            </w:r>
          </w:p>
        </w:tc>
      </w:tr>
      <w:tr>
        <w:trPr>
          <w:trHeight w:val="278"/>
        </w:trPr>
        <w:tc>
          <w:tcPr>
            <w:tcW w:w="6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Commercial</w:t>
            </w:r>
          </w:p>
        </w:tc>
        <w:tc>
          <w:tcPr>
            <w:tcW w:w="24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1,036</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1,486</w:t>
            </w:r>
          </w:p>
        </w:tc>
      </w:tr>
      <w:tr>
        <w:trPr>
          <w:trHeight w:val="262"/>
        </w:trPr>
        <w:tc>
          <w:tcPr>
            <w:tcW w:w="6540" w:type="dxa"/>
            <w:vAlign w:val="bottom"/>
          </w:tcPr>
          <w:p>
            <w:pPr>
              <w:ind w:left="360"/>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22"/>
                <w:szCs w:val="22"/>
                <w:color w:val="auto"/>
              </w:rPr>
            </w:pPr>
          </w:p>
        </w:tc>
        <w:tc>
          <w:tcPr>
            <w:tcW w:w="1880" w:type="dxa"/>
            <w:vAlign w:val="bottom"/>
          </w:tcPr>
          <w:p>
            <w:pPr>
              <w:jc w:val="right"/>
              <w:ind w:right="100"/>
              <w:spacing w:after="0"/>
              <w:rPr>
                <w:sz w:val="20"/>
                <w:szCs w:val="20"/>
                <w:color w:val="auto"/>
              </w:rPr>
            </w:pPr>
            <w:r>
              <w:rPr>
                <w:rFonts w:ascii="Arial" w:cs="Arial" w:eastAsia="Arial" w:hAnsi="Arial"/>
                <w:sz w:val="16"/>
                <w:szCs w:val="16"/>
                <w:color w:val="auto"/>
              </w:rPr>
              <w:t>2,100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278"/>
        </w:trPr>
        <w:tc>
          <w:tcPr>
            <w:tcW w:w="6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w:t>
            </w:r>
          </w:p>
        </w:tc>
        <w:tc>
          <w:tcPr>
            <w:tcW w:w="24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842</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749</w:t>
            </w: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Accruing loans 90 or more days past due</w:t>
            </w:r>
          </w:p>
        </w:tc>
        <w:tc>
          <w:tcPr>
            <w:tcW w:w="2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371</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237</w:t>
            </w:r>
          </w:p>
        </w:tc>
      </w:tr>
      <w:tr>
        <w:trPr>
          <w:trHeight w:val="257"/>
        </w:trPr>
        <w:tc>
          <w:tcPr>
            <w:tcW w:w="6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nonperforming loans</w:t>
            </w:r>
          </w:p>
        </w:tc>
        <w:tc>
          <w:tcPr>
            <w:tcW w:w="24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6,542</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4,679</w:t>
            </w: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real estate owned</w:t>
            </w:r>
          </w:p>
        </w:tc>
        <w:tc>
          <w:tcPr>
            <w:tcW w:w="2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149</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142</w:t>
            </w:r>
          </w:p>
        </w:tc>
      </w:tr>
      <w:tr>
        <w:trPr>
          <w:trHeight w:val="237"/>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nonperforming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6,691</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4,821</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Restructured loans-nonaccrual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465</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284</w:t>
            </w:r>
          </w:p>
        </w:tc>
      </w:tr>
      <w:tr>
        <w:trPr>
          <w:trHeight w:val="262"/>
        </w:trPr>
        <w:tc>
          <w:tcPr>
            <w:tcW w:w="6540" w:type="dxa"/>
            <w:vAlign w:val="bottom"/>
          </w:tcPr>
          <w:p>
            <w:pPr>
              <w:ind w:left="40"/>
              <w:spacing w:after="0"/>
              <w:rPr>
                <w:sz w:val="20"/>
                <w:szCs w:val="20"/>
                <w:color w:val="auto"/>
              </w:rPr>
            </w:pPr>
            <w:r>
              <w:rPr>
                <w:rFonts w:ascii="Arial" w:cs="Arial" w:eastAsia="Arial" w:hAnsi="Arial"/>
                <w:sz w:val="16"/>
                <w:szCs w:val="16"/>
                <w:color w:val="auto"/>
              </w:rPr>
              <w:t>Restructured loans-accruing</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278"/>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nonperforming loans to total loans</w:t>
            </w:r>
          </w:p>
        </w:tc>
        <w:tc>
          <w:tcPr>
            <w:tcW w:w="24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r>
      <w:tr>
        <w:trPr>
          <w:trHeight w:val="282"/>
        </w:trPr>
        <w:tc>
          <w:tcPr>
            <w:tcW w:w="6540" w:type="dxa"/>
            <w:vAlign w:val="bottom"/>
          </w:tcPr>
          <w:p>
            <w:pPr>
              <w:ind w:left="40"/>
              <w:spacing w:after="0"/>
              <w:rPr>
                <w:sz w:val="20"/>
                <w:szCs w:val="20"/>
                <w:color w:val="auto"/>
              </w:rPr>
            </w:pPr>
            <w:r>
              <w:rPr>
                <w:rFonts w:ascii="Arial" w:cs="Arial" w:eastAsia="Arial" w:hAnsi="Arial"/>
                <w:sz w:val="16"/>
                <w:szCs w:val="16"/>
                <w:color w:val="auto"/>
              </w:rPr>
              <w:t>Ratio of nonperforming assets to total assets</w:t>
            </w:r>
          </w:p>
        </w:tc>
        <w:tc>
          <w:tcPr>
            <w:tcW w:w="2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0.51%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0.44%</w:t>
            </w:r>
          </w:p>
        </w:tc>
      </w:tr>
    </w:tbl>
    <w:p>
      <w:pPr>
        <w:spacing w:after="0" w:line="209"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following table presents the loan balances by category as well as risk rating at the dates indicated. No assets were classified as loss during the periods presented.</w:t>
      </w:r>
    </w:p>
    <w:p>
      <w:pPr>
        <w:spacing w:after="0" w:line="14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LOAN CLASSIFICATION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Special Mention</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Doubtful</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540" w:type="dxa"/>
            <w:vAlign w:val="bottom"/>
            <w:gridSpan w:val="4"/>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2019</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Real estate:</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441,694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443,961</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50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334,365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4,047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339,448</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180,124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182,224</w:t>
            </w:r>
          </w:p>
        </w:tc>
        <w:tc>
          <w:tcPr>
            <w:tcW w:w="0" w:type="dxa"/>
            <w:vAlign w:val="bottom"/>
          </w:tcPr>
          <w:p>
            <w:pPr>
              <w:spacing w:after="0"/>
              <w:rPr>
                <w:sz w:val="1"/>
                <w:szCs w:val="1"/>
                <w:color w:val="auto"/>
              </w:rPr>
            </w:pPr>
          </w:p>
        </w:tc>
      </w:tr>
      <w:tr>
        <w:trPr>
          <w:trHeight w:val="262"/>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125,699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5,410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1,607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132,935</w:t>
            </w:r>
          </w:p>
        </w:tc>
        <w:tc>
          <w:tcPr>
            <w:tcW w:w="0" w:type="dxa"/>
            <w:vAlign w:val="bottom"/>
          </w:tcPr>
          <w:p>
            <w:pPr>
              <w:spacing w:after="0"/>
              <w:rPr>
                <w:sz w:val="1"/>
                <w:szCs w:val="1"/>
                <w:color w:val="auto"/>
              </w:rPr>
            </w:pPr>
          </w:p>
        </w:tc>
      </w:tr>
      <w:tr>
        <w:trPr>
          <w:trHeight w:val="278"/>
        </w:trPr>
        <w:tc>
          <w:tcPr>
            <w:tcW w:w="35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44,058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44,058</w:t>
            </w:r>
          </w:p>
        </w:tc>
        <w:tc>
          <w:tcPr>
            <w:tcW w:w="0" w:type="dxa"/>
            <w:vAlign w:val="bottom"/>
          </w:tcPr>
          <w:p>
            <w:pPr>
              <w:spacing w:after="0"/>
              <w:rPr>
                <w:sz w:val="1"/>
                <w:szCs w:val="1"/>
                <w:color w:val="auto"/>
              </w:rPr>
            </w:pPr>
          </w:p>
        </w:tc>
      </w:tr>
      <w:tr>
        <w:trPr>
          <w:trHeight w:val="264"/>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Other consumer</w:t>
            </w:r>
          </w:p>
        </w:tc>
        <w:tc>
          <w:tcPr>
            <w:tcW w:w="34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42"/>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50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1,127,088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1,143,774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Real estate:</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405,532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407,844</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50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274,247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2,958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278,691</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154,643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157,586</w:t>
            </w:r>
          </w:p>
        </w:tc>
        <w:tc>
          <w:tcPr>
            <w:tcW w:w="0" w:type="dxa"/>
            <w:vAlign w:val="bottom"/>
          </w:tcPr>
          <w:p>
            <w:pPr>
              <w:spacing w:after="0"/>
              <w:rPr>
                <w:sz w:val="1"/>
                <w:szCs w:val="1"/>
                <w:color w:val="auto"/>
              </w:rPr>
            </w:pPr>
          </w:p>
        </w:tc>
      </w:tr>
      <w:tr>
        <w:trPr>
          <w:trHeight w:val="262"/>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117,670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3,844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122,264</w:t>
            </w:r>
          </w:p>
        </w:tc>
        <w:tc>
          <w:tcPr>
            <w:tcW w:w="0" w:type="dxa"/>
            <w:vAlign w:val="bottom"/>
          </w:tcPr>
          <w:p>
            <w:pPr>
              <w:spacing w:after="0"/>
              <w:rPr>
                <w:sz w:val="1"/>
                <w:szCs w:val="1"/>
                <w:color w:val="auto"/>
              </w:rPr>
            </w:pPr>
          </w:p>
        </w:tc>
      </w:tr>
      <w:tr>
        <w:trPr>
          <w:trHeight w:val="278"/>
        </w:trPr>
        <w:tc>
          <w:tcPr>
            <w:tcW w:w="35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34,673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34,673</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Other consumer</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42"/>
        </w:trPr>
        <w:tc>
          <w:tcPr>
            <w:tcW w:w="40" w:type="dxa"/>
            <w:vAlign w:val="bottom"/>
            <w:shd w:val="clear" w:color="auto" w:fill="CCEEFF"/>
          </w:tcPr>
          <w:p>
            <w:pPr>
              <w:spacing w:after="0"/>
              <w:rPr>
                <w:sz w:val="21"/>
                <w:szCs w:val="21"/>
                <w:color w:val="auto"/>
              </w:rPr>
            </w:pPr>
          </w:p>
        </w:tc>
        <w:tc>
          <w:tcPr>
            <w:tcW w:w="3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987,967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1,002,260</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w:t>
            </w:r>
          </w:p>
        </w:tc>
        <w:tc>
          <w:tcPr>
            <w:tcW w:w="200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40" w:type="dxa"/>
            <w:vAlign w:val="bottom"/>
            <w:gridSpan w:val="3"/>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10"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Category includes loans graded exceptional, very good, good, satisfactory and pass / watch.</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360" w:right="239" w:bottom="1440" w:gutter="0" w:footer="0" w:header="0"/>
          <w:type w:val="continuous"/>
        </w:sectPr>
      </w:pPr>
    </w:p>
    <w:bookmarkStart w:id="54" w:name="page55"/>
    <w:bookmarkEnd w:id="54"/>
    <w:p>
      <w:pPr>
        <w:jc w:val="both"/>
        <w:ind w:firstLine="324"/>
        <w:spacing w:after="0" w:line="264" w:lineRule="auto"/>
        <w:rPr>
          <w:sz w:val="20"/>
          <w:szCs w:val="20"/>
          <w:color w:val="auto"/>
        </w:rPr>
      </w:pPr>
      <w:r>
        <w:rPr>
          <w:rFonts w:ascii="Arial" w:cs="Arial" w:eastAsia="Arial" w:hAnsi="Arial"/>
          <w:sz w:val="18"/>
          <w:szCs w:val="18"/>
          <w:color w:val="auto"/>
        </w:rPr>
        <w:t>At September 30, 2019, the recorded investment in impaired loans was $6.2 million, of which $476 thousand required a specific reserve of $258 thousand. This compares to a recorded investment in impaired loans of $4.4 million at December 31, 2018, including $386 thousand which required a specific reserve of $262 thousand. Impaired loans at both dates presented included one borrower relationship totaling $2.1 million that is well secured and on which no impairment is expected.</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Impaired loans also include certain loans that have been modified as TDR’s. The Company had five loans amounting to $465 thousand at September 30, 2019, and four loans totaling $284 thousand at December 31, 2018 that were considered to be TDRs.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 The following table presents a summary of changes in the allowance for loan losses for the periods and dates indicated: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3040" w:type="dxa"/>
            <w:vAlign w:val="bottom"/>
            <w:gridSpan w:val="3"/>
          </w:tcPr>
          <w:p>
            <w:pPr>
              <w:ind w:left="80"/>
              <w:spacing w:after="0"/>
              <w:rPr>
                <w:sz w:val="20"/>
                <w:szCs w:val="20"/>
                <w:color w:val="auto"/>
              </w:rPr>
            </w:pPr>
            <w:r>
              <w:rPr>
                <w:rFonts w:ascii="Arial" w:cs="Arial" w:eastAsia="Arial" w:hAnsi="Arial"/>
                <w:sz w:val="14"/>
                <w:szCs w:val="14"/>
                <w:b w:val="1"/>
                <w:bCs w:val="1"/>
                <w:color w:val="auto"/>
              </w:rPr>
              <w:t>For the Nine Months Ended September</w:t>
            </w:r>
          </w:p>
        </w:tc>
        <w:tc>
          <w:tcPr>
            <w:tcW w:w="140" w:type="dxa"/>
            <w:vAlign w:val="bottom"/>
          </w:tcPr>
          <w:p>
            <w:pPr>
              <w:spacing w:after="0"/>
              <w:rPr>
                <w:sz w:val="14"/>
                <w:szCs w:val="14"/>
                <w:color w:val="auto"/>
              </w:rPr>
            </w:pPr>
          </w:p>
        </w:tc>
        <w:tc>
          <w:tcPr>
            <w:tcW w:w="2460" w:type="dxa"/>
            <w:vAlign w:val="bottom"/>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r>
      <w:tr>
        <w:trPr>
          <w:trHeight w:val="202"/>
        </w:trPr>
        <w:tc>
          <w:tcPr>
            <w:tcW w:w="57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1059"/>
              <w:spacing w:after="0"/>
              <w:rPr>
                <w:sz w:val="20"/>
                <w:szCs w:val="20"/>
                <w:color w:val="auto"/>
              </w:rPr>
            </w:pPr>
            <w:r>
              <w:rPr>
                <w:rFonts w:ascii="Arial" w:cs="Arial" w:eastAsia="Arial" w:hAnsi="Arial"/>
                <w:sz w:val="14"/>
                <w:szCs w:val="14"/>
                <w:b w:val="1"/>
                <w:bCs w:val="1"/>
                <w:color w:val="auto"/>
              </w:rPr>
              <w:t>30, 2019</w:t>
            </w: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1060"/>
              <w:spacing w:after="0"/>
              <w:rPr>
                <w:sz w:val="20"/>
                <w:szCs w:val="20"/>
                <w:color w:val="auto"/>
              </w:rPr>
            </w:pPr>
            <w:r>
              <w:rPr>
                <w:rFonts w:ascii="Arial" w:cs="Arial" w:eastAsia="Arial" w:hAnsi="Arial"/>
                <w:sz w:val="14"/>
                <w:szCs w:val="14"/>
                <w:b w:val="1"/>
                <w:bCs w:val="1"/>
                <w:color w:val="auto"/>
              </w:rPr>
              <w:t>2018</w:t>
            </w:r>
          </w:p>
        </w:tc>
      </w:tr>
      <w:tr>
        <w:trPr>
          <w:trHeight w:val="246"/>
        </w:trPr>
        <w:tc>
          <w:tcPr>
            <w:tcW w:w="57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6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Allowance for loan losses at beginning of period</w:t>
            </w:r>
          </w:p>
        </w:tc>
        <w:tc>
          <w:tcPr>
            <w:tcW w:w="62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11,308</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10,033</w:t>
            </w:r>
          </w:p>
        </w:tc>
      </w:tr>
      <w:tr>
        <w:trPr>
          <w:trHeight w:val="262"/>
        </w:trPr>
        <w:tc>
          <w:tcPr>
            <w:tcW w:w="5780" w:type="dxa"/>
            <w:vAlign w:val="bottom"/>
          </w:tcPr>
          <w:p>
            <w:pPr>
              <w:ind w:left="40"/>
              <w:spacing w:after="0"/>
              <w:rPr>
                <w:sz w:val="20"/>
                <w:szCs w:val="20"/>
                <w:color w:val="auto"/>
              </w:rPr>
            </w:pPr>
            <w:r>
              <w:rPr>
                <w:rFonts w:ascii="Arial" w:cs="Arial" w:eastAsia="Arial" w:hAnsi="Arial"/>
                <w:sz w:val="16"/>
                <w:szCs w:val="16"/>
                <w:color w:val="auto"/>
              </w:rPr>
              <w:t>Charge-offs:</w:t>
            </w:r>
          </w:p>
        </w:tc>
        <w:tc>
          <w:tcPr>
            <w:tcW w:w="6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78"/>
        </w:trPr>
        <w:tc>
          <w:tcPr>
            <w:tcW w:w="5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Real estate:</w:t>
            </w:r>
          </w:p>
        </w:tc>
        <w:tc>
          <w:tcPr>
            <w:tcW w:w="62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r>
      <w:tr>
        <w:trPr>
          <w:trHeight w:val="262"/>
        </w:trPr>
        <w:tc>
          <w:tcPr>
            <w:tcW w:w="578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620" w:type="dxa"/>
            <w:vAlign w:val="bottom"/>
          </w:tcPr>
          <w:p>
            <w:pPr>
              <w:spacing w:after="0"/>
              <w:rPr>
                <w:sz w:val="22"/>
                <w:szCs w:val="22"/>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60" w:type="dxa"/>
            <w:vAlign w:val="bottom"/>
          </w:tcPr>
          <w:p>
            <w:pPr>
              <w:jc w:val="right"/>
              <w:ind w:right="40"/>
              <w:spacing w:after="0"/>
              <w:rPr>
                <w:sz w:val="20"/>
                <w:szCs w:val="20"/>
                <w:color w:val="auto"/>
              </w:rPr>
            </w:pPr>
            <w:r>
              <w:rPr>
                <w:rFonts w:ascii="Arial" w:cs="Arial" w:eastAsia="Arial" w:hAnsi="Arial"/>
                <w:sz w:val="16"/>
                <w:szCs w:val="16"/>
                <w:color w:val="auto"/>
              </w:rPr>
              <w:t>(121)</w:t>
            </w:r>
          </w:p>
        </w:tc>
      </w:tr>
      <w:tr>
        <w:trPr>
          <w:trHeight w:val="278"/>
        </w:trPr>
        <w:tc>
          <w:tcPr>
            <w:tcW w:w="5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w:t>
            </w:r>
          </w:p>
        </w:tc>
        <w:tc>
          <w:tcPr>
            <w:tcW w:w="6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2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r>
      <w:tr>
        <w:trPr>
          <w:trHeight w:val="262"/>
        </w:trPr>
        <w:tc>
          <w:tcPr>
            <w:tcW w:w="578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620" w:type="dxa"/>
            <w:vAlign w:val="bottom"/>
          </w:tcPr>
          <w:p>
            <w:pPr>
              <w:spacing w:after="0"/>
              <w:rPr>
                <w:sz w:val="22"/>
                <w:szCs w:val="22"/>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60" w:type="dxa"/>
            <w:vAlign w:val="bottom"/>
          </w:tcPr>
          <w:p>
            <w:pPr>
              <w:jc w:val="right"/>
              <w:ind w:right="40"/>
              <w:spacing w:after="0"/>
              <w:rPr>
                <w:sz w:val="20"/>
                <w:szCs w:val="20"/>
                <w:color w:val="auto"/>
              </w:rPr>
            </w:pPr>
            <w:r>
              <w:rPr>
                <w:rFonts w:ascii="Arial" w:cs="Arial" w:eastAsia="Arial" w:hAnsi="Arial"/>
                <w:sz w:val="16"/>
                <w:szCs w:val="16"/>
                <w:color w:val="auto"/>
              </w:rPr>
              <w:t>(147)</w:t>
            </w:r>
          </w:p>
        </w:tc>
      </w:tr>
      <w:tr>
        <w:trPr>
          <w:trHeight w:val="271"/>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Credit card</w:t>
            </w:r>
          </w:p>
        </w:tc>
        <w:tc>
          <w:tcPr>
            <w:tcW w:w="620" w:type="dxa"/>
            <w:vAlign w:val="bottom"/>
            <w:tcBorders>
              <w:bottom w:val="single" w:sz="8" w:color="auto"/>
            </w:tcBorders>
            <w:shd w:val="clear" w:color="auto" w:fill="CCEEFF"/>
          </w:tcPr>
          <w:p>
            <w:pPr>
              <w:spacing w:after="0"/>
              <w:rPr>
                <w:sz w:val="23"/>
                <w:szCs w:val="23"/>
                <w:color w:val="auto"/>
              </w:rPr>
            </w:pPr>
          </w:p>
        </w:tc>
        <w:tc>
          <w:tcPr>
            <w:tcW w:w="2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(303)</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(806)</w:t>
            </w:r>
          </w:p>
        </w:tc>
      </w:tr>
      <w:tr>
        <w:trPr>
          <w:trHeight w:val="250"/>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charge-offs</w:t>
            </w:r>
          </w:p>
        </w:tc>
        <w:tc>
          <w:tcPr>
            <w:tcW w:w="6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(393)</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(1,096)</w:t>
            </w:r>
          </w:p>
        </w:tc>
      </w:tr>
      <w:tr>
        <w:trPr>
          <w:trHeight w:val="270"/>
        </w:trPr>
        <w:tc>
          <w:tcPr>
            <w:tcW w:w="57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r>
      <w:tr>
        <w:trPr>
          <w:trHeight w:val="262"/>
        </w:trPr>
        <w:tc>
          <w:tcPr>
            <w:tcW w:w="5780" w:type="dxa"/>
            <w:vAlign w:val="bottom"/>
          </w:tcPr>
          <w:p>
            <w:pPr>
              <w:ind w:left="40"/>
              <w:spacing w:after="0"/>
              <w:rPr>
                <w:sz w:val="20"/>
                <w:szCs w:val="20"/>
                <w:color w:val="auto"/>
              </w:rPr>
            </w:pPr>
            <w:r>
              <w:rPr>
                <w:rFonts w:ascii="Arial" w:cs="Arial" w:eastAsia="Arial" w:hAnsi="Arial"/>
                <w:sz w:val="16"/>
                <w:szCs w:val="16"/>
                <w:color w:val="auto"/>
              </w:rPr>
              <w:t>Recoveries:</w:t>
            </w:r>
          </w:p>
        </w:tc>
        <w:tc>
          <w:tcPr>
            <w:tcW w:w="6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78"/>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 estate:</w:t>
            </w:r>
          </w:p>
        </w:tc>
        <w:tc>
          <w:tcPr>
            <w:tcW w:w="62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r>
      <w:tr>
        <w:trPr>
          <w:trHeight w:val="262"/>
        </w:trPr>
        <w:tc>
          <w:tcPr>
            <w:tcW w:w="578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620" w:type="dxa"/>
            <w:vAlign w:val="bottom"/>
          </w:tcPr>
          <w:p>
            <w:pPr>
              <w:spacing w:after="0"/>
              <w:rPr>
                <w:sz w:val="22"/>
                <w:szCs w:val="22"/>
                <w:color w:val="auto"/>
              </w:rPr>
            </w:pPr>
          </w:p>
        </w:tc>
        <w:tc>
          <w:tcPr>
            <w:tcW w:w="24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2460" w:type="dxa"/>
            <w:vAlign w:val="bottom"/>
          </w:tcPr>
          <w:p>
            <w:pPr>
              <w:jc w:val="right"/>
              <w:ind w:right="100"/>
              <w:spacing w:after="0"/>
              <w:rPr>
                <w:sz w:val="20"/>
                <w:szCs w:val="20"/>
                <w:color w:val="auto"/>
              </w:rPr>
            </w:pPr>
            <w:r>
              <w:rPr>
                <w:rFonts w:ascii="Arial" w:cs="Arial" w:eastAsia="Arial" w:hAnsi="Arial"/>
                <w:sz w:val="16"/>
                <w:szCs w:val="16"/>
                <w:color w:val="auto"/>
              </w:rPr>
              <w:t>3</w:t>
            </w:r>
          </w:p>
        </w:tc>
      </w:tr>
      <w:tr>
        <w:trPr>
          <w:trHeight w:val="278"/>
        </w:trPr>
        <w:tc>
          <w:tcPr>
            <w:tcW w:w="5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w:t>
            </w:r>
          </w:p>
        </w:tc>
        <w:tc>
          <w:tcPr>
            <w:tcW w:w="620" w:type="dxa"/>
            <w:vAlign w:val="bottom"/>
            <w:shd w:val="clear" w:color="auto" w:fill="CCEEFF"/>
          </w:tcPr>
          <w:p>
            <w:pPr>
              <w:spacing w:after="0"/>
              <w:rPr>
                <w:sz w:val="24"/>
                <w:szCs w:val="24"/>
                <w:color w:val="auto"/>
              </w:rPr>
            </w:pPr>
          </w:p>
        </w:tc>
        <w:tc>
          <w:tcPr>
            <w:tcW w:w="2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r>
      <w:tr>
        <w:trPr>
          <w:trHeight w:val="262"/>
        </w:trPr>
        <w:tc>
          <w:tcPr>
            <w:tcW w:w="578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620" w:type="dxa"/>
            <w:vAlign w:val="bottom"/>
          </w:tcPr>
          <w:p>
            <w:pPr>
              <w:spacing w:after="0"/>
              <w:rPr>
                <w:sz w:val="22"/>
                <w:szCs w:val="22"/>
                <w:color w:val="auto"/>
              </w:rPr>
            </w:pPr>
          </w:p>
        </w:tc>
        <w:tc>
          <w:tcPr>
            <w:tcW w:w="24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2460" w:type="dxa"/>
            <w:vAlign w:val="bottom"/>
          </w:tcPr>
          <w:p>
            <w:pPr>
              <w:jc w:val="right"/>
              <w:ind w:right="100"/>
              <w:spacing w:after="0"/>
              <w:rPr>
                <w:sz w:val="20"/>
                <w:szCs w:val="20"/>
                <w:color w:val="auto"/>
              </w:rPr>
            </w:pPr>
            <w:r>
              <w:rPr>
                <w:rFonts w:ascii="Arial" w:cs="Arial" w:eastAsia="Arial" w:hAnsi="Arial"/>
                <w:sz w:val="16"/>
                <w:szCs w:val="16"/>
                <w:color w:val="auto"/>
              </w:rPr>
              <w:t>34</w:t>
            </w:r>
          </w:p>
        </w:tc>
      </w:tr>
      <w:tr>
        <w:trPr>
          <w:trHeight w:val="271"/>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Credit card</w:t>
            </w:r>
          </w:p>
        </w:tc>
        <w:tc>
          <w:tcPr>
            <w:tcW w:w="620" w:type="dxa"/>
            <w:vAlign w:val="bottom"/>
            <w:tcBorders>
              <w:bottom w:val="single" w:sz="8" w:color="auto"/>
            </w:tcBorders>
            <w:shd w:val="clear" w:color="auto" w:fill="CCEEFF"/>
          </w:tcPr>
          <w:p>
            <w:pPr>
              <w:spacing w:after="0"/>
              <w:rPr>
                <w:sz w:val="23"/>
                <w:szCs w:val="23"/>
                <w:color w:val="auto"/>
              </w:rPr>
            </w:pPr>
          </w:p>
        </w:tc>
        <w:tc>
          <w:tcPr>
            <w:tcW w:w="2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4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42</w:t>
            </w:r>
          </w:p>
        </w:tc>
      </w:tr>
      <w:tr>
        <w:trPr>
          <w:trHeight w:val="250"/>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recoveries</w:t>
            </w:r>
          </w:p>
        </w:tc>
        <w:tc>
          <w:tcPr>
            <w:tcW w:w="6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231</w:t>
            </w:r>
          </w:p>
        </w:tc>
      </w:tr>
      <w:tr>
        <w:trPr>
          <w:trHeight w:val="257"/>
        </w:trPr>
        <w:tc>
          <w:tcPr>
            <w:tcW w:w="57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charge-offs</w:t>
            </w:r>
          </w:p>
        </w:tc>
        <w:tc>
          <w:tcPr>
            <w:tcW w:w="620" w:type="dxa"/>
            <w:vAlign w:val="bottom"/>
            <w:shd w:val="clear" w:color="auto" w:fill="CCEEFF"/>
          </w:tcPr>
          <w:p>
            <w:pPr>
              <w:spacing w:after="0"/>
              <w:rPr>
                <w:sz w:val="22"/>
                <w:szCs w:val="22"/>
                <w:color w:val="auto"/>
              </w:rPr>
            </w:pPr>
          </w:p>
        </w:tc>
        <w:tc>
          <w:tcPr>
            <w:tcW w:w="2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(865)</w:t>
            </w:r>
          </w:p>
        </w:tc>
      </w:tr>
      <w:tr>
        <w:trPr>
          <w:trHeight w:val="264"/>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loan losses</w:t>
            </w:r>
          </w:p>
        </w:tc>
        <w:tc>
          <w:tcPr>
            <w:tcW w:w="6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1,869</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2,140</w:t>
            </w:r>
          </w:p>
        </w:tc>
      </w:tr>
      <w:tr>
        <w:trPr>
          <w:trHeight w:val="242"/>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losses at period end</w:t>
            </w:r>
          </w:p>
        </w:tc>
        <w:tc>
          <w:tcPr>
            <w:tcW w:w="62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12,808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11,308</w:t>
            </w:r>
          </w:p>
        </w:tc>
      </w:tr>
      <w:tr>
        <w:trPr>
          <w:trHeight w:val="20"/>
        </w:trPr>
        <w:tc>
          <w:tcPr>
            <w:tcW w:w="5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252"/>
        </w:trPr>
        <w:tc>
          <w:tcPr>
            <w:tcW w:w="5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tcPr>
          <w:p>
            <w:pPr>
              <w:spacing w:after="0"/>
              <w:rPr>
                <w:sz w:val="21"/>
                <w:szCs w:val="21"/>
                <w:color w:val="auto"/>
              </w:rPr>
            </w:pP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outstanding, net of unearned income (end of period)</w:t>
            </w:r>
          </w:p>
        </w:tc>
        <w:tc>
          <w:tcPr>
            <w:tcW w:w="62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1,140,310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1,000,268</w:t>
            </w:r>
          </w:p>
        </w:tc>
      </w:tr>
      <w:tr>
        <w:trPr>
          <w:trHeight w:val="20"/>
        </w:trPr>
        <w:tc>
          <w:tcPr>
            <w:tcW w:w="5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264"/>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Average loans outstanding, net of unearned income</w:t>
            </w:r>
          </w:p>
        </w:tc>
        <w:tc>
          <w:tcPr>
            <w:tcW w:w="6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1,041,364</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937,822</w:t>
            </w:r>
          </w:p>
        </w:tc>
      </w:tr>
      <w:tr>
        <w:trPr>
          <w:trHeight w:val="252"/>
        </w:trPr>
        <w:tc>
          <w:tcPr>
            <w:tcW w:w="57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r>
      <w:tr>
        <w:trPr>
          <w:trHeight w:val="296"/>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Allowance for loan losses to period end loans</w:t>
            </w: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2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charge-offs to average loans</w:t>
            </w:r>
          </w:p>
        </w:tc>
        <w:tc>
          <w:tcPr>
            <w:tcW w:w="62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0"/>
        </w:trPr>
        <w:tc>
          <w:tcPr>
            <w:tcW w:w="5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0" w:right="239" w:bottom="1440" w:gutter="0" w:footer="0" w:header="0"/>
        </w:sectPr>
      </w:pPr>
    </w:p>
    <w:bookmarkStart w:id="55" w:name="page56"/>
    <w:bookmarkEnd w:id="55"/>
    <w:p>
      <w:pPr>
        <w:jc w:val="both"/>
        <w:ind w:firstLine="324"/>
        <w:spacing w:after="0" w:line="258" w:lineRule="auto"/>
        <w:rPr>
          <w:sz w:val="20"/>
          <w:szCs w:val="20"/>
          <w:color w:val="auto"/>
        </w:rPr>
      </w:pPr>
      <w:r>
        <w:rPr>
          <w:rFonts w:ascii="Arial" w:cs="Arial" w:eastAsia="Arial" w:hAnsi="Arial"/>
          <w:sz w:val="18"/>
          <w:szCs w:val="18"/>
          <w:color w:val="auto"/>
        </w:rPr>
        <w:t>Our allowance for loan losses at September 30, 2019 and December 31, 2018 was $12.8 million, or 1.12% of loans, and $11.3 million, or 1.13% of loans, respectively. The allowance for loan losses at September 30, 2019 included specific reserves of $ 258 thousand set aside for impaired loans. Charge-offs for the nine months ended September 30, 2019 were $393 thousand and were partially offset by recoveries of $24 thousand. The allowance for loan losses at December 31, 2018 included specific reserves of $262 thousand set aside for impaired loans. Our charge-offs for the year ended December 31, 2018 were $1.1 million and were partially offset by recoveries of $231 thousand. The charge-offs for the first nine months ended September 30, 2019 and for the year ended December 31, 2018 were primarily due to credit card charge-offs.</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Although we believe that we have established our allowance for loan losses in accordance with generally accepted accounting principles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 shows the allocation of the allowance for loan losses among loan categories and certain other information as of the dates indicated. The total allowance is available to absorb losses from any loan category.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5"/>
        </w:trPr>
        <w:tc>
          <w:tcPr>
            <w:tcW w:w="59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7"/>
                <w:szCs w:val="17"/>
                <w:b w:val="1"/>
                <w:bCs w:val="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44"/>
        </w:trPr>
        <w:tc>
          <w:tcPr>
            <w:tcW w:w="59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9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4,176</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3,541</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2"/>
        </w:trPr>
        <w:tc>
          <w:tcPr>
            <w:tcW w:w="596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3,426</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3,003</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8"/>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Construction</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2,093</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2"/>
        </w:trPr>
        <w:tc>
          <w:tcPr>
            <w:tcW w:w="596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8"/>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1,084</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6"/>
                <w:szCs w:val="16"/>
                <w:color w:val="auto"/>
              </w:rPr>
              <w:t>Other consumer</w:t>
            </w: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59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allowance for loan losses</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hanging="172"/>
        <w:spacing w:after="0" w:line="210" w:lineRule="auto"/>
        <w:tabs>
          <w:tab w:leader="none" w:pos="1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Loan category as a percentage of total loans.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Deposits are the major source of funding for the Company. We offer a variety of deposit products including interest bearing demand, savings, money market and time accounts all of which we actively market at competitive pricing. We generate deposits from our customers on a relationship basis and through the efforts of our commercial lending officers and our business banking officers. Our credit card customers are also a significant source of low cost deposits. New fiduciary deposits contributed $33.6 million to our $51.1 million increase in noninterest bearing deposits. In addition, our credit card customers accounted for $77.7 million, or 26%, of our total noninterest bearing deposit balances, and increased by $11.9 million during the first nine months of 2019. We supplement our deposits with wholesale funding sources such as the Certificate of Deposit Account Registry Service (“CDARS”) and brokered deposits.</w:t>
      </w:r>
    </w:p>
    <w:p>
      <w:pPr>
        <w:spacing w:after="0" w:line="17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bearing deposits increased $106.1 million, or 15%, from December 31, 2018 to September 30, 2019 and included increases in interest bearing demand and money market accounts offset by a reduction in certificates of deposits. The Company continues to execute on its strategic initiative to improve the deposit portfolio mix from wholesale deposits to core deposits including noninterest bearing deposits. During the same period, certificates of deposit decreased $20.0 million, or 6%, with brokered deposits representing a</w:t>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majority of that decrease. Money market accounts increased $24.2 million, or 8% from December 31, 2018 to September 30, 2019.</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average rate paid on interest bearing deposits increased 40 basis points from 1.42% for the year ended December 31, 2018 to 1.82% for the nine months ended September 30, 2019. Rates paid on certificates of deposit increased 63 basis points over the same period. The increase in the average rates was primarily due to increases in market interest rates in 2018. The recent decreases in market interest rates have not yet been reflected in our overall cost of deposits.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DEPOSITS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For the Nine Months Ended September</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3"/>
        </w:trPr>
        <w:tc>
          <w:tcPr>
            <w:tcW w:w="5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30, 2019</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For the Year Ended December 31, 2018</w:t>
            </w:r>
          </w:p>
        </w:tc>
      </w:tr>
      <w:tr>
        <w:trPr>
          <w:trHeight w:val="168"/>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Average</w:t>
            </w: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220" w:type="dxa"/>
            <w:vAlign w:val="bottom"/>
          </w:tcPr>
          <w:p>
            <w:pPr>
              <w:jc w:val="right"/>
              <w:ind w:right="322"/>
              <w:spacing w:after="0"/>
              <w:rPr>
                <w:sz w:val="20"/>
                <w:szCs w:val="20"/>
                <w:color w:val="auto"/>
              </w:rPr>
            </w:pPr>
            <w:r>
              <w:rPr>
                <w:rFonts w:ascii="Arial" w:cs="Arial" w:eastAsia="Arial" w:hAnsi="Arial"/>
                <w:sz w:val="14"/>
                <w:szCs w:val="14"/>
                <w:b w:val="1"/>
                <w:bCs w:val="1"/>
                <w:color w:val="auto"/>
              </w:rPr>
              <w:t>Average</w:t>
            </w:r>
          </w:p>
        </w:tc>
        <w:tc>
          <w:tcPr>
            <w:tcW w:w="1540" w:type="dxa"/>
            <w:vAlign w:val="bottom"/>
          </w:tcPr>
          <w:p>
            <w:pPr>
              <w:jc w:val="right"/>
              <w:ind w:right="381"/>
              <w:spacing w:after="0"/>
              <w:rPr>
                <w:sz w:val="20"/>
                <w:szCs w:val="20"/>
                <w:color w:val="auto"/>
              </w:rPr>
            </w:pPr>
            <w:r>
              <w:rPr>
                <w:rFonts w:ascii="Arial" w:cs="Arial" w:eastAsia="Arial" w:hAnsi="Arial"/>
                <w:sz w:val="14"/>
                <w:szCs w:val="14"/>
                <w:b w:val="1"/>
                <w:bCs w:val="1"/>
                <w:color w:val="auto"/>
              </w:rPr>
              <w:t>Average</w:t>
            </w:r>
          </w:p>
        </w:tc>
      </w:tr>
      <w:tr>
        <w:trPr>
          <w:trHeight w:val="202"/>
        </w:trPr>
        <w:tc>
          <w:tcPr>
            <w:tcW w:w="5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rPr>
              <w:t>Balance</w:t>
            </w:r>
          </w:p>
        </w:tc>
        <w:tc>
          <w:tcPr>
            <w:tcW w:w="12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Balance</w:t>
            </w:r>
          </w:p>
        </w:tc>
        <w:tc>
          <w:tcPr>
            <w:tcW w:w="15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Rate</w:t>
            </w:r>
          </w:p>
        </w:tc>
      </w:tr>
      <w:tr>
        <w:trPr>
          <w:trHeight w:val="246"/>
        </w:trPr>
        <w:tc>
          <w:tcPr>
            <w:tcW w:w="54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82"/>
        </w:trPr>
        <w:tc>
          <w:tcPr>
            <w:tcW w:w="5460" w:type="dxa"/>
            <w:vAlign w:val="bottom"/>
          </w:tcPr>
          <w:p>
            <w:pPr>
              <w:ind w:left="40"/>
              <w:spacing w:after="0"/>
              <w:rPr>
                <w:sz w:val="20"/>
                <w:szCs w:val="20"/>
                <w:color w:val="auto"/>
              </w:rPr>
            </w:pPr>
            <w:r>
              <w:rPr>
                <w:rFonts w:ascii="Arial" w:cs="Arial" w:eastAsia="Arial" w:hAnsi="Arial"/>
                <w:sz w:val="16"/>
                <w:szCs w:val="16"/>
                <w:color w:val="auto"/>
              </w:rPr>
              <w:t>Interest bearing demand accounts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97,325</w:t>
            </w:r>
          </w:p>
        </w:tc>
        <w:tc>
          <w:tcPr>
            <w:tcW w:w="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72,523</w:t>
            </w:r>
          </w:p>
        </w:tc>
        <w:tc>
          <w:tcPr>
            <w:tcW w:w="1540" w:type="dxa"/>
            <w:vAlign w:val="bottom"/>
          </w:tcPr>
          <w:p>
            <w:pPr>
              <w:jc w:val="right"/>
              <w:spacing w:after="0"/>
              <w:rPr>
                <w:sz w:val="20"/>
                <w:szCs w:val="20"/>
                <w:color w:val="auto"/>
              </w:rPr>
            </w:pPr>
            <w:r>
              <w:rPr>
                <w:rFonts w:ascii="Arial" w:cs="Arial" w:eastAsia="Arial" w:hAnsi="Arial"/>
                <w:sz w:val="16"/>
                <w:szCs w:val="16"/>
                <w:color w:val="auto"/>
              </w:rPr>
              <w:t>0.29%</w:t>
            </w:r>
          </w:p>
        </w:tc>
      </w:tr>
      <w:tr>
        <w:trPr>
          <w:trHeight w:val="278"/>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Money market accounts</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330,086</w:t>
            </w: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286,257</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62"/>
        </w:trPr>
        <w:tc>
          <w:tcPr>
            <w:tcW w:w="5460" w:type="dxa"/>
            <w:vAlign w:val="bottom"/>
          </w:tcPr>
          <w:p>
            <w:pPr>
              <w:ind w:left="40"/>
              <w:spacing w:after="0"/>
              <w:rPr>
                <w:sz w:val="20"/>
                <w:szCs w:val="20"/>
                <w:color w:val="auto"/>
              </w:rPr>
            </w:pPr>
            <w:r>
              <w:rPr>
                <w:rFonts w:ascii="Arial" w:cs="Arial" w:eastAsia="Arial" w:hAnsi="Arial"/>
                <w:sz w:val="16"/>
                <w:szCs w:val="16"/>
                <w:color w:val="auto"/>
              </w:rPr>
              <w:t>Savings accounts</w:t>
            </w:r>
          </w:p>
        </w:tc>
        <w:tc>
          <w:tcPr>
            <w:tcW w:w="12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3,613</w:t>
            </w:r>
          </w:p>
        </w:tc>
        <w:tc>
          <w:tcPr>
            <w:tcW w:w="4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3,704</w:t>
            </w:r>
          </w:p>
        </w:tc>
        <w:tc>
          <w:tcPr>
            <w:tcW w:w="154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271"/>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294,693</w:t>
            </w:r>
          </w:p>
        </w:tc>
        <w:tc>
          <w:tcPr>
            <w:tcW w:w="4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326,827</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50"/>
        </w:trPr>
        <w:tc>
          <w:tcPr>
            <w:tcW w:w="54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interest bearing deposits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725,717</w:t>
            </w:r>
          </w:p>
        </w:tc>
        <w:tc>
          <w:tcPr>
            <w:tcW w:w="4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689,311</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1.42%</w:t>
            </w:r>
          </w:p>
        </w:tc>
      </w:tr>
      <w:tr>
        <w:trPr>
          <w:trHeight w:val="25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bearing demand accounts</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252,353</w:t>
            </w:r>
          </w:p>
        </w:tc>
        <w:tc>
          <w:tcPr>
            <w:tcW w:w="4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220,445</w:t>
            </w:r>
          </w:p>
        </w:tc>
        <w:tc>
          <w:tcPr>
            <w:tcW w:w="1540" w:type="dxa"/>
            <w:vAlign w:val="bottom"/>
            <w:shd w:val="clear" w:color="auto" w:fill="CCEEFF"/>
          </w:tcPr>
          <w:p>
            <w:pPr>
              <w:spacing w:after="0"/>
              <w:rPr>
                <w:sz w:val="21"/>
                <w:szCs w:val="21"/>
                <w:color w:val="auto"/>
              </w:rPr>
            </w:pPr>
          </w:p>
        </w:tc>
      </w:tr>
      <w:tr>
        <w:trPr>
          <w:trHeight w:val="242"/>
        </w:trPr>
        <w:tc>
          <w:tcPr>
            <w:tcW w:w="5460" w:type="dxa"/>
            <w:vAlign w:val="bottom"/>
          </w:tcPr>
          <w:p>
            <w:pPr>
              <w:ind w:left="200"/>
              <w:spacing w:after="0"/>
              <w:rPr>
                <w:sz w:val="20"/>
                <w:szCs w:val="20"/>
                <w:color w:val="auto"/>
              </w:rPr>
            </w:pPr>
            <w:r>
              <w:rPr>
                <w:rFonts w:ascii="Arial" w:cs="Arial" w:eastAsia="Arial" w:hAnsi="Arial"/>
                <w:sz w:val="16"/>
                <w:szCs w:val="16"/>
                <w:color w:val="auto"/>
              </w:rPr>
              <w:t>Total deposits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978,070</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909,756</w:t>
            </w:r>
          </w:p>
        </w:tc>
        <w:tc>
          <w:tcPr>
            <w:tcW w:w="15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maturities of our certificates of deposit as of September 30, 2019.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MATURITIES OF CERTIFICATES OF DEPOSIT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Over</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 Six</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Over</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Months or</w:t>
            </w:r>
          </w:p>
        </w:tc>
        <w:tc>
          <w:tcPr>
            <w:tcW w:w="2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Six</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Twelve</w:t>
            </w: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Twelve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4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Less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Months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Total</w:t>
            </w:r>
          </w:p>
        </w:tc>
      </w:tr>
      <w:tr>
        <w:trPr>
          <w:trHeight w:val="246"/>
        </w:trPr>
        <w:tc>
          <w:tcPr>
            <w:tcW w:w="41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$100,000 or more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75,954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26,476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58,699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119,058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280,187</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than $100,000</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15,003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6,828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5,744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7,758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35,333</w:t>
            </w:r>
          </w:p>
        </w:tc>
      </w:tr>
      <w:tr>
        <w:trPr>
          <w:trHeight w:val="242"/>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90,957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33,304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64,443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126,816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315,520</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primarily utilize short-term and long-term borrowings to supplement deposits to fund our lending and investment activities, each of which is discussed below.</w:t>
      </w:r>
    </w:p>
    <w:p>
      <w:pPr>
        <w:spacing w:after="0" w:line="14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up to 25% of our assets on a blanket floating lien status collateralized by certain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loans. As of September 30, 2019, approximately $219.0 million in real estate loans and $1.6 million in investment securities were pledged as collateral for our FHLB borrowings. We utilize these borrowings to meet liquidity needs and to fund certain fixed rate loans in our portfolio. As of September 30, 2019, we had $35.6 million in outstanding advances and $162.5 million in available borrowing capacity from the FHLB. The $ 33.6 million increase compared to $2.0 million of outstanding advances at December 31, 2018 resulted from a principal reducing advance taken out in May 2019.</w:t>
      </w: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0"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The following table sets forth certain information on our FHLB borrowings during the periods presented: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FHLB ADVANCES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2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For the Nine Months Ended September</w:t>
            </w:r>
          </w:p>
        </w:tc>
        <w:tc>
          <w:tcPr>
            <w:tcW w:w="180" w:type="dxa"/>
            <w:vAlign w:val="bottom"/>
          </w:tcPr>
          <w:p>
            <w:pPr>
              <w:spacing w:after="0"/>
              <w:rPr>
                <w:sz w:val="14"/>
                <w:szCs w:val="14"/>
                <w:color w:val="auto"/>
              </w:rPr>
            </w:pPr>
          </w:p>
        </w:tc>
        <w:tc>
          <w:tcPr>
            <w:tcW w:w="2420" w:type="dxa"/>
            <w:vAlign w:val="bottom"/>
          </w:tcPr>
          <w:p>
            <w:pPr>
              <w:jc w:val="right"/>
              <w:ind w:right="42"/>
              <w:spacing w:after="0"/>
              <w:rPr>
                <w:sz w:val="20"/>
                <w:szCs w:val="20"/>
                <w:color w:val="auto"/>
              </w:rPr>
            </w:pPr>
            <w:r>
              <w:rPr>
                <w:rFonts w:ascii="Arial" w:cs="Arial" w:eastAsia="Arial" w:hAnsi="Arial"/>
                <w:sz w:val="14"/>
                <w:szCs w:val="14"/>
                <w:b w:val="1"/>
                <w:bCs w:val="1"/>
                <w:color w:val="auto"/>
              </w:rPr>
              <w:t>For the Year Ended December 31,</w:t>
            </w:r>
          </w:p>
        </w:tc>
      </w:tr>
      <w:tr>
        <w:trPr>
          <w:trHeight w:val="202"/>
        </w:trPr>
        <w:tc>
          <w:tcPr>
            <w:tcW w:w="59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1080"/>
              <w:spacing w:after="0"/>
              <w:rPr>
                <w:sz w:val="20"/>
                <w:szCs w:val="20"/>
                <w:color w:val="auto"/>
              </w:rPr>
            </w:pPr>
            <w:r>
              <w:rPr>
                <w:rFonts w:ascii="Arial" w:cs="Arial" w:eastAsia="Arial" w:hAnsi="Arial"/>
                <w:sz w:val="14"/>
                <w:szCs w:val="14"/>
                <w:b w:val="1"/>
                <w:bCs w:val="1"/>
                <w:color w:val="auto"/>
              </w:rPr>
              <w:t>30, 2019</w:t>
            </w:r>
          </w:p>
        </w:tc>
        <w:tc>
          <w:tcPr>
            <w:tcW w:w="1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2018</w:t>
            </w:r>
          </w:p>
        </w:tc>
      </w:tr>
      <w:tr>
        <w:trPr>
          <w:trHeight w:val="246"/>
        </w:trPr>
        <w:tc>
          <w:tcPr>
            <w:tcW w:w="59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6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0"/>
        </w:trPr>
        <w:tc>
          <w:tcPr>
            <w:tcW w:w="5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 outstanding at period-end</w:t>
            </w:r>
          </w:p>
        </w:tc>
        <w:tc>
          <w:tcPr>
            <w:tcW w:w="60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22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35,556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2,000</w:t>
            </w:r>
          </w:p>
        </w:tc>
      </w:tr>
      <w:tr>
        <w:trPr>
          <w:trHeight w:val="262"/>
        </w:trPr>
        <w:tc>
          <w:tcPr>
            <w:tcW w:w="5940" w:type="dxa"/>
            <w:vAlign w:val="bottom"/>
          </w:tcPr>
          <w:p>
            <w:pPr>
              <w:ind w:left="40"/>
              <w:spacing w:after="0"/>
              <w:rPr>
                <w:sz w:val="20"/>
                <w:szCs w:val="20"/>
                <w:color w:val="auto"/>
              </w:rPr>
            </w:pPr>
            <w:r>
              <w:rPr>
                <w:rFonts w:ascii="Arial" w:cs="Arial" w:eastAsia="Arial" w:hAnsi="Arial"/>
                <w:sz w:val="16"/>
                <w:szCs w:val="16"/>
                <w:color w:val="auto"/>
              </w:rPr>
              <w:t>Weighted average interest rate at period-end</w:t>
            </w:r>
          </w:p>
        </w:tc>
        <w:tc>
          <w:tcPr>
            <w:tcW w:w="60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2.40%</w:t>
            </w:r>
          </w:p>
        </w:tc>
        <w:tc>
          <w:tcPr>
            <w:tcW w:w="180" w:type="dxa"/>
            <w:vAlign w:val="bottom"/>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78"/>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Maximum month-end balance during the period</w:t>
            </w:r>
          </w:p>
        </w:tc>
        <w:tc>
          <w:tcPr>
            <w:tcW w:w="60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22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72,778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17,000</w:t>
            </w:r>
          </w:p>
        </w:tc>
      </w:tr>
      <w:tr>
        <w:trPr>
          <w:trHeight w:val="262"/>
        </w:trPr>
        <w:tc>
          <w:tcPr>
            <w:tcW w:w="5940" w:type="dxa"/>
            <w:vAlign w:val="bottom"/>
          </w:tcPr>
          <w:p>
            <w:pPr>
              <w:ind w:left="40"/>
              <w:spacing w:after="0"/>
              <w:rPr>
                <w:sz w:val="20"/>
                <w:szCs w:val="20"/>
                <w:color w:val="auto"/>
              </w:rPr>
            </w:pPr>
            <w:r>
              <w:rPr>
                <w:rFonts w:ascii="Arial" w:cs="Arial" w:eastAsia="Arial" w:hAnsi="Arial"/>
                <w:sz w:val="16"/>
                <w:szCs w:val="16"/>
                <w:color w:val="auto"/>
              </w:rPr>
              <w:t>Average balance outstanding during the period</w:t>
            </w:r>
          </w:p>
        </w:tc>
        <w:tc>
          <w:tcPr>
            <w:tcW w:w="60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2220" w:type="dxa"/>
            <w:vAlign w:val="bottom"/>
          </w:tcPr>
          <w:p>
            <w:pPr>
              <w:jc w:val="right"/>
              <w:ind w:right="160"/>
              <w:spacing w:after="0"/>
              <w:rPr>
                <w:sz w:val="20"/>
                <w:szCs w:val="20"/>
                <w:color w:val="auto"/>
              </w:rPr>
            </w:pPr>
            <w:r>
              <w:rPr>
                <w:rFonts w:ascii="Arial" w:cs="Arial" w:eastAsia="Arial" w:hAnsi="Arial"/>
                <w:sz w:val="16"/>
                <w:szCs w:val="16"/>
                <w:color w:val="auto"/>
              </w:rPr>
              <w:t>42,690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420" w:type="dxa"/>
            <w:vAlign w:val="bottom"/>
          </w:tcPr>
          <w:p>
            <w:pPr>
              <w:jc w:val="right"/>
              <w:ind w:right="82"/>
              <w:spacing w:after="0"/>
              <w:rPr>
                <w:sz w:val="20"/>
                <w:szCs w:val="20"/>
                <w:color w:val="auto"/>
              </w:rPr>
            </w:pPr>
            <w:r>
              <w:rPr>
                <w:rFonts w:ascii="Arial" w:cs="Arial" w:eastAsia="Arial" w:hAnsi="Arial"/>
                <w:sz w:val="16"/>
                <w:szCs w:val="16"/>
                <w:color w:val="auto"/>
              </w:rPr>
              <w:t>8,101</w:t>
            </w:r>
          </w:p>
        </w:tc>
      </w:tr>
      <w:tr>
        <w:trPr>
          <w:trHeight w:val="278"/>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during the period</w:t>
            </w:r>
          </w:p>
        </w:tc>
        <w:tc>
          <w:tcPr>
            <w:tcW w:w="600" w:type="dxa"/>
            <w:vAlign w:val="bottom"/>
            <w:shd w:val="clear" w:color="auto" w:fill="CCEEFF"/>
          </w:tcPr>
          <w:p>
            <w:pPr>
              <w:spacing w:after="0"/>
              <w:rPr>
                <w:sz w:val="24"/>
                <w:szCs w:val="24"/>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80" w:type="dxa"/>
            <w:vAlign w:val="bottom"/>
            <w:shd w:val="clear" w:color="auto" w:fill="CCEEFF"/>
          </w:tcPr>
          <w:p>
            <w:pPr>
              <w:spacing w:after="0"/>
              <w:rPr>
                <w:sz w:val="24"/>
                <w:szCs w:val="24"/>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r>
    </w:tbl>
    <w:p>
      <w:pPr>
        <w:spacing w:after="0" w:line="19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i w:val="1"/>
          <w:iCs w:val="1"/>
          <w:color w:val="auto"/>
        </w:rPr>
        <w:t>Other borrowed funds</w:t>
      </w:r>
      <w:r>
        <w:rPr>
          <w:rFonts w:ascii="Arial" w:cs="Arial" w:eastAsia="Arial" w:hAnsi="Arial"/>
          <w:sz w:val="18"/>
          <w:szCs w:val="18"/>
          <w:color w:val="auto"/>
        </w:rPr>
        <w:t>. The Company has also issued a senior promissory note, junior subordinated debentures and other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notes. At September 30, 2019, these other borrowings amounted to $15.4 million.</w:t>
      </w:r>
    </w:p>
    <w:p>
      <w:pPr>
        <w:spacing w:after="0" w:line="14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At September 30, 2019,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1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On November 24, 2015, the Company issued $13.5 million in aggregate principal amount of subordinated notes with a maturity date of December 1, 2025. The notes may be redeemed prior to the maturity date under certain circumstances. The notes bear interest at 6.95% for the first five years, then adjust to the three-month LIBOR plus 5.33%.</w:t>
      </w:r>
    </w:p>
    <w:p>
      <w:pPr>
        <w:spacing w:after="0" w:line="16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i w:val="1"/>
          <w:iCs w:val="1"/>
          <w:color w:val="auto"/>
        </w:rPr>
        <w:t>Federal Reserve Bank of Richmond</w:t>
      </w:r>
      <w:r>
        <w:rPr>
          <w:rFonts w:ascii="Arial" w:cs="Arial" w:eastAsia="Arial" w:hAnsi="Arial"/>
          <w:sz w:val="18"/>
          <w:szCs w:val="18"/>
          <w:color w:val="auto"/>
        </w:rPr>
        <w:t>. The Federal Reserve Bank of Richmond has an available borrower in custody arrangement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allows us to borrow on a collateralized basis. The Company’s borrowing capacity under the Federal Reserve’s discount window program was $12.1 million as of September 30, 2019. Certain commercial loans are pledged under this arrangement. We maintain this borrowing arrangement to meet liquidity needs pursuant to our contingency funding plan. No advances were outstanding under this facility as of September 30, 2019.</w:t>
      </w:r>
    </w:p>
    <w:p>
      <w:pPr>
        <w:spacing w:after="0" w:line="17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also has available lines of credit of $28.0 million with other correspondent banks at September 30, 2019, as well as access to certificate of deposit funding through a financial network which is limited to 15% of the Bank’s assets.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Liquidity</w:t>
      </w:r>
    </w:p>
    <w:p>
      <w:pPr>
        <w:spacing w:after="0" w:line="2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confronts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 legal and reputational risks also could affect the Bank’s liquidity risk profile and are considered in the assessment of liquidity and asset/liability management.</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has established a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adequate levels of highly liquid marketable securities, free of legal, regulatory or operational impediments, that can be used to meet liquidity needs in stressful situations; contingency funding plans that address potential adverse liquidity events and emergency cash flow requirements; and internal controls and internal audit processes sufficient to determine the adequacy of the institution’s liquidity risk management process.</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16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There were no borrowings outstanding with the Federal Reserve Bank of Richmond at September 30, 2019 or December 31, 2018, and our borrowing capacity is limited only by eligible collateral. As of September 30, 2019, we had $162.5 million of available borrowing capacity from the FHLB, $12.1 million of available borrowing capacity from the Federal Reserve Bank of Richmond and available lines of credit of $28.0 million with other correspondent banks. Cash and cash equivalents were $55.1 million at September 30, 2019 and $34.7 million at December 31, 2018. Accordingly, our liquidity resources were at sufficient levels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Capital Resources</w:t>
      </w:r>
    </w:p>
    <w:p>
      <w:pPr>
        <w:spacing w:after="0" w:line="2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Stockholders’ equity increased $13.3 million at September 30, 2019 compared to December 31, 2018. Net income for the nine months ended September 30, 2019 increased retained earnings by $11.8 million . Stock options exercised, shares issued as compensation, and stock-based compensation increased common stock and additional paid-in capital aggregately by $1.3 million. These increases were supplemented by a decrease in net unrealized losses on available for sale securities of $606 thousand. As part of the Company’s stock repurchase program, shares repurchased and retired for the nine months ended September 30, 2019 totaled 21,130 shares at a weighted average price of </w:t>
      </w:r>
      <w:r>
        <w:rPr>
          <w:rFonts w:ascii="Times New Roman" w:cs="Times New Roman" w:eastAsia="Times New Roman" w:hAnsi="Times New Roman"/>
          <w:sz w:val="18"/>
          <w:szCs w:val="18"/>
          <w:color w:val="auto"/>
        </w:rPr>
        <w:t>$12.44</w:t>
      </w:r>
      <w:r>
        <w:rPr>
          <w:rFonts w:ascii="Arial" w:cs="Arial" w:eastAsia="Arial" w:hAnsi="Arial"/>
          <w:sz w:val="18"/>
          <w:szCs w:val="18"/>
          <w:color w:val="auto"/>
        </w:rPr>
        <w:t>, for a total cost of $263 thousand including commissions.</w:t>
      </w:r>
    </w:p>
    <w:p>
      <w:pPr>
        <w:spacing w:after="0" w:line="17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uses several indicators of capital strength. The most commonly used measure is average common equity to average assets (computed as average equity divided by average total assets), which was 10.40% at September 30, 2019 and 8.76% at December 31, 2018.</w:t>
      </w:r>
    </w:p>
    <w:p>
      <w:pPr>
        <w:spacing w:after="0" w:line="14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table shows the return on average assets (computed as net income divided by average total assets), return on average equity (computed as net income divided by average equity) and average equity to average assets ratios for the nine months ended September 30, 2019 and for the year ended December 31, 2018.</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80" w:type="dxa"/>
            <w:vAlign w:val="bottom"/>
          </w:tcPr>
          <w:p>
            <w:pPr>
              <w:spacing w:after="0"/>
              <w:rPr>
                <w:sz w:val="17"/>
                <w:szCs w:val="17"/>
                <w:color w:val="auto"/>
              </w:rPr>
            </w:pPr>
          </w:p>
        </w:tc>
        <w:tc>
          <w:tcPr>
            <w:tcW w:w="2540" w:type="dxa"/>
            <w:vAlign w:val="bottom"/>
            <w:gridSpan w:val="2"/>
          </w:tcPr>
          <w:p>
            <w:pPr>
              <w:ind w:left="500"/>
              <w:spacing w:after="0"/>
              <w:rPr>
                <w:sz w:val="20"/>
                <w:szCs w:val="20"/>
                <w:color w:val="auto"/>
              </w:rPr>
            </w:pPr>
            <w:r>
              <w:rPr>
                <w:rFonts w:ascii="Arial" w:cs="Arial" w:eastAsia="Arial" w:hAnsi="Arial"/>
                <w:sz w:val="14"/>
                <w:szCs w:val="14"/>
                <w:b w:val="1"/>
                <w:bCs w:val="1"/>
                <w:color w:val="auto"/>
              </w:rPr>
              <w:t>September 30, 2019</w:t>
            </w:r>
          </w:p>
        </w:tc>
        <w:tc>
          <w:tcPr>
            <w:tcW w:w="2000" w:type="dxa"/>
            <w:vAlign w:val="bottom"/>
          </w:tcPr>
          <w:p>
            <w:pPr>
              <w:jc w:val="right"/>
              <w:ind w:right="281"/>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6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Return on Average Assets</w:t>
            </w:r>
            <w:r>
              <w:rPr>
                <w:rFonts w:ascii="Arial" w:cs="Arial" w:eastAsia="Arial" w:hAnsi="Arial"/>
                <w:sz w:val="21"/>
                <w:szCs w:val="21"/>
                <w:color w:val="auto"/>
                <w:vertAlign w:val="superscript"/>
              </w:rPr>
              <w:t>(1)</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2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70"/>
        </w:trPr>
        <w:tc>
          <w:tcPr>
            <w:tcW w:w="6880" w:type="dxa"/>
            <w:vAlign w:val="bottom"/>
          </w:tcPr>
          <w:p>
            <w:pPr>
              <w:ind w:left="40"/>
              <w:spacing w:after="0"/>
              <w:rPr>
                <w:sz w:val="20"/>
                <w:szCs w:val="20"/>
                <w:color w:val="auto"/>
              </w:rPr>
            </w:pPr>
            <w:r>
              <w:rPr>
                <w:rFonts w:ascii="Arial" w:cs="Arial" w:eastAsia="Arial" w:hAnsi="Arial"/>
                <w:sz w:val="16"/>
                <w:szCs w:val="16"/>
                <w:color w:val="auto"/>
              </w:rPr>
              <w:t>Return on Average Equity</w:t>
            </w:r>
            <w:r>
              <w:rPr>
                <w:rFonts w:ascii="Arial" w:cs="Arial" w:eastAsia="Arial" w:hAnsi="Arial"/>
                <w:sz w:val="21"/>
                <w:szCs w:val="21"/>
                <w:color w:val="auto"/>
                <w:vertAlign w:val="superscript"/>
              </w:rPr>
              <w:t>(1)</w:t>
            </w:r>
          </w:p>
        </w:tc>
        <w:tc>
          <w:tcPr>
            <w:tcW w:w="2320" w:type="dxa"/>
            <w:vAlign w:val="bottom"/>
          </w:tcPr>
          <w:p>
            <w:pPr>
              <w:jc w:val="right"/>
              <w:spacing w:after="0"/>
              <w:rPr>
                <w:sz w:val="20"/>
                <w:szCs w:val="20"/>
                <w:color w:val="auto"/>
              </w:rPr>
            </w:pPr>
            <w:r>
              <w:rPr>
                <w:rFonts w:ascii="Arial" w:cs="Arial" w:eastAsia="Arial" w:hAnsi="Arial"/>
                <w:sz w:val="16"/>
                <w:szCs w:val="16"/>
                <w:color w:val="auto"/>
              </w:rPr>
              <w:t>12.93%</w:t>
            </w:r>
          </w:p>
        </w:tc>
        <w:tc>
          <w:tcPr>
            <w:tcW w:w="2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13.94%</w:t>
            </w:r>
          </w:p>
        </w:tc>
      </w:tr>
      <w:tr>
        <w:trPr>
          <w:trHeight w:val="270"/>
        </w:trPr>
        <w:tc>
          <w:tcPr>
            <w:tcW w:w="6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Equity to Average Assets</w:t>
            </w: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2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r>
      <w:tr>
        <w:trPr>
          <w:trHeight w:val="243"/>
        </w:trPr>
        <w:tc>
          <w:tcPr>
            <w:tcW w:w="6880" w:type="dxa"/>
            <w:vAlign w:val="bottom"/>
          </w:tcPr>
          <w:p>
            <w:pPr>
              <w:spacing w:after="0"/>
              <w:rPr>
                <w:sz w:val="20"/>
                <w:szCs w:val="20"/>
                <w:color w:val="auto"/>
              </w:rPr>
            </w:pPr>
            <w:r>
              <w:rPr>
                <w:rFonts w:ascii="Arial" w:cs="Arial" w:eastAsia="Arial" w:hAnsi="Arial"/>
                <w:sz w:val="18"/>
                <w:szCs w:val="18"/>
                <w:color w:val="auto"/>
              </w:rPr>
              <w:t>_______________</w:t>
            </w:r>
          </w:p>
        </w:tc>
        <w:tc>
          <w:tcPr>
            <w:tcW w:w="2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r>
    </w:tbl>
    <w:p>
      <w:pPr>
        <w:ind w:left="840" w:hanging="832"/>
        <w:spacing w:after="0"/>
        <w:tabs>
          <w:tab w:leader="none" w:pos="8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ratios are annualized for the nine months ended September 30, 2019.</w:t>
      </w:r>
    </w:p>
    <w:p>
      <w:pPr>
        <w:spacing w:after="0" w:line="26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Company and the Bank must meet specific capital guidelines that involve quantitative measures of their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the Bank to maintain minimum ratios of common equity Tier 1, Tier 1, and total capital as a percentage of assets and off-balance sheet exposures, adjusted for risk weights ranging from 0% to 1250%. The Company and the Bank are also required to maintain capital at a minimum level based on quarterly average assets, which is known as the leverage ratio.</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 billion. The Company was previously required to comply with the minimum capital requirements on a consolidated basis; however, the Company continues to meet the conditions of the revised Small BHC Policy Statement and was, therefore, exempt from the consolidated capital requirements for the periods reflected.</w:t>
      </w: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2" w:right="239" w:bottom="1440" w:gutter="0" w:footer="0" w:header="0"/>
        </w:sectPr>
      </w:pPr>
    </w:p>
    <w:bookmarkStart w:id="60" w:name="page61"/>
    <w:bookmarkEnd w:id="60"/>
    <w:p>
      <w:pPr>
        <w:jc w:val="both"/>
        <w:ind w:firstLine="324"/>
        <w:spacing w:after="0" w:line="258" w:lineRule="auto"/>
        <w:rPr>
          <w:sz w:val="20"/>
          <w:szCs w:val="20"/>
          <w:color w:val="auto"/>
        </w:rPr>
      </w:pPr>
      <w:r>
        <w:rPr>
          <w:rFonts w:ascii="Arial" w:cs="Arial" w:eastAsia="Arial" w:hAnsi="Arial"/>
          <w:sz w:val="18"/>
          <w:szCs w:val="18"/>
          <w:color w:val="auto"/>
        </w:rPr>
        <w:t>As of September 30, 2019, the Company and the Bank were in compliance with all applicable regulatory capital requirements to which they were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in order to remain in compliance with all regulatory capital standards applicable to us. See “Supervision and Regulation—Capital Adequacy Guidelines” for additional discussion regarding the regulatory capital requirements applicable to the Company and the Bank.</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regulatory capital ratios for the Company and the Bank as of the dates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tcPr>
          <w:p>
            <w:pPr>
              <w:ind w:left="260"/>
              <w:spacing w:after="0"/>
              <w:rPr>
                <w:sz w:val="20"/>
                <w:szCs w:val="20"/>
                <w:color w:val="auto"/>
              </w:rPr>
            </w:pPr>
            <w:r>
              <w:rPr>
                <w:rFonts w:ascii="Arial" w:cs="Arial" w:eastAsia="Arial" w:hAnsi="Arial"/>
                <w:sz w:val="14"/>
                <w:szCs w:val="14"/>
                <w:b w:val="1"/>
                <w:bCs w:val="1"/>
                <w:color w:val="auto"/>
              </w:rPr>
              <w:t>Minimum capital</w:t>
            </w:r>
          </w:p>
        </w:tc>
        <w:tc>
          <w:tcPr>
            <w:tcW w:w="160" w:type="dxa"/>
            <w:vAlign w:val="bottom"/>
          </w:tcPr>
          <w:p>
            <w:pPr>
              <w:spacing w:after="0"/>
              <w:rPr>
                <w:sz w:val="14"/>
                <w:szCs w:val="14"/>
                <w:color w:val="auto"/>
              </w:rPr>
            </w:pPr>
          </w:p>
        </w:tc>
        <w:tc>
          <w:tcPr>
            <w:tcW w:w="1780" w:type="dxa"/>
            <w:vAlign w:val="bottom"/>
            <w:gridSpan w:val="3"/>
          </w:tcPr>
          <w:p>
            <w:pPr>
              <w:ind w:left="440"/>
              <w:spacing w:after="0"/>
              <w:rPr>
                <w:sz w:val="20"/>
                <w:szCs w:val="20"/>
                <w:color w:val="auto"/>
              </w:rPr>
            </w:pPr>
            <w:r>
              <w:rPr>
                <w:rFonts w:ascii="Arial" w:cs="Arial" w:eastAsia="Arial" w:hAnsi="Arial"/>
                <w:sz w:val="14"/>
                <w:szCs w:val="14"/>
                <w:b w:val="1"/>
                <w:bCs w:val="1"/>
                <w:color w:val="auto"/>
              </w:rPr>
              <w:t>To be well</w:t>
            </w:r>
          </w:p>
        </w:tc>
        <w:tc>
          <w:tcPr>
            <w:tcW w:w="120" w:type="dxa"/>
            <w:vAlign w:val="bottom"/>
          </w:tcPr>
          <w:p>
            <w:pPr>
              <w:spacing w:after="0"/>
              <w:rPr>
                <w:sz w:val="14"/>
                <w:szCs w:val="14"/>
                <w:color w:val="auto"/>
              </w:rPr>
            </w:pPr>
          </w:p>
        </w:tc>
        <w:tc>
          <w:tcPr>
            <w:tcW w:w="170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w w:val="97"/>
              </w:rPr>
              <w:t>Full Phase In of Basel III</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adequacy</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4"/>
                <w:szCs w:val="14"/>
                <w:b w:val="1"/>
                <w:bCs w:val="1"/>
                <w:color w:val="auto"/>
              </w:rPr>
              <w:t>capitalized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September 30, 2019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Ratio</w:t>
            </w:r>
          </w:p>
        </w:tc>
        <w:tc>
          <w:tcPr>
            <w:tcW w:w="140" w:type="dxa"/>
            <w:vAlign w:val="bottom"/>
          </w:tcPr>
          <w:p>
            <w:pPr>
              <w:spacing w:after="0"/>
              <w:rPr>
                <w:sz w:val="22"/>
                <w:szCs w:val="22"/>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22"/>
                <w:szCs w:val="22"/>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Ratio</w:t>
            </w:r>
          </w:p>
        </w:tc>
        <w:tc>
          <w:tcPr>
            <w:tcW w:w="120" w:type="dxa"/>
            <w:vAlign w:val="bottom"/>
          </w:tcPr>
          <w:p>
            <w:pPr>
              <w:spacing w:after="0"/>
              <w:rPr>
                <w:sz w:val="22"/>
                <w:szCs w:val="22"/>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66"/>
        </w:trPr>
        <w:tc>
          <w:tcPr>
            <w:tcW w:w="3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The Company</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Tier 1 leverage ratio (to average assets)</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32"/>
              <w:spacing w:after="0"/>
              <w:rPr>
                <w:sz w:val="20"/>
                <w:szCs w:val="20"/>
                <w:color w:val="auto"/>
              </w:rPr>
            </w:pPr>
            <w:r>
              <w:rPr>
                <w:rFonts w:ascii="Arial" w:cs="Arial" w:eastAsia="Arial" w:hAnsi="Arial"/>
                <w:sz w:val="14"/>
                <w:szCs w:val="14"/>
                <w:color w:val="auto"/>
              </w:rPr>
              <w:t>129,880</w:t>
            </w:r>
          </w:p>
        </w:tc>
        <w:tc>
          <w:tcPr>
            <w:tcW w:w="640" w:type="dxa"/>
            <w:vAlign w:val="bottom"/>
          </w:tcPr>
          <w:p>
            <w:pPr>
              <w:jc w:val="right"/>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92"/>
              <w:spacing w:after="0"/>
              <w:rPr>
                <w:sz w:val="20"/>
                <w:szCs w:val="20"/>
                <w:color w:val="auto"/>
              </w:rPr>
            </w:pPr>
            <w:r>
              <w:rPr>
                <w:rFonts w:ascii="Arial" w:cs="Arial" w:eastAsia="Arial" w:hAnsi="Arial"/>
                <w:sz w:val="14"/>
                <w:szCs w:val="14"/>
                <w:color w:val="auto"/>
              </w:rPr>
              <w:t>50,109</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N/A</w:t>
            </w:r>
          </w:p>
        </w:tc>
        <w:tc>
          <w:tcPr>
            <w:tcW w:w="92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50,109</w:t>
            </w:r>
          </w:p>
        </w:tc>
        <w:tc>
          <w:tcPr>
            <w:tcW w:w="82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Tier 1 capital (to risk-weighted assets)</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129,880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90,381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90,381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59"/>
        </w:trPr>
        <w:tc>
          <w:tcPr>
            <w:tcW w:w="3660" w:type="dxa"/>
            <w:vAlign w:val="bottom"/>
          </w:tcPr>
          <w:p>
            <w:pPr>
              <w:ind w:left="180"/>
              <w:spacing w:after="0" w:line="159" w:lineRule="exact"/>
              <w:rPr>
                <w:sz w:val="20"/>
                <w:szCs w:val="20"/>
                <w:color w:val="auto"/>
              </w:rPr>
            </w:pPr>
            <w:r>
              <w:rPr>
                <w:rFonts w:ascii="Arial" w:cs="Arial" w:eastAsia="Arial" w:hAnsi="Arial"/>
                <w:sz w:val="14"/>
                <w:szCs w:val="14"/>
                <w:color w:val="auto"/>
              </w:rPr>
              <w:t>Common equity tier 1 capital ratio (to risk-weighted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34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color w:val="auto"/>
              </w:rPr>
              <w:t>127,829</w:t>
            </w:r>
          </w:p>
        </w:tc>
        <w:tc>
          <w:tcPr>
            <w:tcW w:w="640" w:type="dxa"/>
            <w:vAlign w:val="bottom"/>
          </w:tcPr>
          <w:p>
            <w:pPr>
              <w:jc w:val="right"/>
              <w:spacing w:after="0"/>
              <w:rPr>
                <w:sz w:val="20"/>
                <w:szCs w:val="20"/>
                <w:color w:val="auto"/>
              </w:rPr>
            </w:pPr>
            <w:r>
              <w:rPr>
                <w:rFonts w:ascii="Arial" w:cs="Arial" w:eastAsia="Arial" w:hAnsi="Arial"/>
                <w:sz w:val="14"/>
                <w:szCs w:val="14"/>
                <w:color w:val="auto"/>
              </w:rPr>
              <w:t>12.02%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color w:val="auto"/>
              </w:rPr>
              <w:t>74,431</w:t>
            </w:r>
          </w:p>
        </w:tc>
        <w:tc>
          <w:tcPr>
            <w:tcW w:w="58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N/A</w:t>
            </w:r>
          </w:p>
        </w:tc>
        <w:tc>
          <w:tcPr>
            <w:tcW w:w="92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74,431</w:t>
            </w:r>
          </w:p>
        </w:tc>
        <w:tc>
          <w:tcPr>
            <w:tcW w:w="820" w:type="dxa"/>
            <w:vAlign w:val="bottom"/>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capital ratio (to risk-weighted assets)</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143,180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111,647</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111,647</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The Bank</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Tier 1 leverage ratio (to average assets)</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32"/>
              <w:spacing w:after="0"/>
              <w:rPr>
                <w:sz w:val="20"/>
                <w:szCs w:val="20"/>
                <w:color w:val="auto"/>
              </w:rPr>
            </w:pPr>
            <w:r>
              <w:rPr>
                <w:rFonts w:ascii="Arial" w:cs="Arial" w:eastAsia="Arial" w:hAnsi="Arial"/>
                <w:sz w:val="14"/>
                <w:szCs w:val="14"/>
                <w:color w:val="auto"/>
              </w:rPr>
              <w:t>104,547</w:t>
            </w:r>
          </w:p>
        </w:tc>
        <w:tc>
          <w:tcPr>
            <w:tcW w:w="640" w:type="dxa"/>
            <w:vAlign w:val="bottom"/>
          </w:tcPr>
          <w:p>
            <w:pPr>
              <w:jc w:val="right"/>
              <w:spacing w:after="0"/>
              <w:rPr>
                <w:sz w:val="20"/>
                <w:szCs w:val="20"/>
                <w:color w:val="auto"/>
              </w:rPr>
            </w:pPr>
            <w:r>
              <w:rPr>
                <w:rFonts w:ascii="Arial" w:cs="Arial" w:eastAsia="Arial" w:hAnsi="Arial"/>
                <w:sz w:val="14"/>
                <w:szCs w:val="14"/>
                <w:color w:val="auto"/>
              </w:rPr>
              <w:t>8.60%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92"/>
              <w:spacing w:after="0"/>
              <w:rPr>
                <w:sz w:val="20"/>
                <w:szCs w:val="20"/>
                <w:color w:val="auto"/>
              </w:rPr>
            </w:pPr>
            <w:r>
              <w:rPr>
                <w:rFonts w:ascii="Arial" w:cs="Arial" w:eastAsia="Arial" w:hAnsi="Arial"/>
                <w:sz w:val="14"/>
                <w:szCs w:val="14"/>
                <w:color w:val="auto"/>
              </w:rPr>
              <w:t>48,641</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60,801</w:t>
            </w:r>
          </w:p>
        </w:tc>
        <w:tc>
          <w:tcPr>
            <w:tcW w:w="80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48,641</w:t>
            </w:r>
          </w:p>
        </w:tc>
        <w:tc>
          <w:tcPr>
            <w:tcW w:w="82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Tier 1 capital (to risk-weighted assets)</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104,547</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87,173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82,045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87,173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59"/>
        </w:trPr>
        <w:tc>
          <w:tcPr>
            <w:tcW w:w="3660" w:type="dxa"/>
            <w:vAlign w:val="bottom"/>
          </w:tcPr>
          <w:p>
            <w:pPr>
              <w:ind w:left="180"/>
              <w:spacing w:after="0" w:line="159" w:lineRule="exact"/>
              <w:rPr>
                <w:sz w:val="20"/>
                <w:szCs w:val="20"/>
                <w:color w:val="auto"/>
              </w:rPr>
            </w:pPr>
            <w:r>
              <w:rPr>
                <w:rFonts w:ascii="Arial" w:cs="Arial" w:eastAsia="Arial" w:hAnsi="Arial"/>
                <w:sz w:val="14"/>
                <w:szCs w:val="14"/>
                <w:color w:val="auto"/>
              </w:rPr>
              <w:t>Common equity tier 1 capital ratio (to risk-weighted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34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color w:val="auto"/>
              </w:rPr>
              <w:t>104,547</w:t>
            </w:r>
          </w:p>
        </w:tc>
        <w:tc>
          <w:tcPr>
            <w:tcW w:w="640" w:type="dxa"/>
            <w:vAlign w:val="bottom"/>
          </w:tcPr>
          <w:p>
            <w:pPr>
              <w:jc w:val="right"/>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color w:val="auto"/>
              </w:rPr>
              <w:t>71,789</w:t>
            </w:r>
          </w:p>
        </w:tc>
        <w:tc>
          <w:tcPr>
            <w:tcW w:w="58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66,661</w:t>
            </w:r>
          </w:p>
        </w:tc>
        <w:tc>
          <w:tcPr>
            <w:tcW w:w="800" w:type="dxa"/>
            <w:vAlign w:val="bottom"/>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71,789</w:t>
            </w:r>
          </w:p>
        </w:tc>
        <w:tc>
          <w:tcPr>
            <w:tcW w:w="820" w:type="dxa"/>
            <w:vAlign w:val="bottom"/>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capital ratio (to risk-weighted assets)</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117,375</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107,684</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102,556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107,684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The Company</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Tier 1 leverage ratio (to average assets)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117,220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43,575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43,575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Tier 1 capital (to risk-weighted assets)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color w:val="auto"/>
              </w:rPr>
              <w:t>117,220</w:t>
            </w:r>
          </w:p>
        </w:tc>
        <w:tc>
          <w:tcPr>
            <w:tcW w:w="640" w:type="dxa"/>
            <w:vAlign w:val="bottom"/>
          </w:tcPr>
          <w:p>
            <w:pPr>
              <w:jc w:val="right"/>
              <w:spacing w:after="0"/>
              <w:rPr>
                <w:sz w:val="20"/>
                <w:szCs w:val="20"/>
                <w:color w:val="auto"/>
              </w:rPr>
            </w:pPr>
            <w:r>
              <w:rPr>
                <w:rFonts w:ascii="Arial" w:cs="Arial" w:eastAsia="Arial" w:hAnsi="Arial"/>
                <w:sz w:val="14"/>
                <w:szCs w:val="14"/>
                <w:color w:val="auto"/>
              </w:rPr>
              <w:t>12.95%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color w:val="auto"/>
              </w:rPr>
              <w:t>71,259</w:t>
            </w:r>
          </w:p>
        </w:tc>
        <w:tc>
          <w:tcPr>
            <w:tcW w:w="580" w:type="dxa"/>
            <w:vAlign w:val="bottom"/>
          </w:tcPr>
          <w:p>
            <w:pPr>
              <w:jc w:val="right"/>
              <w:spacing w:after="0"/>
              <w:rPr>
                <w:sz w:val="20"/>
                <w:szCs w:val="20"/>
                <w:color w:val="auto"/>
              </w:rPr>
            </w:pPr>
            <w:r>
              <w:rPr>
                <w:rFonts w:ascii="Arial" w:cs="Arial" w:eastAsia="Arial" w:hAnsi="Arial"/>
                <w:sz w:val="14"/>
                <w:szCs w:val="14"/>
                <w:color w:val="auto"/>
              </w:rPr>
              <w:t>7.875%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N/A</w:t>
            </w:r>
          </w:p>
        </w:tc>
        <w:tc>
          <w:tcPr>
            <w:tcW w:w="92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2"/>
                <w:szCs w:val="22"/>
                <w:color w:val="auto"/>
              </w:rPr>
            </w:pP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76,914</w:t>
            </w:r>
          </w:p>
        </w:tc>
        <w:tc>
          <w:tcPr>
            <w:tcW w:w="820" w:type="dxa"/>
            <w:vAlign w:val="bottom"/>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65"/>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equity tier 1 capital ratio (to risk-weighted</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115,158</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57,686</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63,341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Total capital ratio (to risk-weighted assets)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color w:val="auto"/>
              </w:rPr>
              <w:t>128,544</w:t>
            </w:r>
          </w:p>
        </w:tc>
        <w:tc>
          <w:tcPr>
            <w:tcW w:w="640" w:type="dxa"/>
            <w:vAlign w:val="bottom"/>
          </w:tcPr>
          <w:p>
            <w:pPr>
              <w:jc w:val="right"/>
              <w:spacing w:after="0"/>
              <w:rPr>
                <w:sz w:val="20"/>
                <w:szCs w:val="20"/>
                <w:color w:val="auto"/>
              </w:rPr>
            </w:pPr>
            <w:r>
              <w:rPr>
                <w:rFonts w:ascii="Arial" w:cs="Arial" w:eastAsia="Arial" w:hAnsi="Arial"/>
                <w:sz w:val="14"/>
                <w:szCs w:val="14"/>
                <w:color w:val="auto"/>
              </w:rPr>
              <w:t>12.96%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color w:val="auto"/>
              </w:rPr>
              <w:t>89,356</w:t>
            </w:r>
          </w:p>
        </w:tc>
        <w:tc>
          <w:tcPr>
            <w:tcW w:w="580" w:type="dxa"/>
            <w:vAlign w:val="bottom"/>
          </w:tcPr>
          <w:p>
            <w:pPr>
              <w:jc w:val="right"/>
              <w:spacing w:after="0"/>
              <w:rPr>
                <w:sz w:val="20"/>
                <w:szCs w:val="20"/>
                <w:color w:val="auto"/>
              </w:rPr>
            </w:pPr>
            <w:r>
              <w:rPr>
                <w:rFonts w:ascii="Arial" w:cs="Arial" w:eastAsia="Arial" w:hAnsi="Arial"/>
                <w:sz w:val="14"/>
                <w:szCs w:val="14"/>
                <w:color w:val="auto"/>
              </w:rPr>
              <w:t>9.875%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N/A</w:t>
            </w:r>
          </w:p>
        </w:tc>
        <w:tc>
          <w:tcPr>
            <w:tcW w:w="92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2"/>
                <w:szCs w:val="22"/>
                <w:color w:val="auto"/>
              </w:rPr>
            </w:pP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95,012</w:t>
            </w:r>
          </w:p>
        </w:tc>
        <w:tc>
          <w:tcPr>
            <w:tcW w:w="820" w:type="dxa"/>
            <w:vAlign w:val="bottom"/>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The Bank</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Tier 1 leverage ratio (to average assets)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96,122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42,445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53,056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42,445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Tier 1 capital (to risk-weighted assets)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color w:val="auto"/>
              </w:rPr>
              <w:t>96,122</w:t>
            </w:r>
          </w:p>
        </w:tc>
        <w:tc>
          <w:tcPr>
            <w:tcW w:w="640" w:type="dxa"/>
            <w:vAlign w:val="bottom"/>
          </w:tcPr>
          <w:p>
            <w:pPr>
              <w:jc w:val="right"/>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color w:val="auto"/>
              </w:rPr>
              <w:t>68,822</w:t>
            </w:r>
          </w:p>
        </w:tc>
        <w:tc>
          <w:tcPr>
            <w:tcW w:w="580" w:type="dxa"/>
            <w:vAlign w:val="bottom"/>
          </w:tcPr>
          <w:p>
            <w:pPr>
              <w:jc w:val="right"/>
              <w:spacing w:after="0"/>
              <w:rPr>
                <w:sz w:val="20"/>
                <w:szCs w:val="20"/>
                <w:color w:val="auto"/>
              </w:rPr>
            </w:pPr>
            <w:r>
              <w:rPr>
                <w:rFonts w:ascii="Arial" w:cs="Arial" w:eastAsia="Arial" w:hAnsi="Arial"/>
                <w:sz w:val="14"/>
                <w:szCs w:val="14"/>
                <w:color w:val="auto"/>
              </w:rPr>
              <w:t>7.875%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69,914</w:t>
            </w:r>
          </w:p>
        </w:tc>
        <w:tc>
          <w:tcPr>
            <w:tcW w:w="800" w:type="dxa"/>
            <w:vAlign w:val="bottom"/>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74,284</w:t>
            </w:r>
          </w:p>
        </w:tc>
        <w:tc>
          <w:tcPr>
            <w:tcW w:w="820" w:type="dxa"/>
            <w:vAlign w:val="bottom"/>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65"/>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equity tier 1 capital ratio (to risk-weighted</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96,122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55,713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56,805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61,175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58"/>
        </w:trPr>
        <w:tc>
          <w:tcPr>
            <w:tcW w:w="3660" w:type="dxa"/>
            <w:vAlign w:val="bottom"/>
          </w:tcPr>
          <w:p>
            <w:pPr>
              <w:ind w:left="180"/>
              <w:spacing w:after="0"/>
              <w:rPr>
                <w:sz w:val="20"/>
                <w:szCs w:val="20"/>
                <w:color w:val="auto"/>
              </w:rPr>
            </w:pPr>
            <w:r>
              <w:rPr>
                <w:rFonts w:ascii="Arial" w:cs="Arial" w:eastAsia="Arial" w:hAnsi="Arial"/>
                <w:sz w:val="14"/>
                <w:szCs w:val="14"/>
                <w:color w:val="auto"/>
              </w:rPr>
              <w:t>Total capital ratio (to risk-weighted assets)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color w:val="auto"/>
              </w:rPr>
              <w:t>107,061</w:t>
            </w:r>
          </w:p>
        </w:tc>
        <w:tc>
          <w:tcPr>
            <w:tcW w:w="640" w:type="dxa"/>
            <w:vAlign w:val="bottom"/>
          </w:tcPr>
          <w:p>
            <w:pPr>
              <w:jc w:val="right"/>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color w:val="auto"/>
              </w:rPr>
              <w:t>86,301</w:t>
            </w:r>
          </w:p>
        </w:tc>
        <w:tc>
          <w:tcPr>
            <w:tcW w:w="580" w:type="dxa"/>
            <w:vAlign w:val="bottom"/>
          </w:tcPr>
          <w:p>
            <w:pPr>
              <w:jc w:val="right"/>
              <w:spacing w:after="0"/>
              <w:rPr>
                <w:sz w:val="20"/>
                <w:szCs w:val="20"/>
                <w:color w:val="auto"/>
              </w:rPr>
            </w:pPr>
            <w:r>
              <w:rPr>
                <w:rFonts w:ascii="Arial" w:cs="Arial" w:eastAsia="Arial" w:hAnsi="Arial"/>
                <w:sz w:val="14"/>
                <w:szCs w:val="14"/>
                <w:color w:val="auto"/>
              </w:rPr>
              <w:t>9.875%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87,393</w:t>
            </w:r>
          </w:p>
        </w:tc>
        <w:tc>
          <w:tcPr>
            <w:tcW w:w="80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91,763</w:t>
            </w:r>
          </w:p>
        </w:tc>
        <w:tc>
          <w:tcPr>
            <w:tcW w:w="820" w:type="dxa"/>
            <w:vAlign w:val="bottom"/>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have contractual obligations to make future payments on debt agreements. While our liquidity monitoring and management consider both present and future demands for and sources of liquidity, the following table of contractual commitments focuses only on future obligations and summarizes our contractual obligations as of September 30, 2019.</w:t>
      </w: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As of September 30, 2019</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68"/>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Due After One</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Due in One Year or</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Through Three</w:t>
            </w:r>
          </w:p>
        </w:tc>
        <w:tc>
          <w:tcPr>
            <w:tcW w:w="12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Due After Three</w:t>
            </w:r>
          </w:p>
        </w:tc>
        <w:tc>
          <w:tcPr>
            <w:tcW w:w="16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Due After 5</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41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Less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Through Five Years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43"/>
        </w:trPr>
        <w:tc>
          <w:tcPr>
            <w:tcW w:w="4120" w:type="dxa"/>
            <w:vAlign w:val="bottom"/>
          </w:tcPr>
          <w:p>
            <w:pPr>
              <w:ind w:left="40"/>
              <w:spacing w:after="0"/>
              <w:rPr>
                <w:sz w:val="20"/>
                <w:szCs w:val="20"/>
                <w:color w:val="auto"/>
              </w:rPr>
            </w:pPr>
            <w:r>
              <w:rPr>
                <w:rFonts w:ascii="Arial" w:cs="Arial" w:eastAsia="Arial" w:hAnsi="Arial"/>
                <w:sz w:val="16"/>
                <w:szCs w:val="16"/>
                <w:color w:val="auto"/>
              </w:rPr>
              <w:t>FHLB advances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35,556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35,556</w:t>
            </w:r>
          </w:p>
        </w:tc>
      </w:tr>
      <w:tr>
        <w:trPr>
          <w:trHeight w:val="278"/>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 $100,000 or more</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161,129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118,433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280,187</w:t>
            </w:r>
          </w:p>
        </w:tc>
      </w:tr>
      <w:tr>
        <w:trPr>
          <w:trHeight w:val="262"/>
        </w:trPr>
        <w:tc>
          <w:tcPr>
            <w:tcW w:w="4120" w:type="dxa"/>
            <w:vAlign w:val="bottom"/>
          </w:tcPr>
          <w:p>
            <w:pPr>
              <w:ind w:left="40"/>
              <w:spacing w:after="0"/>
              <w:rPr>
                <w:sz w:val="20"/>
                <w:szCs w:val="20"/>
                <w:color w:val="auto"/>
              </w:rPr>
            </w:pPr>
            <w:r>
              <w:rPr>
                <w:rFonts w:ascii="Arial" w:cs="Arial" w:eastAsia="Arial" w:hAnsi="Arial"/>
                <w:sz w:val="16"/>
                <w:szCs w:val="16"/>
                <w:color w:val="auto"/>
              </w:rPr>
              <w:t>Certificates of deposit less than $100,000</w:t>
            </w:r>
          </w:p>
        </w:tc>
        <w:tc>
          <w:tcPr>
            <w:tcW w:w="340" w:type="dxa"/>
            <w:vAlign w:val="bottom"/>
          </w:tcPr>
          <w:p>
            <w:pPr>
              <w:spacing w:after="0"/>
              <w:rPr>
                <w:sz w:val="22"/>
                <w:szCs w:val="22"/>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27,575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7,570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35,333</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Subordinated debt</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15,416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15,416</w:t>
            </w:r>
          </w:p>
        </w:tc>
      </w:tr>
      <w:tr>
        <w:trPr>
          <w:trHeight w:val="242"/>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188,704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161,559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15,456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366,492</w:t>
            </w: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the actual future cash funding requirements.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EXTENSION COMMITMENTS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 September 30, 2019</w:t>
            </w:r>
          </w:p>
        </w:tc>
        <w:tc>
          <w:tcPr>
            <w:tcW w:w="3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As of December 31, 2018</w:t>
            </w:r>
          </w:p>
        </w:tc>
      </w:tr>
      <w:tr>
        <w:trPr>
          <w:trHeight w:val="246"/>
        </w:trPr>
        <w:tc>
          <w:tcPr>
            <w:tcW w:w="58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82"/>
        </w:trPr>
        <w:tc>
          <w:tcPr>
            <w:tcW w:w="5820" w:type="dxa"/>
            <w:vAlign w:val="bottom"/>
          </w:tcPr>
          <w:p>
            <w:pPr>
              <w:ind w:left="40"/>
              <w:spacing w:after="0"/>
              <w:rPr>
                <w:sz w:val="20"/>
                <w:szCs w:val="20"/>
                <w:color w:val="auto"/>
              </w:rPr>
            </w:pPr>
            <w:r>
              <w:rPr>
                <w:rFonts w:ascii="Arial" w:cs="Arial" w:eastAsia="Arial" w:hAnsi="Arial"/>
                <w:sz w:val="16"/>
                <w:szCs w:val="16"/>
                <w:color w:val="auto"/>
              </w:rPr>
              <w:t>Unfunded lines of credit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40" w:type="dxa"/>
            <w:vAlign w:val="bottom"/>
          </w:tcPr>
          <w:p>
            <w:pPr>
              <w:jc w:val="right"/>
              <w:ind w:right="21"/>
              <w:spacing w:after="0"/>
              <w:rPr>
                <w:sz w:val="20"/>
                <w:szCs w:val="20"/>
                <w:color w:val="auto"/>
              </w:rPr>
            </w:pPr>
            <w:r>
              <w:rPr>
                <w:rFonts w:ascii="Arial" w:cs="Arial" w:eastAsia="Arial" w:hAnsi="Arial"/>
                <w:sz w:val="16"/>
                <w:szCs w:val="16"/>
                <w:color w:val="auto"/>
              </w:rPr>
              <w:t>250,061</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2380" w:type="dxa"/>
            <w:vAlign w:val="bottom"/>
          </w:tcPr>
          <w:p>
            <w:pPr>
              <w:jc w:val="right"/>
              <w:ind w:right="21"/>
              <w:spacing w:after="0"/>
              <w:rPr>
                <w:sz w:val="20"/>
                <w:szCs w:val="20"/>
                <w:color w:val="auto"/>
              </w:rPr>
            </w:pPr>
            <w:r>
              <w:rPr>
                <w:rFonts w:ascii="Arial" w:cs="Arial" w:eastAsia="Arial" w:hAnsi="Arial"/>
                <w:sz w:val="16"/>
                <w:szCs w:val="16"/>
                <w:color w:val="auto"/>
              </w:rPr>
              <w:t>209,209</w:t>
            </w:r>
          </w:p>
        </w:tc>
      </w:tr>
      <w:tr>
        <w:trPr>
          <w:trHeight w:val="278"/>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to originate residential loans held for sale</w:t>
            </w:r>
          </w:p>
        </w:tc>
        <w:tc>
          <w:tcPr>
            <w:tcW w:w="320" w:type="dxa"/>
            <w:vAlign w:val="bottom"/>
            <w:shd w:val="clear" w:color="auto" w:fill="CCEEFF"/>
          </w:tcPr>
          <w:p>
            <w:pPr>
              <w:spacing w:after="0"/>
              <w:rPr>
                <w:sz w:val="24"/>
                <w:szCs w:val="24"/>
                <w:color w:val="auto"/>
              </w:rPr>
            </w:pPr>
          </w:p>
        </w:tc>
        <w:tc>
          <w:tcPr>
            <w:tcW w:w="2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2,306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3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647</w:t>
            </w: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Letters of credit</w:t>
            </w:r>
          </w:p>
        </w:tc>
        <w:tc>
          <w:tcPr>
            <w:tcW w:w="3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5,502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6,216</w:t>
            </w:r>
          </w:p>
        </w:tc>
      </w:tr>
      <w:tr>
        <w:trPr>
          <w:trHeight w:val="242"/>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credit extension commitments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257,869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216,072</w:t>
            </w: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Unfunded lines of credit represent unused credit facilities to our current borrowers. Letters of credit are conditional commitments issued by us to guarantee the performance of a customer to a third party. Lines of credit generally have variable interest rates.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client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and our credit risk associated with issuing letters of credit is believed to be substantially the same as the risk involved in extending loan facilities to our customers.</w:t>
      </w: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58" w:right="239" w:bottom="1440" w:gutter="0" w:footer="0" w:header="0"/>
        </w:sectPr>
      </w:pPr>
    </w:p>
    <w:bookmarkStart w:id="62" w:name="page63"/>
    <w:bookmarkEnd w:id="62"/>
    <w:p>
      <w:pPr>
        <w:jc w:val="both"/>
        <w:ind w:firstLine="324"/>
        <w:spacing w:after="0" w:line="264" w:lineRule="auto"/>
        <w:rPr>
          <w:sz w:val="20"/>
          <w:szCs w:val="20"/>
          <w:color w:val="auto"/>
        </w:rPr>
      </w:pPr>
      <w:r>
        <w:rPr>
          <w:rFonts w:ascii="Arial" w:cs="Arial" w:eastAsia="Arial" w:hAnsi="Arial"/>
          <w:sz w:val="18"/>
          <w:szCs w:val="18"/>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there is no guarantee that the lines of credit will be used.</w:t>
      </w:r>
    </w:p>
    <w:p>
      <w:pPr>
        <w:spacing w:after="0" w:line="17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Commitments to extend credit are agreements to lend funds to a customer,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(interest rate lock commitments) and forward commitments for the future delivery of mortgage loans to third party investors are considered derivatives.</w:t>
      </w: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8"/>
          <w:szCs w:val="18"/>
          <w:b w:val="1"/>
          <w:bCs w:val="1"/>
          <w:color w:val="auto"/>
        </w:rPr>
        <w:t>.</w:t>
      </w:r>
      <w:r>
        <w:rPr>
          <w:rFonts w:ascii="Arial" w:cs="Arial" w:eastAsia="Arial" w:hAnsi="Arial"/>
          <w:sz w:val="18"/>
          <w:szCs w:val="18"/>
          <w:color w:val="auto"/>
        </w:rPr>
        <w:t xml:space="preserve"> We manage our sensitivity position within our established guidelines.</w:t>
      </w:r>
    </w:p>
    <w:p>
      <w:pPr>
        <w:spacing w:after="0" w:line="15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manage our exposure to interest rates by structuring our balance sheet in the ordinary course of business. We do not enter into instruments such as leveraged derivatives, financial options or financial futures contracts for the purpose of reducing interest rate risk. We do hedge the interest rate risks of our available for sale mortgage pipeline by using mortgage-backed securities short positions, and of our subordinated debentures by utilizing an interest rate swap. Based on the nature of our operations, we are not subject to foreign exchange or commodity price risk. We do not own any trading assets.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on the current outlook on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5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After One Month</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Greater Than One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Through Three</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After Three Through</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Year or Non-</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2360" w:type="dxa"/>
            <w:vAlign w:val="bottom"/>
          </w:tcPr>
          <w:p>
            <w:pPr>
              <w:ind w:left="40"/>
              <w:spacing w:after="0"/>
              <w:rPr>
                <w:sz w:val="20"/>
                <w:szCs w:val="20"/>
                <w:color w:val="auto"/>
              </w:rPr>
            </w:pPr>
            <w:r>
              <w:rPr>
                <w:rFonts w:ascii="Arial" w:cs="Arial" w:eastAsia="Arial" w:hAnsi="Arial"/>
                <w:sz w:val="14"/>
                <w:szCs w:val="14"/>
                <w:b w:val="1"/>
                <w:bCs w:val="1"/>
                <w:color w:val="auto"/>
              </w:rPr>
              <w:t>September 30, 2019</w:t>
            </w: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Within One Month</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Twelve Months</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Within One Year</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Sensitive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246"/>
        </w:trPr>
        <w:tc>
          <w:tcPr>
            <w:tcW w:w="23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0"/>
        </w:trPr>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6"/>
        </w:trPr>
        <w:tc>
          <w:tcPr>
            <w:tcW w:w="2360" w:type="dxa"/>
            <w:vAlign w:val="bottom"/>
          </w:tcPr>
          <w:p>
            <w:pPr>
              <w:ind w:left="40"/>
              <w:spacing w:after="0"/>
              <w:rPr>
                <w:sz w:val="20"/>
                <w:szCs w:val="20"/>
                <w:color w:val="auto"/>
              </w:rPr>
            </w:pPr>
            <w:r>
              <w:rPr>
                <w:rFonts w:ascii="Arial" w:cs="Arial" w:eastAsia="Arial" w:hAnsi="Arial"/>
                <w:sz w:val="14"/>
                <w:szCs w:val="14"/>
                <w:color w:val="auto"/>
              </w:rPr>
              <w:t>Interest earning assets</w:t>
            </w: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4"/>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Loans </w:t>
            </w:r>
            <w:r>
              <w:rPr>
                <w:rFonts w:ascii="Arial" w:cs="Arial" w:eastAsia="Arial" w:hAnsi="Arial"/>
                <w:sz w:val="17"/>
                <w:szCs w:val="17"/>
                <w:color w:val="auto"/>
                <w:vertAlign w:val="superscript"/>
              </w:rPr>
              <w:t>(1)</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631,627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61,626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173,346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866,599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342,693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1,209,292</w:t>
            </w:r>
          </w:p>
        </w:tc>
      </w:tr>
      <w:tr>
        <w:trPr>
          <w:trHeight w:val="266"/>
        </w:trPr>
        <w:tc>
          <w:tcPr>
            <w:tcW w:w="2360" w:type="dxa"/>
            <w:vAlign w:val="bottom"/>
          </w:tcPr>
          <w:p>
            <w:pPr>
              <w:ind w:left="180"/>
              <w:spacing w:after="0"/>
              <w:rPr>
                <w:sz w:val="20"/>
                <w:szCs w:val="20"/>
                <w:color w:val="auto"/>
              </w:rPr>
            </w:pPr>
            <w:r>
              <w:rPr>
                <w:rFonts w:ascii="Arial" w:cs="Arial" w:eastAsia="Arial" w:hAnsi="Arial"/>
                <w:sz w:val="14"/>
                <w:szCs w:val="14"/>
                <w:color w:val="auto"/>
              </w:rPr>
              <w:t>Securities</w:t>
            </w:r>
          </w:p>
        </w:tc>
        <w:tc>
          <w:tcPr>
            <w:tcW w:w="40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2,897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3,268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7,165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29,908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37,073</w:t>
            </w:r>
          </w:p>
        </w:tc>
      </w:tr>
      <w:tr>
        <w:trPr>
          <w:trHeight w:val="180"/>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 at other</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2"/>
        </w:trPr>
        <w:tc>
          <w:tcPr>
            <w:tcW w:w="2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financial institutions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40,521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40,521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40,521</w:t>
            </w:r>
          </w:p>
        </w:tc>
      </w:tr>
      <w:tr>
        <w:trPr>
          <w:trHeight w:val="266"/>
        </w:trPr>
        <w:tc>
          <w:tcPr>
            <w:tcW w:w="236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40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3,464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3,464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3,464</w:t>
            </w:r>
          </w:p>
        </w:tc>
      </w:tr>
      <w:tr>
        <w:trPr>
          <w:trHeight w:val="241"/>
        </w:trPr>
        <w:tc>
          <w:tcPr>
            <w:tcW w:w="23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earning assets</w:t>
            </w: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678,509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64,894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174,346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917,749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372,601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1,290,350</w:t>
            </w:r>
          </w:p>
        </w:tc>
      </w:tr>
      <w:tr>
        <w:trPr>
          <w:trHeight w:val="20"/>
        </w:trPr>
        <w:tc>
          <w:tcPr>
            <w:tcW w:w="2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2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6"/>
        </w:trPr>
        <w:tc>
          <w:tcPr>
            <w:tcW w:w="2360" w:type="dxa"/>
            <w:vAlign w:val="bottom"/>
          </w:tcPr>
          <w:p>
            <w:pPr>
              <w:ind w:left="40"/>
              <w:spacing w:after="0"/>
              <w:rPr>
                <w:sz w:val="20"/>
                <w:szCs w:val="20"/>
                <w:color w:val="auto"/>
              </w:rPr>
            </w:pPr>
            <w:r>
              <w:rPr>
                <w:rFonts w:ascii="Arial" w:cs="Arial" w:eastAsia="Arial" w:hAnsi="Arial"/>
                <w:sz w:val="14"/>
                <w:szCs w:val="14"/>
                <w:color w:val="auto"/>
              </w:rPr>
              <w:t>Interest bearing liabilities</w:t>
            </w: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4"/>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503,546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503,546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503,546</w:t>
            </w:r>
          </w:p>
        </w:tc>
      </w:tr>
      <w:tr>
        <w:trPr>
          <w:trHeight w:val="266"/>
        </w:trPr>
        <w:tc>
          <w:tcPr>
            <w:tcW w:w="2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Time deposits</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26,720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27,494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133,938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188,152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127,368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315,520</w:t>
            </w:r>
          </w:p>
        </w:tc>
      </w:tr>
      <w:tr>
        <w:trPr>
          <w:trHeight w:val="160"/>
        </w:trPr>
        <w:tc>
          <w:tcPr>
            <w:tcW w:w="2360" w:type="dxa"/>
            <w:vAlign w:val="bottom"/>
            <w:shd w:val="clear" w:color="auto" w:fill="CCEEFF"/>
          </w:tcPr>
          <w:p>
            <w:pPr>
              <w:ind w:left="500"/>
              <w:spacing w:after="0" w:line="160" w:lineRule="exact"/>
              <w:rPr>
                <w:sz w:val="20"/>
                <w:szCs w:val="20"/>
                <w:color w:val="auto"/>
              </w:rPr>
            </w:pPr>
            <w:r>
              <w:rPr>
                <w:rFonts w:ascii="Arial" w:cs="Arial" w:eastAsia="Arial" w:hAnsi="Arial"/>
                <w:sz w:val="14"/>
                <w:szCs w:val="14"/>
                <w:color w:val="auto"/>
              </w:rPr>
              <w:t>Total interest bearing</w:t>
            </w: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02"/>
        </w:trPr>
        <w:tc>
          <w:tcPr>
            <w:tcW w:w="23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deposits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530,266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27,494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133,938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691,698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127,368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819,066</w:t>
            </w:r>
          </w:p>
        </w:tc>
      </w:tr>
      <w:tr>
        <w:trPr>
          <w:trHeight w:val="266"/>
        </w:trPr>
        <w:tc>
          <w:tcPr>
            <w:tcW w:w="2360" w:type="dxa"/>
            <w:vAlign w:val="bottom"/>
          </w:tcPr>
          <w:p>
            <w:pPr>
              <w:ind w:left="180"/>
              <w:spacing w:after="0"/>
              <w:rPr>
                <w:sz w:val="20"/>
                <w:szCs w:val="20"/>
                <w:color w:val="auto"/>
              </w:rPr>
            </w:pPr>
            <w:r>
              <w:rPr>
                <w:rFonts w:ascii="Arial" w:cs="Arial" w:eastAsia="Arial" w:hAnsi="Arial"/>
                <w:sz w:val="14"/>
                <w:szCs w:val="14"/>
                <w:color w:val="auto"/>
              </w:rPr>
              <w:t>FHLB Advances</w:t>
            </w:r>
          </w:p>
        </w:tc>
        <w:tc>
          <w:tcPr>
            <w:tcW w:w="40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35,556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35,556</w:t>
            </w:r>
          </w:p>
        </w:tc>
      </w:tr>
      <w:tr>
        <w:trPr>
          <w:trHeight w:val="270"/>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borrowed funds</w:t>
            </w:r>
          </w:p>
        </w:tc>
        <w:tc>
          <w:tcPr>
            <w:tcW w:w="4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15,416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15,416</w:t>
            </w:r>
          </w:p>
        </w:tc>
      </w:tr>
      <w:tr>
        <w:trPr>
          <w:trHeight w:val="281"/>
        </w:trPr>
        <w:tc>
          <w:tcPr>
            <w:tcW w:w="23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interest bearing liabilities</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530,266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27,494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133,938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691,698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178,340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870,038</w:t>
            </w:r>
          </w:p>
        </w:tc>
      </w:tr>
      <w:tr>
        <w:trPr>
          <w:trHeight w:val="251"/>
        </w:trPr>
        <w:tc>
          <w:tcPr>
            <w:tcW w:w="2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66"/>
        </w:trPr>
        <w:tc>
          <w:tcPr>
            <w:tcW w:w="2360" w:type="dxa"/>
            <w:vAlign w:val="bottom"/>
          </w:tcPr>
          <w:p>
            <w:pPr>
              <w:ind w:left="40"/>
              <w:spacing w:after="0"/>
              <w:rPr>
                <w:sz w:val="20"/>
                <w:szCs w:val="20"/>
                <w:color w:val="auto"/>
              </w:rPr>
            </w:pPr>
            <w:r>
              <w:rPr>
                <w:rFonts w:ascii="Arial" w:cs="Arial" w:eastAsia="Arial" w:hAnsi="Arial"/>
                <w:sz w:val="14"/>
                <w:szCs w:val="14"/>
                <w:color w:val="auto"/>
              </w:rPr>
              <w:t>Period gap</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148,243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37,400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40,408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226,051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194,261</w:t>
            </w:r>
          </w:p>
        </w:tc>
        <w:tc>
          <w:tcPr>
            <w:tcW w:w="100" w:type="dxa"/>
            <w:vAlign w:val="bottom"/>
          </w:tcPr>
          <w:p>
            <w:pPr>
              <w:spacing w:after="0"/>
              <w:rPr>
                <w:sz w:val="23"/>
                <w:szCs w:val="23"/>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420,312</w:t>
            </w:r>
          </w:p>
        </w:tc>
      </w:tr>
      <w:tr>
        <w:trPr>
          <w:trHeight w:val="274"/>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gap</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148,243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185,643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226,051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226,051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420,312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176"/>
        </w:trPr>
        <w:tc>
          <w:tcPr>
            <w:tcW w:w="2360" w:type="dxa"/>
            <w:vAlign w:val="bottom"/>
          </w:tcPr>
          <w:p>
            <w:pPr>
              <w:ind w:left="40"/>
              <w:spacing w:after="0"/>
              <w:rPr>
                <w:sz w:val="20"/>
                <w:szCs w:val="20"/>
                <w:color w:val="auto"/>
              </w:rPr>
            </w:pPr>
            <w:r>
              <w:rPr>
                <w:rFonts w:ascii="Arial" w:cs="Arial" w:eastAsia="Arial" w:hAnsi="Arial"/>
                <w:sz w:val="14"/>
                <w:szCs w:val="14"/>
                <w:color w:val="auto"/>
              </w:rPr>
              <w:t>Ratio of cumulative gap to total</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4"/>
        </w:trPr>
        <w:tc>
          <w:tcPr>
            <w:tcW w:w="2360" w:type="dxa"/>
            <w:vAlign w:val="bottom"/>
          </w:tcPr>
          <w:p>
            <w:pPr>
              <w:ind w:left="200"/>
              <w:spacing w:after="0"/>
              <w:rPr>
                <w:sz w:val="20"/>
                <w:szCs w:val="20"/>
                <w:color w:val="auto"/>
              </w:rPr>
            </w:pPr>
            <w:r>
              <w:rPr>
                <w:rFonts w:ascii="Arial" w:cs="Arial" w:eastAsia="Arial" w:hAnsi="Arial"/>
                <w:sz w:val="14"/>
                <w:szCs w:val="14"/>
                <w:color w:val="auto"/>
              </w:rPr>
              <w:t>earning assets</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loans held for sale.</w:t>
      </w:r>
    </w:p>
    <w:p>
      <w:pPr>
        <w:spacing w:after="0" w:line="35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58" w:right="239" w:bottom="1440" w:gutter="0" w:footer="0" w:header="0"/>
        </w:sectPr>
      </w:pPr>
    </w:p>
    <w:bookmarkStart w:id="65" w:name="page66"/>
    <w:bookmarkEnd w:id="65"/>
    <w:p>
      <w:pPr>
        <w:jc w:val="both"/>
        <w:ind w:firstLine="324"/>
        <w:spacing w:after="0" w:line="258" w:lineRule="auto"/>
        <w:rPr>
          <w:sz w:val="20"/>
          <w:szCs w:val="20"/>
          <w:color w:val="auto"/>
        </w:rPr>
      </w:pPr>
      <w:r>
        <w:rPr>
          <w:rFonts w:ascii="Arial" w:cs="Arial" w:eastAsia="Arial" w:hAnsi="Arial"/>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most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7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September 30, 2019: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6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 at Risk</w:t>
            </w:r>
          </w:p>
        </w:tc>
        <w:tc>
          <w:tcPr>
            <w:tcW w:w="1560" w:type="dxa"/>
            <w:vAlign w:val="bottom"/>
          </w:tcPr>
          <w:p>
            <w:pPr>
              <w:jc w:val="right"/>
              <w:ind w:right="488"/>
              <w:spacing w:after="0"/>
              <w:rPr>
                <w:sz w:val="20"/>
                <w:szCs w:val="20"/>
                <w:color w:val="auto"/>
              </w:rPr>
            </w:pPr>
            <w:r>
              <w:rPr>
                <w:rFonts w:ascii="Arial" w:cs="Arial" w:eastAsia="Arial" w:hAnsi="Arial"/>
                <w:sz w:val="14"/>
                <w:szCs w:val="14"/>
                <w:b w:val="1"/>
                <w:bCs w:val="1"/>
                <w:color w:val="auto"/>
              </w:rPr>
              <w:t>-200 bps</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-100 bps</w:t>
            </w:r>
          </w:p>
        </w:tc>
        <w:tc>
          <w:tcPr>
            <w:tcW w:w="1340" w:type="dxa"/>
            <w:vAlign w:val="bottom"/>
            <w:gridSpan w:val="2"/>
          </w:tcPr>
          <w:p>
            <w:pPr>
              <w:ind w:left="480"/>
              <w:spacing w:after="0"/>
              <w:rPr>
                <w:sz w:val="20"/>
                <w:szCs w:val="20"/>
                <w:color w:val="auto"/>
              </w:rPr>
            </w:pPr>
            <w:r>
              <w:rPr>
                <w:rFonts w:ascii="Arial" w:cs="Arial" w:eastAsia="Arial" w:hAnsi="Arial"/>
                <w:sz w:val="14"/>
                <w:szCs w:val="14"/>
                <w:b w:val="1"/>
                <w:bCs w:val="1"/>
                <w:color w:val="auto"/>
              </w:rPr>
              <w:t>Flat</w:t>
            </w: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+100 bps</w:t>
            </w: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+200 bps</w:t>
            </w: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+300 bps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0"/>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September 30, 2019</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bl>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results of our EVE analysis as of September 30, 2019.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540" w:type="dxa"/>
            <w:vAlign w:val="bottom"/>
            <w:gridSpan w:val="3"/>
          </w:tcPr>
          <w:p>
            <w:pPr>
              <w:ind w:left="40"/>
              <w:spacing w:after="0"/>
              <w:rPr>
                <w:sz w:val="20"/>
                <w:szCs w:val="20"/>
                <w:color w:val="auto"/>
              </w:rPr>
            </w:pPr>
            <w:r>
              <w:rPr>
                <w:rFonts w:ascii="Arial" w:cs="Arial" w:eastAsia="Arial" w:hAnsi="Arial"/>
                <w:sz w:val="14"/>
                <w:szCs w:val="14"/>
                <w:b w:val="1"/>
                <w:bCs w:val="1"/>
                <w:color w:val="auto"/>
              </w:rPr>
              <w:t>Economic Value of Equity</w:t>
            </w:r>
          </w:p>
        </w:tc>
        <w:tc>
          <w:tcPr>
            <w:tcW w:w="18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-200 bps</w:t>
            </w: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-100 bps</w:t>
            </w:r>
          </w:p>
        </w:tc>
        <w:tc>
          <w:tcPr>
            <w:tcW w:w="1360" w:type="dxa"/>
            <w:vAlign w:val="bottom"/>
            <w:gridSpan w:val="2"/>
          </w:tcPr>
          <w:p>
            <w:pPr>
              <w:ind w:left="500"/>
              <w:spacing w:after="0"/>
              <w:rPr>
                <w:sz w:val="20"/>
                <w:szCs w:val="20"/>
                <w:color w:val="auto"/>
              </w:rPr>
            </w:pPr>
            <w:r>
              <w:rPr>
                <w:rFonts w:ascii="Arial" w:cs="Arial" w:eastAsia="Arial" w:hAnsi="Arial"/>
                <w:sz w:val="14"/>
                <w:szCs w:val="14"/>
                <w:b w:val="1"/>
                <w:bCs w:val="1"/>
                <w:color w:val="auto"/>
              </w:rPr>
              <w:t>Flat</w:t>
            </w: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rPr>
              <w:t>+100 bps</w:t>
            </w: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+200 bps</w:t>
            </w: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+300 bps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0"/>
        </w:trPr>
        <w:tc>
          <w:tcPr>
            <w:tcW w:w="2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September 30, 2019</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(9.9)%</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including our Chief Executive Officer and Chief Financial Officer, have evaluated the effectiveness of our disclosure controls and procedures (as defined in Rule 13a-15(e) under the Securities Exchange Act of 1934, as amended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has been no change in the Company’s internal control over financial reporting (as such term is defined in Rule 13a-15(f) under the Exchange Act) during the fiscal quarter to which this report relates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5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7"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From time to time, we are a party to various litigation matters incidental to our ordinary conduct of our business. We are not presently a party to any material legal proceedings.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There have been no material changes to the risk factors that appeared under “Part I, ITEM 1A. Risk Factors” of our 2018 Annual Report and as supplemented under “Part II, Item 1A. Risk Factors” of our Quarterly Report for the quarter ended September 30,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On April 25, 2019, the Company announced a stock repurchase program. The program enables the Company to repurchase up to $5.0 million of its outstanding common stock, and expires on December 31, 2020. During the three months ended September 30, 2019, the Corporation repurchased shares under the recently approved stock repurchase program, as reflected in the following table.</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Period</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July 1 2019 to July 31, 2019</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August 1, 2019 to August 31, 2019</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September 1, 2019 to September 30, 2019</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0" w:type="dxa"/>
            <w:vAlign w:val="bottom"/>
          </w:tcPr>
          <w:p>
            <w:pPr>
              <w:spacing w:after="0"/>
              <w:rPr>
                <w:sz w:val="14"/>
                <w:szCs w:val="14"/>
                <w:color w:val="auto"/>
              </w:rPr>
            </w:pPr>
          </w:p>
        </w:tc>
        <w:tc>
          <w:tcPr>
            <w:tcW w:w="2080" w:type="dxa"/>
            <w:vAlign w:val="bottom"/>
          </w:tcPr>
          <w:p>
            <w:pPr>
              <w:jc w:val="center"/>
              <w:ind w:right="143"/>
              <w:spacing w:after="0"/>
              <w:rPr>
                <w:sz w:val="20"/>
                <w:szCs w:val="20"/>
                <w:color w:val="auto"/>
              </w:rPr>
            </w:pPr>
            <w:r>
              <w:rPr>
                <w:rFonts w:ascii="Arial" w:cs="Arial" w:eastAsia="Arial" w:hAnsi="Arial"/>
                <w:sz w:val="14"/>
                <w:szCs w:val="14"/>
                <w:b w:val="1"/>
                <w:bCs w:val="1"/>
                <w:color w:val="auto"/>
              </w:rPr>
              <w:t>Maximum Dollar Value of</w:t>
            </w:r>
          </w:p>
        </w:tc>
      </w:tr>
      <w:tr>
        <w:trPr>
          <w:trHeight w:val="162"/>
        </w:trPr>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00" w:type="dxa"/>
            <w:vAlign w:val="bottom"/>
          </w:tcPr>
          <w:p>
            <w:pPr>
              <w:spacing w:after="0"/>
              <w:rPr>
                <w:sz w:val="14"/>
                <w:szCs w:val="14"/>
                <w:color w:val="auto"/>
              </w:rPr>
            </w:pPr>
          </w:p>
        </w:tc>
        <w:tc>
          <w:tcPr>
            <w:tcW w:w="2080" w:type="dxa"/>
            <w:vAlign w:val="bottom"/>
          </w:tcPr>
          <w:p>
            <w:pPr>
              <w:jc w:val="center"/>
              <w:ind w:right="123"/>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price paid</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 Plans</w:t>
            </w: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Purchased Under the Plans or</w:t>
            </w:r>
          </w:p>
        </w:tc>
      </w:tr>
      <w:tr>
        <w:trPr>
          <w:trHeight w:val="202"/>
        </w:trPr>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7"/>
                <w:szCs w:val="17"/>
                <w:color w:val="auto"/>
              </w:rPr>
            </w:pPr>
          </w:p>
        </w:tc>
        <w:tc>
          <w:tcPr>
            <w:tcW w:w="1180" w:type="dxa"/>
            <w:vAlign w:val="bottom"/>
          </w:tcPr>
          <w:p>
            <w:pPr>
              <w:jc w:val="right"/>
              <w:ind w:right="301"/>
              <w:spacing w:after="0"/>
              <w:rPr>
                <w:sz w:val="20"/>
                <w:szCs w:val="20"/>
                <w:color w:val="auto"/>
              </w:rPr>
            </w:pPr>
            <w:r>
              <w:rPr>
                <w:rFonts w:ascii="Arial" w:cs="Arial" w:eastAsia="Arial" w:hAnsi="Arial"/>
                <w:sz w:val="14"/>
                <w:szCs w:val="14"/>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or Programs</w:t>
            </w:r>
          </w:p>
        </w:tc>
        <w:tc>
          <w:tcPr>
            <w:tcW w:w="200" w:type="dxa"/>
            <w:vAlign w:val="bottom"/>
          </w:tcPr>
          <w:p>
            <w:pPr>
              <w:spacing w:after="0"/>
              <w:rPr>
                <w:sz w:val="17"/>
                <w:szCs w:val="17"/>
                <w:color w:val="auto"/>
              </w:rPr>
            </w:pPr>
          </w:p>
        </w:tc>
        <w:tc>
          <w:tcPr>
            <w:tcW w:w="2080" w:type="dxa"/>
            <w:vAlign w:val="bottom"/>
          </w:tcPr>
          <w:p>
            <w:pPr>
              <w:jc w:val="center"/>
              <w:ind w:right="123"/>
              <w:spacing w:after="0"/>
              <w:rPr>
                <w:sz w:val="20"/>
                <w:szCs w:val="20"/>
                <w:color w:val="auto"/>
              </w:rPr>
            </w:pPr>
            <w:r>
              <w:rPr>
                <w:rFonts w:ascii="Arial" w:cs="Arial" w:eastAsia="Arial" w:hAnsi="Arial"/>
                <w:sz w:val="14"/>
                <w:szCs w:val="14"/>
                <w:b w:val="1"/>
                <w:bCs w:val="1"/>
                <w:color w:val="auto"/>
              </w:rPr>
              <w:t>Programs</w:t>
            </w:r>
          </w:p>
        </w:tc>
      </w:tr>
      <w:tr>
        <w:trPr>
          <w:trHeight w:val="230"/>
        </w:trPr>
        <w:tc>
          <w:tcPr>
            <w:tcW w:w="12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43"/>
              <w:spacing w:after="0"/>
              <w:rPr>
                <w:sz w:val="20"/>
                <w:szCs w:val="20"/>
                <w:color w:val="auto"/>
              </w:rPr>
            </w:pPr>
            <w:r>
              <w:rPr>
                <w:rFonts w:ascii="Arial" w:cs="Arial" w:eastAsia="Arial" w:hAnsi="Arial"/>
                <w:sz w:val="16"/>
                <w:szCs w:val="16"/>
                <w:color w:val="auto"/>
              </w:rPr>
              <w:t>5,000,000</w:t>
            </w:r>
          </w:p>
        </w:tc>
      </w:tr>
      <w:tr>
        <w:trPr>
          <w:trHeight w:val="243"/>
        </w:trPr>
        <w:tc>
          <w:tcPr>
            <w:tcW w:w="1200" w:type="dxa"/>
            <w:vAlign w:val="bottom"/>
          </w:tcPr>
          <w:p>
            <w:pPr>
              <w:jc w:val="right"/>
              <w:ind w:right="3"/>
              <w:spacing w:after="0"/>
              <w:rPr>
                <w:sz w:val="20"/>
                <w:szCs w:val="20"/>
                <w:color w:val="auto"/>
              </w:rPr>
            </w:pPr>
            <w:r>
              <w:rPr>
                <w:rFonts w:ascii="Arial" w:cs="Arial" w:eastAsia="Arial" w:hAnsi="Arial"/>
                <w:sz w:val="16"/>
                <w:szCs w:val="16"/>
                <w:color w:val="auto"/>
              </w:rPr>
              <w:t>21,130</w:t>
            </w:r>
          </w:p>
        </w:tc>
        <w:tc>
          <w:tcPr>
            <w:tcW w:w="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12.44</w:t>
            </w:r>
          </w:p>
        </w:tc>
        <w:tc>
          <w:tcPr>
            <w:tcW w:w="1920" w:type="dxa"/>
            <w:vAlign w:val="bottom"/>
          </w:tcPr>
          <w:p>
            <w:pPr>
              <w:jc w:val="right"/>
              <w:ind w:right="23"/>
              <w:spacing w:after="0"/>
              <w:rPr>
                <w:sz w:val="20"/>
                <w:szCs w:val="20"/>
                <w:color w:val="auto"/>
              </w:rPr>
            </w:pPr>
            <w:r>
              <w:rPr>
                <w:rFonts w:ascii="Arial" w:cs="Arial" w:eastAsia="Arial" w:hAnsi="Arial"/>
                <w:sz w:val="16"/>
                <w:szCs w:val="16"/>
                <w:color w:val="auto"/>
              </w:rPr>
              <w:t>21,130</w:t>
            </w:r>
          </w:p>
        </w:tc>
        <w:tc>
          <w:tcPr>
            <w:tcW w:w="200" w:type="dxa"/>
            <w:vAlign w:val="bottom"/>
          </w:tcPr>
          <w:p>
            <w:pPr>
              <w:spacing w:after="0"/>
              <w:rPr>
                <w:sz w:val="21"/>
                <w:szCs w:val="21"/>
                <w:color w:val="auto"/>
              </w:rPr>
            </w:pPr>
          </w:p>
        </w:tc>
        <w:tc>
          <w:tcPr>
            <w:tcW w:w="2080" w:type="dxa"/>
            <w:vAlign w:val="bottom"/>
          </w:tcPr>
          <w:p>
            <w:pPr>
              <w:jc w:val="right"/>
              <w:ind w:right="43"/>
              <w:spacing w:after="0"/>
              <w:rPr>
                <w:sz w:val="20"/>
                <w:szCs w:val="20"/>
                <w:color w:val="auto"/>
              </w:rPr>
            </w:pPr>
            <w:r>
              <w:rPr>
                <w:rFonts w:ascii="Arial" w:cs="Arial" w:eastAsia="Arial" w:hAnsi="Arial"/>
                <w:sz w:val="16"/>
                <w:szCs w:val="16"/>
                <w:color w:val="auto"/>
              </w:rPr>
              <w:t>4,736,805</w:t>
            </w:r>
          </w:p>
        </w:tc>
      </w:tr>
      <w:tr>
        <w:trPr>
          <w:trHeight w:val="252"/>
        </w:trPr>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4,736,805</w:t>
            </w:r>
          </w:p>
        </w:tc>
      </w:tr>
      <w:tr>
        <w:trPr>
          <w:trHeight w:val="237"/>
        </w:trPr>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21,130</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12.44</w:t>
            </w:r>
          </w:p>
        </w:tc>
        <w:tc>
          <w:tcPr>
            <w:tcW w:w="1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21,130</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4,736,805</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-650875</wp:posOffset>
            </wp:positionV>
            <wp:extent cx="715200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2005" cy="15430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-342265</wp:posOffset>
            </wp:positionV>
            <wp:extent cx="715200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200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6920"/>
          </w:cols>
          <w:pgMar w:left="240" w:top="35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358"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exhibits required to be filed as part of this Quarterly Report on Form 10-Q are listed in the Index to Exhibits attached hereto and are incorporated herein by reference.</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58"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180"/>
          </w:cols>
          <w:pgMar w:left="240" w:top="358" w:right="479" w:bottom="1440" w:gutter="0" w:footer="0" w:header="0"/>
        </w:sect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111" w:lineRule="exact"/>
        <w:rPr>
          <w:sz w:val="20"/>
          <w:szCs w:val="20"/>
          <w:color w:val="auto"/>
        </w:rPr>
      </w:pPr>
    </w:p>
    <w:p>
      <w:pPr>
        <w:sectPr>
          <w:pgSz w:w="11900" w:h="16838" w:orient="portrait"/>
          <w:cols w:equalWidth="0" w:num="2">
            <w:col w:w="5200" w:space="720"/>
            <w:col w:w="5260"/>
          </w:cols>
          <w:pgMar w:left="240" w:top="358" w:right="479" w:bottom="1440" w:gutter="0" w:footer="0" w:header="0"/>
          <w:type w:val="continuous"/>
        </w:sectPr>
      </w:pPr>
    </w:p>
    <w:p>
      <w:pPr>
        <w:ind w:left="520"/>
        <w:spacing w:after="0"/>
        <w:tabs>
          <w:tab w:leader="none" w:pos="1280" w:val="left"/>
        </w:tabs>
        <w:rPr>
          <w:rFonts w:ascii="Arial" w:cs="Arial" w:eastAsia="Arial" w:hAnsi="Arial"/>
          <w:sz w:val="14"/>
          <w:szCs w:val="14"/>
          <w:u w:val="single" w:color="auto"/>
          <w:color w:val="0000FF"/>
        </w:rPr>
      </w:pPr>
      <w:r>
        <w:rPr>
          <w:rFonts w:ascii="Arial" w:cs="Arial" w:eastAsia="Arial" w:hAnsi="Arial"/>
          <w:sz w:val="14"/>
          <w:szCs w:val="14"/>
          <w:color w:val="auto"/>
        </w:rPr>
        <w:t>31.1</w:t>
      </w:r>
      <w:r>
        <w:rPr>
          <w:sz w:val="20"/>
          <w:szCs w:val="20"/>
          <w:color w:val="auto"/>
        </w:rPr>
        <w:tab/>
      </w:r>
      <w:hyperlink w:anchor="page72">
        <w:r>
          <w:rPr>
            <w:rFonts w:ascii="Arial" w:cs="Arial" w:eastAsia="Arial" w:hAnsi="Arial"/>
            <w:sz w:val="14"/>
            <w:szCs w:val="14"/>
            <w:u w:val="single" w:color="auto"/>
            <w:color w:val="0000FF"/>
          </w:rPr>
          <w:t>Rule 13a-14(a) Certification of the Principal Executive Officer.</w:t>
        </w:r>
      </w:hyperlink>
    </w:p>
    <w:p>
      <w:pPr>
        <w:spacing w:after="0" w:line="55" w:lineRule="exact"/>
        <w:rPr>
          <w:sz w:val="20"/>
          <w:szCs w:val="20"/>
          <w:color w:val="auto"/>
        </w:rPr>
      </w:pPr>
    </w:p>
    <w:p>
      <w:pPr>
        <w:ind w:left="1300"/>
        <w:spacing w:after="0"/>
        <w:rPr>
          <w:rFonts w:ascii="Arial" w:cs="Arial" w:eastAsia="Arial" w:hAnsi="Arial"/>
          <w:sz w:val="14"/>
          <w:szCs w:val="14"/>
          <w:u w:val="single" w:color="auto"/>
          <w:color w:val="0000FF"/>
        </w:rPr>
      </w:pPr>
      <w:hyperlink w:anchor="page73">
        <w:r>
          <w:rPr>
            <w:rFonts w:ascii="Arial" w:cs="Arial" w:eastAsia="Arial" w:hAnsi="Arial"/>
            <w:sz w:val="14"/>
            <w:szCs w:val="14"/>
            <w:u w:val="single" w:color="auto"/>
            <w:color w:val="0000FF"/>
          </w:rPr>
          <w:t>Rule 13a-14(a) Certification of the Principal Financial Officer.</w:t>
        </w:r>
      </w:hyperlink>
    </w:p>
    <w:p>
      <w:pPr>
        <w:spacing w:after="0" w:line="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31.2</w:t>
      </w:r>
    </w:p>
    <w:p>
      <w:pPr>
        <w:spacing w:after="0" w:line="91" w:lineRule="exact"/>
        <w:rPr>
          <w:sz w:val="20"/>
          <w:szCs w:val="20"/>
          <w:color w:val="auto"/>
        </w:rPr>
      </w:pPr>
    </w:p>
    <w:p>
      <w:pPr>
        <w:ind w:left="1300" w:hanging="655"/>
        <w:spacing w:after="0"/>
        <w:tabs>
          <w:tab w:leader="none" w:pos="1300" w:val="left"/>
        </w:tabs>
        <w:numPr>
          <w:ilvl w:val="0"/>
          <w:numId w:val="12"/>
        </w:numPr>
        <w:rPr>
          <w:rFonts w:ascii="Arial" w:cs="Arial" w:eastAsia="Arial" w:hAnsi="Arial"/>
          <w:sz w:val="14"/>
          <w:szCs w:val="14"/>
          <w:u w:val="single" w:color="auto"/>
          <w:color w:val="0000FF"/>
        </w:rPr>
      </w:pPr>
      <w:hyperlink w:anchor="page74">
        <w:r>
          <w:rPr>
            <w:rFonts w:ascii="Arial" w:cs="Arial" w:eastAsia="Arial" w:hAnsi="Arial"/>
            <w:sz w:val="14"/>
            <w:szCs w:val="14"/>
            <w:u w:val="single" w:color="auto"/>
            <w:color w:val="0000FF"/>
          </w:rPr>
          <w:t>Section 1350 Certification of Chief Executive Officer and Chief Financial Officer.</w:t>
        </w:r>
      </w:hyperlink>
    </w:p>
    <w:p>
      <w:pPr>
        <w:spacing w:after="0" w:line="55" w:lineRule="exact"/>
        <w:rPr>
          <w:sz w:val="20"/>
          <w:szCs w:val="20"/>
          <w:color w:val="auto"/>
        </w:rPr>
      </w:pPr>
    </w:p>
    <w:p>
      <w:pPr>
        <w:ind w:left="1300" w:hanging="735"/>
        <w:spacing w:after="0" w:line="258" w:lineRule="auto"/>
        <w:tabs>
          <w:tab w:leader="none" w:pos="1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following materials from the Quarterly Report on Form 10-Q of Capital Bancorp, Inc. for the quarter ended September 30, 2019,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358" w:right="47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CAPITAL BANCORP, INC.</w:t>
            </w:r>
          </w:p>
        </w:tc>
        <w:tc>
          <w:tcPr>
            <w:tcW w:w="2960" w:type="dxa"/>
            <w:vAlign w:val="bottom"/>
          </w:tcPr>
          <w:p>
            <w:pPr>
              <w:spacing w:after="0"/>
              <w:rPr>
                <w:sz w:val="17"/>
                <w:szCs w:val="17"/>
                <w:color w:val="auto"/>
              </w:rPr>
            </w:pPr>
          </w:p>
        </w:tc>
      </w:tr>
      <w:tr>
        <w:trPr>
          <w:trHeight w:val="241"/>
        </w:trPr>
        <w:tc>
          <w:tcPr>
            <w:tcW w:w="2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Registrant</w:t>
            </w:r>
          </w:p>
        </w:tc>
      </w:tr>
      <w:tr>
        <w:trPr>
          <w:trHeight w:val="388"/>
        </w:trPr>
        <w:tc>
          <w:tcPr>
            <w:tcW w:w="2460" w:type="dxa"/>
            <w:vAlign w:val="bottom"/>
          </w:tcPr>
          <w:p>
            <w:pPr>
              <w:spacing w:after="0"/>
              <w:rPr>
                <w:sz w:val="20"/>
                <w:szCs w:val="20"/>
                <w:color w:val="auto"/>
              </w:rPr>
            </w:pPr>
            <w:r>
              <w:rPr>
                <w:rFonts w:ascii="Arial" w:cs="Arial" w:eastAsia="Arial" w:hAnsi="Arial"/>
                <w:sz w:val="18"/>
                <w:szCs w:val="18"/>
                <w:color w:val="auto"/>
              </w:rPr>
              <w:t>Date: November 13, 2019</w:t>
            </w: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 Barry</w:t>
            </w:r>
          </w:p>
        </w:tc>
        <w:tc>
          <w:tcPr>
            <w:tcW w:w="4520" w:type="dxa"/>
            <w:vAlign w:val="bottom"/>
            <w:gridSpan w:val="3"/>
          </w:tcPr>
          <w:p>
            <w:pPr>
              <w:spacing w:after="0"/>
              <w:rPr>
                <w:sz w:val="24"/>
                <w:szCs w:val="24"/>
                <w:color w:val="auto"/>
              </w:rPr>
            </w:pPr>
          </w:p>
        </w:tc>
      </w:tr>
      <w:tr>
        <w:trPr>
          <w:trHeight w:val="214"/>
        </w:trPr>
        <w:tc>
          <w:tcPr>
            <w:tcW w:w="2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Ed Barry</w:t>
            </w:r>
          </w:p>
        </w:tc>
      </w:tr>
      <w:tr>
        <w:trPr>
          <w:trHeight w:val="243"/>
        </w:trPr>
        <w:tc>
          <w:tcPr>
            <w:tcW w:w="2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388"/>
        </w:trPr>
        <w:tc>
          <w:tcPr>
            <w:tcW w:w="2460" w:type="dxa"/>
            <w:vAlign w:val="bottom"/>
          </w:tcPr>
          <w:p>
            <w:pPr>
              <w:spacing w:after="0"/>
              <w:rPr>
                <w:sz w:val="20"/>
                <w:szCs w:val="20"/>
                <w:color w:val="auto"/>
              </w:rPr>
            </w:pPr>
            <w:r>
              <w:rPr>
                <w:rFonts w:ascii="Arial" w:cs="Arial" w:eastAsia="Arial" w:hAnsi="Arial"/>
                <w:sz w:val="18"/>
                <w:szCs w:val="18"/>
                <w:color w:val="auto"/>
              </w:rPr>
              <w:t>Date: November 13, 2019</w:t>
            </w:r>
          </w:p>
        </w:tc>
        <w:tc>
          <w:tcPr>
            <w:tcW w:w="1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Alan W. Jackson</w:t>
            </w:r>
          </w:p>
        </w:tc>
        <w:tc>
          <w:tcPr>
            <w:tcW w:w="4080" w:type="dxa"/>
            <w:vAlign w:val="bottom"/>
            <w:gridSpan w:val="2"/>
          </w:tcPr>
          <w:p>
            <w:pPr>
              <w:spacing w:after="0"/>
              <w:rPr>
                <w:sz w:val="24"/>
                <w:szCs w:val="24"/>
                <w:color w:val="auto"/>
              </w:rPr>
            </w:pPr>
          </w:p>
        </w:tc>
      </w:tr>
      <w:tr>
        <w:trPr>
          <w:trHeight w:val="214"/>
        </w:trPr>
        <w:tc>
          <w:tcPr>
            <w:tcW w:w="2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Alan W. Jackson</w:t>
            </w:r>
          </w:p>
        </w:tc>
      </w:tr>
      <w:tr>
        <w:trPr>
          <w:trHeight w:val="243"/>
        </w:trPr>
        <w:tc>
          <w:tcPr>
            <w:tcW w:w="2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w w:val="99"/>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58"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25"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25" w:lineRule="exact"/>
        <w:rPr>
          <w:rFonts w:ascii="Arial" w:cs="Arial" w:eastAsia="Arial" w:hAnsi="Arial"/>
          <w:sz w:val="18"/>
          <w:szCs w:val="18"/>
          <w:color w:val="auto"/>
        </w:rPr>
      </w:pPr>
    </w:p>
    <w:p>
      <w:pPr>
        <w:jc w:val="both"/>
        <w:ind w:firstLine="8"/>
        <w:spacing w:after="0" w:line="271" w:lineRule="auto"/>
        <w:tabs>
          <w:tab w:leader="none" w:pos="2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firstLine="8"/>
        <w:spacing w:after="0" w:line="292" w:lineRule="auto"/>
        <w:tabs>
          <w:tab w:leader="none" w:pos="2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firstLine="8"/>
        <w:spacing w:after="0" w:line="263" w:lineRule="auto"/>
        <w:tabs>
          <w:tab w:leader="none" w:pos="2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03" w:lineRule="exact"/>
        <w:rPr>
          <w:rFonts w:ascii="Arial" w:cs="Arial" w:eastAsia="Arial" w:hAnsi="Arial"/>
          <w:sz w:val="18"/>
          <w:szCs w:val="18"/>
          <w:color w:val="auto"/>
        </w:rPr>
      </w:pPr>
    </w:p>
    <w:p>
      <w:pPr>
        <w:jc w:val="both"/>
        <w:ind w:left="660" w:hanging="4"/>
        <w:spacing w:after="0" w:line="271" w:lineRule="auto"/>
        <w:tabs>
          <w:tab w:leader="none" w:pos="88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660" w:hanging="4"/>
        <w:spacing w:after="0" w:line="271" w:lineRule="auto"/>
        <w:tabs>
          <w:tab w:leader="none" w:pos="8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660" w:hanging="4"/>
        <w:spacing w:after="0" w:line="271" w:lineRule="auto"/>
        <w:tabs>
          <w:tab w:leader="none" w:pos="8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660" w:hanging="4"/>
        <w:spacing w:after="0" w:line="271" w:lineRule="auto"/>
        <w:tabs>
          <w:tab w:leader="none" w:pos="8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right="20" w:firstLine="8"/>
        <w:spacing w:after="0" w:line="292" w:lineRule="auto"/>
        <w:tabs>
          <w:tab w:leader="none" w:pos="2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Arial" w:cs="Arial" w:eastAsia="Arial" w:hAnsi="Arial"/>
          <w:sz w:val="18"/>
          <w:szCs w:val="18"/>
          <w:color w:val="auto"/>
        </w:rPr>
      </w:pPr>
    </w:p>
    <w:p>
      <w:pPr>
        <w:ind w:left="660" w:right="20" w:hanging="4"/>
        <w:spacing w:after="0" w:line="292" w:lineRule="auto"/>
        <w:tabs>
          <w:tab w:leader="none" w:pos="88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hanging="4"/>
        <w:spacing w:after="0" w:line="292" w:lineRule="auto"/>
        <w:tabs>
          <w:tab w:leader="none" w:pos="89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20"/>
                <w:szCs w:val="20"/>
                <w:color w:val="auto"/>
              </w:rPr>
            </w:pPr>
            <w:r>
              <w:rPr>
                <w:rFonts w:ascii="Arial" w:cs="Arial" w:eastAsia="Arial" w:hAnsi="Arial"/>
                <w:sz w:val="18"/>
                <w:szCs w:val="18"/>
                <w:color w:val="auto"/>
              </w:rPr>
              <w:t>Date:  November 13, 2019</w:t>
            </w:r>
          </w:p>
        </w:tc>
        <w:tc>
          <w:tcPr>
            <w:tcW w:w="3200" w:type="dxa"/>
            <w:vAlign w:val="bottom"/>
            <w:gridSpan w:val="3"/>
          </w:tcPr>
          <w:p>
            <w:pPr>
              <w:ind w:left="300"/>
              <w:spacing w:after="0"/>
              <w:rPr>
                <w:sz w:val="20"/>
                <w:szCs w:val="20"/>
                <w:color w:val="auto"/>
              </w:rPr>
            </w:pPr>
            <w:r>
              <w:rPr>
                <w:rFonts w:ascii="Arial" w:cs="Arial" w:eastAsia="Arial" w:hAnsi="Arial"/>
                <w:sz w:val="18"/>
                <w:szCs w:val="18"/>
                <w:color w:val="auto"/>
              </w:rPr>
              <w:t>By: /s/ Ed Barry</w:t>
            </w:r>
          </w:p>
        </w:tc>
      </w:tr>
      <w:tr>
        <w:trPr>
          <w:trHeight w:val="20"/>
        </w:trPr>
        <w:tc>
          <w:tcPr>
            <w:tcW w:w="2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4"/>
        </w:trPr>
        <w:tc>
          <w:tcPr>
            <w:tcW w:w="2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0" w:type="dxa"/>
            <w:vAlign w:val="bottom"/>
            <w:gridSpan w:val="2"/>
          </w:tcPr>
          <w:p>
            <w:pPr>
              <w:ind w:left="780"/>
              <w:spacing w:after="0"/>
              <w:rPr>
                <w:sz w:val="20"/>
                <w:szCs w:val="20"/>
                <w:color w:val="auto"/>
              </w:rPr>
            </w:pPr>
            <w:r>
              <w:rPr>
                <w:rFonts w:ascii="Arial" w:cs="Arial" w:eastAsia="Arial" w:hAnsi="Arial"/>
                <w:sz w:val="18"/>
                <w:szCs w:val="18"/>
                <w:color w:val="auto"/>
              </w:rPr>
              <w:t>Ed Barry</w:t>
            </w:r>
          </w:p>
        </w:tc>
      </w:tr>
      <w:tr>
        <w:trPr>
          <w:trHeight w:val="243"/>
        </w:trPr>
        <w:tc>
          <w:tcPr>
            <w:tcW w:w="2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0" w:type="dxa"/>
            <w:vAlign w:val="bottom"/>
            <w:gridSpan w:val="2"/>
          </w:tcPr>
          <w:p>
            <w:pPr>
              <w:ind w:left="780"/>
              <w:spacing w:after="0"/>
              <w:rPr>
                <w:sz w:val="20"/>
                <w:szCs w:val="20"/>
                <w:color w:val="auto"/>
              </w:rPr>
            </w:pPr>
            <w:r>
              <w:rPr>
                <w:rFonts w:ascii="Arial" w:cs="Arial" w:eastAsia="Arial" w:hAnsi="Arial"/>
                <w:sz w:val="18"/>
                <w:szCs w:val="18"/>
                <w:color w:val="auto"/>
                <w:w w:val="98"/>
              </w:rPr>
              <w:t>Chief Executive Officer</w:t>
            </w:r>
          </w:p>
        </w:tc>
      </w:tr>
    </w:tbl>
    <w:p>
      <w:pPr>
        <w:sectPr>
          <w:pgSz w:w="11900" w:h="16838" w:orient="portrait"/>
          <w:cols w:equalWidth="0" w:num="1">
            <w:col w:w="11420"/>
          </w:cols>
          <w:pgMar w:left="240" w:top="57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Alan W. Jackson, certify that:</w:t>
      </w:r>
    </w:p>
    <w:p>
      <w:pPr>
        <w:spacing w:after="0" w:line="225"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25" w:lineRule="exact"/>
        <w:rPr>
          <w:rFonts w:ascii="Arial" w:cs="Arial" w:eastAsia="Arial" w:hAnsi="Arial"/>
          <w:sz w:val="18"/>
          <w:szCs w:val="18"/>
          <w:color w:val="auto"/>
        </w:rPr>
      </w:pPr>
    </w:p>
    <w:p>
      <w:pPr>
        <w:jc w:val="both"/>
        <w:ind w:firstLine="8"/>
        <w:spacing w:after="0" w:line="271" w:lineRule="auto"/>
        <w:tabs>
          <w:tab w:leader="none" w:pos="2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firstLine="8"/>
        <w:spacing w:after="0" w:line="292" w:lineRule="auto"/>
        <w:tabs>
          <w:tab w:leader="none" w:pos="2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firstLine="8"/>
        <w:spacing w:after="0" w:line="263" w:lineRule="auto"/>
        <w:tabs>
          <w:tab w:leader="none" w:pos="20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03" w:lineRule="exact"/>
        <w:rPr>
          <w:rFonts w:ascii="Arial" w:cs="Arial" w:eastAsia="Arial" w:hAnsi="Arial"/>
          <w:sz w:val="18"/>
          <w:szCs w:val="18"/>
          <w:color w:val="auto"/>
        </w:rPr>
      </w:pPr>
    </w:p>
    <w:p>
      <w:pPr>
        <w:jc w:val="both"/>
        <w:ind w:left="660" w:hanging="4"/>
        <w:spacing w:after="0" w:line="271" w:lineRule="auto"/>
        <w:tabs>
          <w:tab w:leader="none" w:pos="88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660" w:hanging="4"/>
        <w:spacing w:after="0" w:line="271" w:lineRule="auto"/>
        <w:tabs>
          <w:tab w:leader="none" w:pos="8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660" w:hanging="4"/>
        <w:spacing w:after="0" w:line="271" w:lineRule="auto"/>
        <w:tabs>
          <w:tab w:leader="none" w:pos="8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660" w:hanging="4"/>
        <w:spacing w:after="0" w:line="271" w:lineRule="auto"/>
        <w:tabs>
          <w:tab w:leader="none" w:pos="8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right="20" w:firstLine="8"/>
        <w:spacing w:after="0" w:line="292" w:lineRule="auto"/>
        <w:tabs>
          <w:tab w:leader="none" w:pos="2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Arial" w:cs="Arial" w:eastAsia="Arial" w:hAnsi="Arial"/>
          <w:sz w:val="18"/>
          <w:szCs w:val="18"/>
          <w:color w:val="auto"/>
        </w:rPr>
      </w:pPr>
    </w:p>
    <w:p>
      <w:pPr>
        <w:ind w:left="660" w:right="20" w:hanging="4"/>
        <w:spacing w:after="0" w:line="292" w:lineRule="auto"/>
        <w:tabs>
          <w:tab w:leader="none" w:pos="88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hanging="4"/>
        <w:spacing w:after="0" w:line="292" w:lineRule="auto"/>
        <w:tabs>
          <w:tab w:leader="none" w:pos="8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color w:val="auto"/>
              </w:rPr>
              <w:t>Date: November 13, 2019</w:t>
            </w:r>
          </w:p>
        </w:tc>
        <w:tc>
          <w:tcPr>
            <w:tcW w:w="3200" w:type="dxa"/>
            <w:vAlign w:val="bottom"/>
            <w:gridSpan w:val="3"/>
          </w:tcPr>
          <w:p>
            <w:pPr>
              <w:ind w:left="400"/>
              <w:spacing w:after="0"/>
              <w:rPr>
                <w:sz w:val="20"/>
                <w:szCs w:val="20"/>
                <w:color w:val="auto"/>
              </w:rPr>
            </w:pPr>
            <w:r>
              <w:rPr>
                <w:rFonts w:ascii="Arial" w:cs="Arial" w:eastAsia="Arial" w:hAnsi="Arial"/>
                <w:sz w:val="18"/>
                <w:szCs w:val="18"/>
                <w:color w:val="auto"/>
              </w:rPr>
              <w:t>By: /s/ Alan W. Jackson</w:t>
            </w:r>
          </w:p>
        </w:tc>
      </w:tr>
      <w:tr>
        <w:trPr>
          <w:trHeight w:val="20"/>
        </w:trPr>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4"/>
        </w:trPr>
        <w:tc>
          <w:tcPr>
            <w:tcW w:w="2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rPr>
              <w:t>Alan W. Jackson</w:t>
            </w:r>
          </w:p>
        </w:tc>
      </w:tr>
      <w:tr>
        <w:trPr>
          <w:trHeight w:val="243"/>
        </w:trPr>
        <w:tc>
          <w:tcPr>
            <w:tcW w:w="2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w w:val="98"/>
              </w:rPr>
              <w:t>Chief Financial Officer</w:t>
            </w:r>
          </w:p>
        </w:tc>
      </w:tr>
    </w:tbl>
    <w:p>
      <w:pPr>
        <w:sectPr>
          <w:pgSz w:w="11900" w:h="16838" w:orient="portrait"/>
          <w:cols w:equalWidth="0" w:num="1">
            <w:col w:w="11420"/>
          </w:cols>
          <w:pgMar w:left="240" w:top="574" w:right="239" w:bottom="1440" w:gutter="0" w:footer="0" w:header="0"/>
        </w:sectPr>
      </w:pPr>
    </w:p>
    <w:bookmarkStart w:id="73" w:name="page74"/>
    <w:bookmarkEnd w:id="73"/>
    <w:p>
      <w:pPr>
        <w:ind w:right="80"/>
        <w:spacing w:after="0" w:line="303" w:lineRule="auto"/>
        <w:rPr>
          <w:sz w:val="20"/>
          <w:szCs w:val="20"/>
          <w:color w:val="auto"/>
        </w:rPr>
      </w:pPr>
      <w:r>
        <w:rPr>
          <w:rFonts w:ascii="Arial" w:cs="Arial" w:eastAsia="Arial" w:hAnsi="Arial"/>
          <w:sz w:val="18"/>
          <w:szCs w:val="18"/>
          <w:b w:val="1"/>
          <w:bCs w:val="1"/>
          <w:color w:val="auto"/>
        </w:rPr>
        <w:t>Section 2: EX-32 (Certification Pursuant to 18 U.S.C. Section 1350, As Adopted Pursuant to Section 906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0"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In connection with the Quarterly Report of Capital Bancorp, Inc. (the “Company”) on Form 10-Q for the period ended September 30, 2019,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2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20"/>
                <w:szCs w:val="20"/>
                <w:color w:val="auto"/>
              </w:rPr>
            </w:pPr>
            <w:r>
              <w:rPr>
                <w:rFonts w:ascii="Arial" w:cs="Arial" w:eastAsia="Arial" w:hAnsi="Arial"/>
                <w:sz w:val="18"/>
                <w:szCs w:val="18"/>
                <w:color w:val="auto"/>
              </w:rPr>
              <w:t>Date:  November 13, 2019</w:t>
            </w:r>
          </w:p>
        </w:tc>
        <w:tc>
          <w:tcPr>
            <w:tcW w:w="3460" w:type="dxa"/>
            <w:vAlign w:val="bottom"/>
            <w:gridSpan w:val="4"/>
          </w:tcPr>
          <w:p>
            <w:pPr>
              <w:ind w:left="300"/>
              <w:spacing w:after="0"/>
              <w:rPr>
                <w:sz w:val="20"/>
                <w:szCs w:val="20"/>
                <w:color w:val="auto"/>
              </w:rPr>
            </w:pPr>
            <w:r>
              <w:rPr>
                <w:rFonts w:ascii="Arial" w:cs="Arial" w:eastAsia="Arial" w:hAnsi="Arial"/>
                <w:sz w:val="18"/>
                <w:szCs w:val="18"/>
                <w:color w:val="auto"/>
              </w:rPr>
              <w:t>By: /s/ Ed Barry</w:t>
            </w:r>
          </w:p>
        </w:tc>
      </w:tr>
      <w:tr>
        <w:trPr>
          <w:trHeight w:val="20"/>
        </w:trPr>
        <w:tc>
          <w:tcPr>
            <w:tcW w:w="2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4"/>
        </w:trPr>
        <w:tc>
          <w:tcPr>
            <w:tcW w:w="2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gridSpan w:val="3"/>
          </w:tcPr>
          <w:p>
            <w:pPr>
              <w:ind w:left="780"/>
              <w:spacing w:after="0"/>
              <w:rPr>
                <w:sz w:val="20"/>
                <w:szCs w:val="20"/>
                <w:color w:val="auto"/>
              </w:rPr>
            </w:pPr>
            <w:r>
              <w:rPr>
                <w:rFonts w:ascii="Arial" w:cs="Arial" w:eastAsia="Arial" w:hAnsi="Arial"/>
                <w:sz w:val="18"/>
                <w:szCs w:val="18"/>
                <w:color w:val="auto"/>
              </w:rPr>
              <w:t>Ed Barry</w:t>
            </w:r>
          </w:p>
        </w:tc>
      </w:tr>
      <w:tr>
        <w:trPr>
          <w:trHeight w:val="243"/>
        </w:trPr>
        <w:tc>
          <w:tcPr>
            <w:tcW w:w="2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60" w:type="dxa"/>
            <w:vAlign w:val="bottom"/>
            <w:gridSpan w:val="3"/>
          </w:tcPr>
          <w:p>
            <w:pPr>
              <w:ind w:left="780"/>
              <w:spacing w:after="0"/>
              <w:rPr>
                <w:sz w:val="20"/>
                <w:szCs w:val="20"/>
                <w:color w:val="auto"/>
              </w:rPr>
            </w:pPr>
            <w:r>
              <w:rPr>
                <w:rFonts w:ascii="Arial" w:cs="Arial" w:eastAsia="Arial" w:hAnsi="Arial"/>
                <w:sz w:val="18"/>
                <w:szCs w:val="18"/>
                <w:color w:val="auto"/>
              </w:rPr>
              <w:t>Chief Executive Officer</w:t>
            </w:r>
          </w:p>
        </w:tc>
      </w:tr>
      <w:tr>
        <w:trPr>
          <w:trHeight w:val="604"/>
        </w:trPr>
        <w:tc>
          <w:tcPr>
            <w:tcW w:w="2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60" w:type="dxa"/>
            <w:vAlign w:val="bottom"/>
            <w:gridSpan w:val="3"/>
          </w:tcPr>
          <w:p>
            <w:pPr>
              <w:ind w:left="780"/>
              <w:spacing w:after="0"/>
              <w:rPr>
                <w:sz w:val="20"/>
                <w:szCs w:val="20"/>
                <w:color w:val="auto"/>
              </w:rPr>
            </w:pPr>
            <w:r>
              <w:rPr>
                <w:rFonts w:ascii="Arial" w:cs="Arial" w:eastAsia="Arial" w:hAnsi="Arial"/>
                <w:sz w:val="18"/>
                <w:szCs w:val="18"/>
                <w:color w:val="auto"/>
              </w:rPr>
              <w:t>By: /s/ Alan W. Jackson</w:t>
            </w:r>
          </w:p>
        </w:tc>
      </w:tr>
      <w:tr>
        <w:trPr>
          <w:trHeight w:val="20"/>
        </w:trPr>
        <w:tc>
          <w:tcPr>
            <w:tcW w:w="2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r>
      <w:tr>
        <w:trPr>
          <w:trHeight w:val="214"/>
        </w:trPr>
        <w:tc>
          <w:tcPr>
            <w:tcW w:w="2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gridSpan w:val="3"/>
          </w:tcPr>
          <w:p>
            <w:pPr>
              <w:ind w:left="780"/>
              <w:spacing w:after="0"/>
              <w:rPr>
                <w:sz w:val="20"/>
                <w:szCs w:val="20"/>
                <w:color w:val="auto"/>
              </w:rPr>
            </w:pPr>
            <w:r>
              <w:rPr>
                <w:rFonts w:ascii="Arial" w:cs="Arial" w:eastAsia="Arial" w:hAnsi="Arial"/>
                <w:sz w:val="18"/>
                <w:szCs w:val="18"/>
                <w:color w:val="auto"/>
              </w:rPr>
              <w:t>Alan W. Jackson</w:t>
            </w:r>
          </w:p>
        </w:tc>
      </w:tr>
      <w:tr>
        <w:trPr>
          <w:trHeight w:val="243"/>
        </w:trPr>
        <w:tc>
          <w:tcPr>
            <w:tcW w:w="2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60" w:type="dxa"/>
            <w:vAlign w:val="bottom"/>
            <w:gridSpan w:val="3"/>
          </w:tcPr>
          <w:p>
            <w:pPr>
              <w:ind w:left="78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32"/>
    </w:lvl>
  </w:abstractNum>
  <w:abstractNum w:abstractNumId="12">
    <w:nsid w:val="7FDCC233"/>
    <w:multiLevelType w:val="hybridMultilevel"/>
    <w:lvl w:ilvl="0">
      <w:lvlJc w:val="left"/>
      <w:lvlText w:val="%1"/>
      <w:numFmt w:val="decimal"/>
      <w:start w:val="10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2019-12-28T01:33:07Z</dcterms:created>
  <dcterms:modified xsi:type="dcterms:W3CDTF">2019-12-28T01:33:07Z</dcterms:modified>
</cp:coreProperties>
</file>