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3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FORM 8-K</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0"/>
          <w:szCs w:val="20"/>
          <w:color w:val="auto"/>
        </w:rPr>
        <w:t>Date of Report (Date of earliest event reported): March 16, 2026</w:t>
      </w:r>
    </w:p>
    <w:p>
      <w:pPr>
        <w:spacing w:after="0" w:line="263" w:lineRule="exact"/>
        <w:rPr>
          <w:sz w:val="24"/>
          <w:szCs w:val="24"/>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CAPITAL BANCORP, INC.</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(Exact name of registrant as specified in its charter)</w:t>
      </w:r>
    </w:p>
    <w:p>
      <w:pPr>
        <w:spacing w:after="0" w:line="358" w:lineRule="exact"/>
        <w:rPr>
          <w:sz w:val="24"/>
          <w:szCs w:val="24"/>
          <w:color w:val="auto"/>
        </w:rPr>
      </w:pPr>
    </w:p>
    <w:tbl>
      <w:tblPr>
        <w:tblLayout w:type="fixed"/>
        <w:tblInd w:w="640" w:type="dxa"/>
        <w:tblCellMar>
          <w:top w:w="0" w:type="dxa"/>
          <w:left w:w="0" w:type="dxa"/>
          <w:bottom w:w="0" w:type="dxa"/>
          <w:right w:w="0" w:type="dxa"/>
        </w:tblCellMar>
      </w:tblPr>
      <w:tr>
        <w:trPr>
          <w:trHeight w:val="207"/>
        </w:trPr>
        <w:tc>
          <w:tcPr>
            <w:tcW w:w="1020" w:type="dxa"/>
            <w:vAlign w:val="bottom"/>
          </w:tcPr>
          <w:p>
            <w:pPr>
              <w:spacing w:after="0"/>
              <w:rPr>
                <w:sz w:val="17"/>
                <w:szCs w:val="17"/>
                <w:color w:val="auto"/>
              </w:rPr>
            </w:pPr>
          </w:p>
        </w:tc>
        <w:tc>
          <w:tcPr>
            <w:tcW w:w="740" w:type="dxa"/>
            <w:vAlign w:val="bottom"/>
          </w:tcPr>
          <w:p>
            <w:pPr>
              <w:jc w:val="center"/>
              <w:spacing w:after="0"/>
              <w:rPr>
                <w:sz w:val="20"/>
                <w:szCs w:val="20"/>
                <w:color w:val="auto"/>
              </w:rPr>
            </w:pPr>
            <w:r>
              <w:rPr>
                <w:rFonts w:ascii="Arial" w:cs="Arial" w:eastAsia="Arial" w:hAnsi="Arial"/>
                <w:sz w:val="18"/>
                <w:szCs w:val="18"/>
                <w:color w:val="auto"/>
                <w:w w:val="99"/>
              </w:rPr>
              <w:t>Maryland</w:t>
            </w:r>
          </w:p>
        </w:tc>
        <w:tc>
          <w:tcPr>
            <w:tcW w:w="1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140" w:type="dxa"/>
            <w:vAlign w:val="bottom"/>
            <w:gridSpan w:val="2"/>
          </w:tcPr>
          <w:p>
            <w:pPr>
              <w:jc w:val="right"/>
              <w:ind w:right="1280"/>
              <w:spacing w:after="0"/>
              <w:rPr>
                <w:sz w:val="20"/>
                <w:szCs w:val="20"/>
                <w:color w:val="auto"/>
              </w:rPr>
            </w:pPr>
            <w:r>
              <w:rPr>
                <w:rFonts w:ascii="Arial" w:cs="Arial" w:eastAsia="Arial" w:hAnsi="Arial"/>
                <w:sz w:val="18"/>
                <w:szCs w:val="18"/>
                <w:color w:val="auto"/>
                <w:w w:val="97"/>
              </w:rPr>
              <w:t>001-38671</w:t>
            </w:r>
          </w:p>
        </w:tc>
        <w:tc>
          <w:tcPr>
            <w:tcW w:w="2680" w:type="dxa"/>
            <w:vAlign w:val="bottom"/>
            <w:gridSpan w:val="3"/>
          </w:tcPr>
          <w:p>
            <w:pPr>
              <w:jc w:val="right"/>
              <w:ind w:right="300"/>
              <w:spacing w:after="0"/>
              <w:rPr>
                <w:sz w:val="20"/>
                <w:szCs w:val="20"/>
                <w:color w:val="auto"/>
              </w:rPr>
            </w:pPr>
            <w:r>
              <w:rPr>
                <w:rFonts w:ascii="Arial" w:cs="Arial" w:eastAsia="Arial" w:hAnsi="Arial"/>
                <w:sz w:val="18"/>
                <w:szCs w:val="18"/>
                <w:color w:val="auto"/>
              </w:rPr>
              <w:t>52-2083046</w:t>
            </w:r>
          </w:p>
        </w:tc>
      </w:tr>
      <w:tr>
        <w:trPr>
          <w:trHeight w:val="20"/>
        </w:trPr>
        <w:tc>
          <w:tcPr>
            <w:tcW w:w="10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r>
      <w:tr>
        <w:trPr>
          <w:trHeight w:val="163"/>
        </w:trPr>
        <w:tc>
          <w:tcPr>
            <w:tcW w:w="3680" w:type="dxa"/>
            <w:vAlign w:val="bottom"/>
            <w:gridSpan w:val="3"/>
          </w:tcPr>
          <w:p>
            <w:pPr>
              <w:jc w:val="center"/>
              <w:ind w:right="900"/>
              <w:spacing w:after="0"/>
              <w:rPr>
                <w:sz w:val="20"/>
                <w:szCs w:val="20"/>
                <w:color w:val="auto"/>
              </w:rPr>
            </w:pPr>
            <w:r>
              <w:rPr>
                <w:rFonts w:ascii="Arial" w:cs="Arial" w:eastAsia="Arial" w:hAnsi="Arial"/>
                <w:sz w:val="11"/>
                <w:szCs w:val="11"/>
                <w:color w:val="auto"/>
                <w:w w:val="97"/>
              </w:rPr>
              <w:t>(State or other jurisdiction of incorporation or organization)</w:t>
            </w:r>
          </w:p>
        </w:tc>
        <w:tc>
          <w:tcPr>
            <w:tcW w:w="3220" w:type="dxa"/>
            <w:vAlign w:val="bottom"/>
            <w:gridSpan w:val="3"/>
          </w:tcPr>
          <w:p>
            <w:pPr>
              <w:jc w:val="center"/>
              <w:ind w:right="200"/>
              <w:spacing w:after="0"/>
              <w:rPr>
                <w:sz w:val="20"/>
                <w:szCs w:val="20"/>
                <w:color w:val="auto"/>
              </w:rPr>
            </w:pPr>
            <w:r>
              <w:rPr>
                <w:rFonts w:ascii="Arial" w:cs="Arial" w:eastAsia="Arial" w:hAnsi="Arial"/>
                <w:sz w:val="11"/>
                <w:szCs w:val="11"/>
                <w:color w:val="auto"/>
                <w:w w:val="97"/>
              </w:rPr>
              <w:t>(Commission file number)</w:t>
            </w:r>
          </w:p>
        </w:tc>
        <w:tc>
          <w:tcPr>
            <w:tcW w:w="2680" w:type="dxa"/>
            <w:vAlign w:val="bottom"/>
            <w:gridSpan w:val="3"/>
          </w:tcPr>
          <w:p>
            <w:pPr>
              <w:jc w:val="center"/>
              <w:ind w:left="1028"/>
              <w:spacing w:after="0"/>
              <w:rPr>
                <w:sz w:val="20"/>
                <w:szCs w:val="20"/>
                <w:color w:val="auto"/>
              </w:rPr>
            </w:pPr>
            <w:r>
              <w:rPr>
                <w:rFonts w:ascii="Arial" w:cs="Arial" w:eastAsia="Arial" w:hAnsi="Arial"/>
                <w:sz w:val="11"/>
                <w:szCs w:val="11"/>
                <w:color w:val="auto"/>
                <w:w w:val="98"/>
              </w:rPr>
              <w:t>(IRS Employer Identification No.)</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2275 Research Boulevard, Suite 600, Rockville, Maryland 20850</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(Address of principal executive offices) (Zip Code)</w:t>
      </w:r>
    </w:p>
    <w:p>
      <w:pPr>
        <w:spacing w:after="0" w:line="74"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(301) 468-8848</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Registrant’s telephone number, including area code</w:t>
      </w:r>
    </w:p>
    <w:p>
      <w:pPr>
        <w:spacing w:after="0" w:line="246" w:lineRule="exact"/>
        <w:rPr>
          <w:sz w:val="24"/>
          <w:szCs w:val="24"/>
          <w:color w:val="auto"/>
        </w:rPr>
      </w:pPr>
    </w:p>
    <w:p>
      <w:pPr>
        <w:jc w:val="center"/>
        <w:spacing w:after="0"/>
        <w:rPr>
          <w:sz w:val="20"/>
          <w:szCs w:val="20"/>
          <w:color w:val="auto"/>
        </w:rPr>
      </w:pPr>
      <w:r>
        <w:rPr>
          <w:rFonts w:ascii="Arial" w:cs="Arial" w:eastAsia="Arial" w:hAnsi="Arial"/>
          <w:sz w:val="18"/>
          <w:szCs w:val="18"/>
          <w:u w:val="single" w:color="auto"/>
          <w:color w:val="auto"/>
        </w:rPr>
        <w:t>Not Applicable</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(Former Name or Former Address, if Changed Since Last Report)</w:t>
      </w:r>
    </w:p>
    <w:p>
      <w:pPr>
        <w:spacing w:after="0" w:line="236" w:lineRule="exact"/>
        <w:rPr>
          <w:sz w:val="24"/>
          <w:szCs w:val="24"/>
          <w:color w:val="auto"/>
        </w:rPr>
      </w:pPr>
    </w:p>
    <w:p>
      <w:pPr>
        <w:ind w:right="40"/>
        <w:spacing w:after="0" w:line="28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obligations of the registrant under any of the following provisions:</w:t>
      </w:r>
    </w:p>
    <w:p>
      <w:pPr>
        <w:spacing w:after="0" w:line="180"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00" w:lineRule="exact"/>
        <w:rPr>
          <w:rFonts w:ascii="MS PGothic" w:cs="MS PGothic" w:eastAsia="MS PGothic" w:hAnsi="MS PGothic"/>
          <w:sz w:val="18"/>
          <w:szCs w:val="18"/>
          <w:color w:val="auto"/>
        </w:rPr>
      </w:pPr>
    </w:p>
    <w:p>
      <w:pPr>
        <w:spacing w:after="0" w:line="268"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00" w:lineRule="exact"/>
        <w:rPr>
          <w:rFonts w:ascii="MS PGothic" w:cs="MS PGothic" w:eastAsia="MS PGothic" w:hAnsi="MS PGothic"/>
          <w:sz w:val="18"/>
          <w:szCs w:val="18"/>
          <w:color w:val="auto"/>
        </w:rPr>
      </w:pPr>
    </w:p>
    <w:p>
      <w:pPr>
        <w:spacing w:after="0" w:line="268"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00" w:lineRule="exact"/>
        <w:rPr>
          <w:rFonts w:ascii="MS PGothic" w:cs="MS PGothic" w:eastAsia="MS PGothic" w:hAnsi="MS PGothic"/>
          <w:sz w:val="18"/>
          <w:szCs w:val="18"/>
          <w:color w:val="auto"/>
        </w:rPr>
      </w:pPr>
    </w:p>
    <w:p>
      <w:pPr>
        <w:spacing w:after="0" w:line="268" w:lineRule="exact"/>
        <w:rPr>
          <w:rFonts w:ascii="MS PGothic" w:cs="MS PGothic" w:eastAsia="MS PGothic" w:hAnsi="MS PGothic"/>
          <w:sz w:val="18"/>
          <w:szCs w:val="18"/>
          <w:color w:val="auto"/>
        </w:rPr>
      </w:pPr>
    </w:p>
    <w:p>
      <w:pPr>
        <w:ind w:right="1980" w:firstLine="8"/>
        <w:spacing w:after="0" w:line="504" w:lineRule="auto"/>
        <w:tabs>
          <w:tab w:leader="none" w:pos="362"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 Securities registered pursuant to Section 12(b) of the Act:</w:t>
      </w:r>
    </w:p>
    <w:tbl>
      <w:tblPr>
        <w:tblLayout w:type="fixed"/>
        <w:tblInd w:w="190" w:type="dxa"/>
        <w:tblCellMar>
          <w:top w:w="0" w:type="dxa"/>
          <w:left w:w="0" w:type="dxa"/>
          <w:bottom w:w="0" w:type="dxa"/>
          <w:right w:w="0" w:type="dxa"/>
        </w:tblCellMar>
      </w:tblPr>
      <w:tr>
        <w:trPr>
          <w:trHeight w:val="223"/>
        </w:trPr>
        <w:tc>
          <w:tcPr>
            <w:tcW w:w="4340" w:type="dxa"/>
            <w:vAlign w:val="bottom"/>
            <w:tcBorders>
              <w:top w:val="single" w:sz="8" w:color="auto"/>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Title of Each Class</w:t>
            </w:r>
          </w:p>
        </w:tc>
        <w:tc>
          <w:tcPr>
            <w:tcW w:w="18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Trading Symbol</w:t>
            </w:r>
          </w:p>
        </w:tc>
        <w:tc>
          <w:tcPr>
            <w:tcW w:w="47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Name of Each Exchange on Which Registered</w:t>
            </w:r>
          </w:p>
        </w:tc>
      </w:tr>
      <w:tr>
        <w:trPr>
          <w:trHeight w:val="223"/>
        </w:trPr>
        <w:tc>
          <w:tcPr>
            <w:tcW w:w="434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Common Stock, par value $0.01 per share</w:t>
            </w:r>
          </w:p>
        </w:tc>
        <w:tc>
          <w:tcPr>
            <w:tcW w:w="18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9"/>
              </w:rPr>
              <w:t>CBNK</w:t>
            </w:r>
          </w:p>
        </w:tc>
        <w:tc>
          <w:tcPr>
            <w:tcW w:w="470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8"/>
                <w:szCs w:val="18"/>
                <w:color w:val="auto"/>
              </w:rPr>
              <w:t>NASDAQ Stock Market</w:t>
            </w:r>
          </w:p>
        </w:tc>
      </w:tr>
    </w:tbl>
    <w:p>
      <w:pPr>
        <w:spacing w:after="0" w:line="319" w:lineRule="exact"/>
        <w:rPr>
          <w:sz w:val="24"/>
          <w:szCs w:val="24"/>
          <w:color w:val="auto"/>
        </w:rPr>
      </w:pPr>
    </w:p>
    <w:p>
      <w:pPr>
        <w:ind w:right="860"/>
        <w:spacing w:after="0" w:line="28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2"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39"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664845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9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March 16, 2026, Capital Bancorp, Inc.'s (the "Company"), the bank holding company for Capital Bank, N.A., new stock repurchase program became effective. Under the stock repurchase program, the Company is authorized to repurchase up to $15 million of its common stock, par value $0.01 per share ("Common Stock") or an aggregate of 550,000 shares of Common Stock. The shares authorized to be repurchased represent approximately 3.4% of its issued and outstanding Common Stock as of December 31, 2025. The new stock repurchase program will expire on December 31, 2026, but may be limited or terminated at any time without prior notice.</w:t>
      </w:r>
    </w:p>
    <w:p>
      <w:pPr>
        <w:spacing w:after="0" w:line="5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new stock repurchase program replaces and supersedes the Company's prior stock repurchase program, which was announced in February 2025 and authorized the repurchase of up to $15 million of Common Stock. The Company repurchased 419,643 shares of Common Stock under the prior stock repurchase program, which expired on February 28, 2026.</w:t>
      </w:r>
    </w:p>
    <w:p>
      <w:pPr>
        <w:spacing w:after="0" w:line="49"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color w:val="auto"/>
        </w:rPr>
        <w:t>Under the new stock repurchase program, shares may, at the discretion of management, be repurchased from time to time in open market purchases as market conditions warrant or in privately negotiated transactions, including pursuant to a Rule 10b5-1 plan, all as effected to the extent permitted by applicable law, including pursuant to the safe harbor provided under Rule 10b-18 of the Securities Exchange Act of 1934, as amended. The Company is not obligated to purchase any shares under the program and repurchases may be suspended or terminated at any time without notice. The extent to which the Company repurchases its shares of Common Stock and the timing of such purchases will depend upon market conditions, applicable legal requirements and other considerations as may be considered in the Company's sole discretion.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73660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85" w:right="339" w:bottom="1440" w:gutter="0" w:footer="0" w:header="0"/>
        </w:sectPr>
      </w:pPr>
    </w:p>
    <w:bookmarkStart w:id="2" w:name="page3"/>
    <w:bookmarkEnd w:id="2"/>
    <w:p>
      <w:pPr>
        <w:jc w:val="center"/>
        <w:ind w:right="-59"/>
        <w:spacing w:after="0"/>
        <w:rPr>
          <w:sz w:val="20"/>
          <w:szCs w:val="20"/>
          <w:color w:val="auto"/>
        </w:rPr>
      </w:pPr>
      <w:r>
        <w:rPr>
          <w:rFonts w:ascii="Arial" w:cs="Arial" w:eastAsia="Arial" w:hAnsi="Arial"/>
          <w:sz w:val="18"/>
          <w:szCs w:val="18"/>
          <w:b w:val="1"/>
          <w:bCs w:val="1"/>
          <w:color w:val="auto"/>
        </w:rPr>
        <w:t>SIGNATURES</w:t>
      </w:r>
    </w:p>
    <w:p>
      <w:pPr>
        <w:spacing w:after="0" w:line="252" w:lineRule="exact"/>
        <w:rPr>
          <w:sz w:val="20"/>
          <w:szCs w:val="20"/>
          <w:color w:val="auto"/>
        </w:rPr>
      </w:pPr>
    </w:p>
    <w:p>
      <w:pPr>
        <w:spacing w:after="0" w:line="28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72" w:lineRule="exact"/>
        <w:rPr>
          <w:sz w:val="20"/>
          <w:szCs w:val="20"/>
          <w:color w:val="auto"/>
        </w:rPr>
      </w:pPr>
    </w:p>
    <w:tbl>
      <w:tblPr>
        <w:tblLayout w:type="fixed"/>
        <w:tblInd w:w="1060" w:type="dxa"/>
        <w:tblCellMar>
          <w:top w:w="0" w:type="dxa"/>
          <w:left w:w="0" w:type="dxa"/>
          <w:bottom w:w="0" w:type="dxa"/>
          <w:right w:w="0" w:type="dxa"/>
        </w:tblCellMar>
      </w:tblPr>
      <w:tr>
        <w:trPr>
          <w:trHeight w:val="247"/>
        </w:trPr>
        <w:tc>
          <w:tcPr>
            <w:tcW w:w="3140" w:type="dxa"/>
            <w:vAlign w:val="bottom"/>
          </w:tcPr>
          <w:p>
            <w:pPr>
              <w:spacing w:after="0"/>
              <w:rPr>
                <w:sz w:val="21"/>
                <w:szCs w:val="21"/>
                <w:color w:val="auto"/>
              </w:rPr>
            </w:pPr>
          </w:p>
        </w:tc>
        <w:tc>
          <w:tcPr>
            <w:tcW w:w="3620" w:type="dxa"/>
            <w:vAlign w:val="bottom"/>
            <w:gridSpan w:val="3"/>
          </w:tcPr>
          <w:p>
            <w:pPr>
              <w:ind w:left="1420"/>
              <w:spacing w:after="0"/>
              <w:rPr>
                <w:sz w:val="20"/>
                <w:szCs w:val="20"/>
                <w:color w:val="auto"/>
              </w:rPr>
            </w:pPr>
            <w:r>
              <w:rPr>
                <w:rFonts w:ascii="Arial" w:cs="Arial" w:eastAsia="Arial" w:hAnsi="Arial"/>
                <w:sz w:val="18"/>
                <w:szCs w:val="18"/>
                <w:b w:val="1"/>
                <w:bCs w:val="1"/>
                <w:color w:val="auto"/>
                <w:w w:val="99"/>
              </w:rPr>
              <w:t>CAPITAL BANCORP, INC.</w:t>
            </w:r>
          </w:p>
        </w:tc>
      </w:tr>
      <w:tr>
        <w:trPr>
          <w:trHeight w:val="690"/>
        </w:trPr>
        <w:tc>
          <w:tcPr>
            <w:tcW w:w="3140" w:type="dxa"/>
            <w:vAlign w:val="bottom"/>
          </w:tcPr>
          <w:p>
            <w:pPr>
              <w:spacing w:after="0"/>
              <w:rPr>
                <w:sz w:val="20"/>
                <w:szCs w:val="20"/>
                <w:color w:val="auto"/>
              </w:rPr>
            </w:pPr>
            <w:r>
              <w:rPr>
                <w:rFonts w:ascii="Arial" w:cs="Arial" w:eastAsia="Arial" w:hAnsi="Arial"/>
                <w:sz w:val="18"/>
                <w:szCs w:val="18"/>
                <w:color w:val="auto"/>
              </w:rPr>
              <w:t>Date: March 18, 2026</w:t>
            </w:r>
          </w:p>
        </w:tc>
        <w:tc>
          <w:tcPr>
            <w:tcW w:w="3620" w:type="dxa"/>
            <w:vAlign w:val="bottom"/>
            <w:gridSpan w:val="3"/>
          </w:tcPr>
          <w:p>
            <w:pPr>
              <w:ind w:left="1420"/>
              <w:spacing w:after="0"/>
              <w:rPr>
                <w:sz w:val="20"/>
                <w:szCs w:val="20"/>
                <w:color w:val="auto"/>
              </w:rPr>
            </w:pPr>
            <w:r>
              <w:rPr>
                <w:rFonts w:ascii="Arial" w:cs="Arial" w:eastAsia="Arial" w:hAnsi="Arial"/>
                <w:sz w:val="18"/>
                <w:szCs w:val="18"/>
                <w:color w:val="auto"/>
              </w:rPr>
              <w:t>By: /s/ Jacob Dalaya</w:t>
            </w:r>
          </w:p>
        </w:tc>
      </w:tr>
      <w:tr>
        <w:trPr>
          <w:trHeight w:val="20"/>
        </w:trPr>
        <w:tc>
          <w:tcPr>
            <w:tcW w:w="31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245"/>
        </w:trPr>
        <w:tc>
          <w:tcPr>
            <w:tcW w:w="3140" w:type="dxa"/>
            <w:vAlign w:val="bottom"/>
          </w:tcPr>
          <w:p>
            <w:pPr>
              <w:spacing w:after="0"/>
              <w:rPr>
                <w:sz w:val="21"/>
                <w:szCs w:val="21"/>
                <w:color w:val="auto"/>
              </w:rPr>
            </w:pPr>
          </w:p>
        </w:tc>
        <w:tc>
          <w:tcPr>
            <w:tcW w:w="3620" w:type="dxa"/>
            <w:vAlign w:val="bottom"/>
            <w:gridSpan w:val="3"/>
          </w:tcPr>
          <w:p>
            <w:pPr>
              <w:ind w:left="1420"/>
              <w:spacing w:after="0"/>
              <w:rPr>
                <w:sz w:val="20"/>
                <w:szCs w:val="20"/>
                <w:color w:val="auto"/>
              </w:rPr>
            </w:pPr>
            <w:r>
              <w:rPr>
                <w:rFonts w:ascii="Arial" w:cs="Arial" w:eastAsia="Arial" w:hAnsi="Arial"/>
                <w:sz w:val="18"/>
                <w:szCs w:val="18"/>
                <w:color w:val="auto"/>
              </w:rPr>
              <w:t>Name: Jacob Dalaya</w:t>
            </w:r>
          </w:p>
        </w:tc>
      </w:tr>
      <w:tr>
        <w:trPr>
          <w:trHeight w:val="239"/>
        </w:trPr>
        <w:tc>
          <w:tcPr>
            <w:tcW w:w="3140" w:type="dxa"/>
            <w:vAlign w:val="bottom"/>
          </w:tcPr>
          <w:p>
            <w:pPr>
              <w:spacing w:after="0"/>
              <w:rPr>
                <w:sz w:val="20"/>
                <w:szCs w:val="20"/>
                <w:color w:val="auto"/>
              </w:rPr>
            </w:pPr>
          </w:p>
        </w:tc>
        <w:tc>
          <w:tcPr>
            <w:tcW w:w="3620" w:type="dxa"/>
            <w:vAlign w:val="bottom"/>
            <w:gridSpan w:val="3"/>
          </w:tcPr>
          <w:p>
            <w:pPr>
              <w:ind w:left="1420"/>
              <w:spacing w:after="0"/>
              <w:rPr>
                <w:sz w:val="20"/>
                <w:szCs w:val="20"/>
                <w:color w:val="auto"/>
              </w:rPr>
            </w:pPr>
            <w:r>
              <w:rPr>
                <w:rFonts w:ascii="Arial" w:cs="Arial" w:eastAsia="Arial" w:hAnsi="Arial"/>
                <w:sz w:val="18"/>
                <w:szCs w:val="18"/>
                <w:color w:val="auto"/>
                <w:w w:val="98"/>
              </w:rPr>
              <w:t>Title: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sectPr>
      <w:pgSz w:w="11900" w:h="16838" w:orient="portrait"/>
      <w:cols w:equalWidth="0" w:num="1">
        <w:col w:w="11200"/>
      </w:cols>
      <w:pgMar w:left="320" w:top="890"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2026-03-18T15:09:57Z</dcterms:created>
  <dcterms:modified xsi:type="dcterms:W3CDTF">2026-03-18T15:09:57Z</dcterms:modified>
</cp:coreProperties>
</file>