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SECURITIES</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AND EXCHANGE COMMISSION</w:t>
      </w:r>
    </w:p>
    <w:p>
      <w:pPr>
        <w:spacing w:after="0" w:line="33" w:lineRule="exact"/>
        <w:rPr>
          <w:sz w:val="24"/>
          <w:szCs w:val="24"/>
          <w:color w:val="auto"/>
        </w:rPr>
      </w:pPr>
    </w:p>
    <w:p>
      <w:pPr>
        <w:sectPr>
          <w:pgSz w:w="11900" w:h="16838" w:orient="portrait"/>
          <w:cols w:equalWidth="0" w:num="2">
            <w:col w:w="4880" w:space="60"/>
            <w:col w:w="6480"/>
          </w:cols>
          <w:pgMar w:left="240" w:top="223" w:right="239" w:bottom="1440" w:gutter="0" w:footer="0" w:header="0"/>
        </w:sectPr>
      </w:pPr>
    </w:p>
    <w:p>
      <w:pPr>
        <w:jc w:val="center"/>
        <w:spacing w:after="0"/>
        <w:rPr>
          <w:sz w:val="20"/>
          <w:szCs w:val="20"/>
          <w:color w:val="auto"/>
        </w:rPr>
      </w:pPr>
      <w:r>
        <w:rPr>
          <w:rFonts w:ascii="Arial" w:cs="Arial" w:eastAsia="Arial" w:hAnsi="Arial"/>
          <w:sz w:val="14"/>
          <w:szCs w:val="14"/>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36" w:lineRule="exact"/>
        <w:rPr>
          <w:sz w:val="24"/>
          <w:szCs w:val="24"/>
          <w:color w:val="auto"/>
        </w:rPr>
      </w:pPr>
    </w:p>
    <w:p>
      <w:pPr>
        <w:ind w:right="3960"/>
        <w:spacing w:after="0" w:line="498" w:lineRule="auto"/>
        <w:rPr>
          <w:sz w:val="20"/>
          <w:szCs w:val="20"/>
          <w:color w:val="auto"/>
        </w:rPr>
      </w:pPr>
      <w:r>
        <w:rPr>
          <w:rFonts w:ascii="Times New Roman" w:cs="Times New Roman" w:eastAsia="Times New Roman" w:hAnsi="Times New Roman"/>
          <w:sz w:val="16"/>
          <w:szCs w:val="16"/>
          <w:color w:val="auto"/>
        </w:rPr>
        <w:t xml:space="preserve">x </w:t>
      </w:r>
      <w:r>
        <w:rPr>
          <w:rFonts w:ascii="Arial" w:cs="Arial" w:eastAsia="Arial" w:hAnsi="Arial"/>
          <w:sz w:val="14"/>
          <w:szCs w:val="14"/>
          <w:color w:val="auto"/>
        </w:rPr>
        <w:t>QUARTERLY REPORT PURSUANT TO SECTION 13 OR 15(d) OF THE SECURITIES EXCHANGE ACT OF 1934</w:t>
      </w:r>
      <w:r>
        <w:rPr>
          <w:rFonts w:ascii="Times New Roman" w:cs="Times New Roman" w:eastAsia="Times New Roman" w:hAnsi="Times New Roman"/>
          <w:sz w:val="16"/>
          <w:szCs w:val="16"/>
          <w:color w:val="auto"/>
        </w:rPr>
        <w:t xml:space="preserve"> </w:t>
      </w:r>
      <w:r>
        <w:rPr>
          <w:rFonts w:ascii="Arial" w:cs="Arial" w:eastAsia="Arial" w:hAnsi="Arial"/>
          <w:sz w:val="14"/>
          <w:szCs w:val="14"/>
          <w:color w:val="auto"/>
        </w:rPr>
        <w:t>For the Quarterly Period ended June 30, 2019 OR</w:t>
      </w:r>
    </w:p>
    <w:p>
      <w:pPr>
        <w:sectPr>
          <w:pgSz w:w="11900" w:h="16838" w:orient="portrait"/>
          <w:cols w:equalWidth="0" w:num="1">
            <w:col w:w="11420"/>
          </w:cols>
          <w:pgMar w:left="240" w:top="223" w:right="239" w:bottom="1440" w:gutter="0" w:footer="0" w:header="0"/>
          <w:type w:val="continuous"/>
        </w:sectPr>
      </w:pPr>
    </w:p>
    <w:p>
      <w:pPr>
        <w:spacing w:after="0" w:line="20" w:lineRule="exact"/>
        <w:rPr>
          <w:sz w:val="24"/>
          <w:szCs w:val="24"/>
          <w:color w:val="auto"/>
        </w:rPr>
      </w:pPr>
    </w:p>
    <w:p>
      <w:pPr>
        <w:ind w:right="3840" w:firstLine="8"/>
        <w:spacing w:after="0" w:line="573" w:lineRule="auto"/>
        <w:tabs>
          <w:tab w:leader="none" w:pos="17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line="1" w:lineRule="exact"/>
        <w:rPr>
          <w:rFonts w:ascii="MS PGothic" w:cs="MS PGothic" w:eastAsia="MS PGothic" w:hAnsi="MS PGothic"/>
          <w:sz w:val="14"/>
          <w:szCs w:val="14"/>
          <w:color w:val="auto"/>
        </w:rPr>
      </w:pP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146050</wp:posOffset>
            </wp:positionV>
            <wp:extent cx="288988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988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6"/>
          </w:tcPr>
          <w:p>
            <w:pPr>
              <w:jc w:val="center"/>
              <w:ind w:right="4566"/>
              <w:spacing w:after="0"/>
              <w:rPr>
                <w:sz w:val="20"/>
                <w:szCs w:val="20"/>
                <w:color w:val="auto"/>
              </w:rPr>
            </w:pPr>
            <w:r>
              <w:rPr>
                <w:rFonts w:ascii="Times New Roman" w:cs="Times New Roman" w:eastAsia="Times New Roman" w:hAnsi="Times New Roman"/>
                <w:sz w:val="18"/>
                <w:szCs w:val="18"/>
                <w:b w:val="1"/>
                <w:bCs w:val="1"/>
                <w:color w:val="auto"/>
                <w:w w:val="98"/>
              </w:rPr>
              <w:t>CAPITAL BANCORP, INC.</w:t>
            </w: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0"/>
        </w:trPr>
        <w:tc>
          <w:tcPr>
            <w:tcW w:w="4360" w:type="dxa"/>
            <w:vAlign w:val="bottom"/>
          </w:tcPr>
          <w:p>
            <w:pPr>
              <w:spacing w:after="0"/>
              <w:rPr>
                <w:sz w:val="16"/>
                <w:szCs w:val="16"/>
                <w:color w:val="auto"/>
              </w:rPr>
            </w:pPr>
          </w:p>
        </w:tc>
        <w:tc>
          <w:tcPr>
            <w:tcW w:w="7060" w:type="dxa"/>
            <w:vAlign w:val="bottom"/>
            <w:gridSpan w:val="7"/>
          </w:tcPr>
          <w:p>
            <w:pPr>
              <w:jc w:val="center"/>
              <w:ind w:right="4306"/>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418"/>
        </w:trPr>
        <w:tc>
          <w:tcPr>
            <w:tcW w:w="4360" w:type="dxa"/>
            <w:vAlign w:val="bottom"/>
          </w:tcPr>
          <w:p>
            <w:pPr>
              <w:jc w:val="center"/>
              <w:ind w:left="1210"/>
              <w:spacing w:after="0"/>
              <w:rPr>
                <w:sz w:val="20"/>
                <w:szCs w:val="20"/>
                <w:color w:val="auto"/>
              </w:rPr>
            </w:pPr>
            <w:r>
              <w:rPr>
                <w:rFonts w:ascii="Arial" w:cs="Arial" w:eastAsia="Arial" w:hAnsi="Arial"/>
                <w:sz w:val="16"/>
                <w:szCs w:val="16"/>
                <w:b w:val="1"/>
                <w:bCs w:val="1"/>
                <w:color w:val="auto"/>
              </w:rPr>
              <w:t>Maryland</w:t>
            </w:r>
          </w:p>
        </w:tc>
        <w:tc>
          <w:tcPr>
            <w:tcW w:w="7060" w:type="dxa"/>
            <w:vAlign w:val="bottom"/>
            <w:gridSpan w:val="7"/>
          </w:tcPr>
          <w:p>
            <w:pPr>
              <w:jc w:val="right"/>
              <w:ind w:right="2186"/>
              <w:spacing w:after="0"/>
              <w:rPr>
                <w:sz w:val="20"/>
                <w:szCs w:val="20"/>
                <w:color w:val="auto"/>
              </w:rPr>
            </w:pPr>
            <w:r>
              <w:rPr>
                <w:rFonts w:ascii="Arial" w:cs="Arial" w:eastAsia="Arial" w:hAnsi="Arial"/>
                <w:sz w:val="16"/>
                <w:szCs w:val="16"/>
                <w:b w:val="1"/>
                <w:bCs w:val="1"/>
                <w:color w:val="auto"/>
              </w:rPr>
              <w:t>52-2083046</w:t>
            </w:r>
          </w:p>
        </w:tc>
      </w:tr>
      <w:tr>
        <w:trPr>
          <w:trHeight w:val="35"/>
        </w:trPr>
        <w:tc>
          <w:tcPr>
            <w:tcW w:w="4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r>
      <w:tr>
        <w:trPr>
          <w:trHeight w:val="149"/>
        </w:trPr>
        <w:tc>
          <w:tcPr>
            <w:tcW w:w="4360" w:type="dxa"/>
            <w:vAlign w:val="bottom"/>
          </w:tcPr>
          <w:p>
            <w:pPr>
              <w:jc w:val="center"/>
              <w:ind w:left="123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20" w:type="dxa"/>
            <w:vAlign w:val="bottom"/>
          </w:tcPr>
          <w:p>
            <w:pPr>
              <w:jc w:val="center"/>
              <w:ind w:right="666"/>
              <w:spacing w:after="0"/>
              <w:rPr>
                <w:sz w:val="20"/>
                <w:szCs w:val="20"/>
                <w:color w:val="auto"/>
              </w:rPr>
            </w:pPr>
            <w:r>
              <w:rPr>
                <w:rFonts w:ascii="Arial" w:cs="Arial" w:eastAsia="Arial" w:hAnsi="Arial"/>
                <w:sz w:val="11"/>
                <w:szCs w:val="11"/>
                <w:color w:val="auto"/>
                <w:w w:val="98"/>
              </w:rPr>
              <w:t>(IRS Employer Identification No.)</w:t>
            </w:r>
          </w:p>
        </w:tc>
      </w:tr>
      <w:tr>
        <w:trPr>
          <w:trHeight w:val="297"/>
        </w:trPr>
        <w:tc>
          <w:tcPr>
            <w:tcW w:w="4360" w:type="dxa"/>
            <w:vAlign w:val="bottom"/>
          </w:tcPr>
          <w:p>
            <w:pPr>
              <w:jc w:val="center"/>
              <w:ind w:left="1230"/>
              <w:spacing w:after="0"/>
              <w:rPr>
                <w:sz w:val="20"/>
                <w:szCs w:val="20"/>
                <w:color w:val="auto"/>
              </w:rPr>
            </w:pPr>
            <w:r>
              <w:rPr>
                <w:rFonts w:ascii="Arial" w:cs="Arial" w:eastAsia="Arial" w:hAnsi="Arial"/>
                <w:sz w:val="16"/>
                <w:szCs w:val="16"/>
                <w:b w:val="1"/>
                <w:bCs w:val="1"/>
                <w:color w:val="auto"/>
              </w:rPr>
              <w:t>2275 Research Boulevard, Suite 600,</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32"/>
        </w:trPr>
        <w:tc>
          <w:tcPr>
            <w:tcW w:w="4360" w:type="dxa"/>
            <w:vAlign w:val="bottom"/>
          </w:tcPr>
          <w:p>
            <w:pPr>
              <w:jc w:val="center"/>
              <w:ind w:left="1210"/>
              <w:spacing w:after="0"/>
              <w:rPr>
                <w:sz w:val="20"/>
                <w:szCs w:val="20"/>
                <w:color w:val="auto"/>
              </w:rPr>
            </w:pPr>
            <w:r>
              <w:rPr>
                <w:rFonts w:ascii="Arial" w:cs="Arial" w:eastAsia="Arial" w:hAnsi="Arial"/>
                <w:sz w:val="16"/>
                <w:szCs w:val="16"/>
                <w:b w:val="1"/>
                <w:bCs w:val="1"/>
                <w:color w:val="auto"/>
              </w:rPr>
              <w:t>Rockville, Maryland 20850</w:t>
            </w:r>
          </w:p>
        </w:tc>
        <w:tc>
          <w:tcPr>
            <w:tcW w:w="7060" w:type="dxa"/>
            <w:vAlign w:val="bottom"/>
            <w:gridSpan w:val="7"/>
          </w:tcPr>
          <w:p>
            <w:pPr>
              <w:jc w:val="right"/>
              <w:ind w:right="2386"/>
              <w:spacing w:after="0"/>
              <w:rPr>
                <w:sz w:val="20"/>
                <w:szCs w:val="20"/>
                <w:color w:val="auto"/>
              </w:rPr>
            </w:pPr>
            <w:r>
              <w:rPr>
                <w:rFonts w:ascii="Arial" w:cs="Arial" w:eastAsia="Arial" w:hAnsi="Arial"/>
                <w:sz w:val="16"/>
                <w:szCs w:val="16"/>
                <w:b w:val="1"/>
                <w:bCs w:val="1"/>
                <w:color w:val="auto"/>
              </w:rPr>
              <w:t>20850</w:t>
            </w:r>
          </w:p>
        </w:tc>
      </w:tr>
      <w:tr>
        <w:trPr>
          <w:trHeight w:val="153"/>
        </w:trPr>
        <w:tc>
          <w:tcPr>
            <w:tcW w:w="4360" w:type="dxa"/>
            <w:vAlign w:val="bottom"/>
            <w:tcBorders>
              <w:top w:val="single" w:sz="8" w:color="auto"/>
            </w:tcBorders>
          </w:tcPr>
          <w:p>
            <w:pPr>
              <w:jc w:val="center"/>
              <w:ind w:left="1190"/>
              <w:spacing w:after="0"/>
              <w:rPr>
                <w:sz w:val="20"/>
                <w:szCs w:val="20"/>
                <w:color w:val="auto"/>
              </w:rPr>
            </w:pPr>
            <w:r>
              <w:rPr>
                <w:rFonts w:ascii="Arial" w:cs="Arial" w:eastAsia="Arial" w:hAnsi="Arial"/>
                <w:sz w:val="11"/>
                <w:szCs w:val="11"/>
                <w:color w:val="auto"/>
                <w:w w:val="98"/>
              </w:rPr>
              <w:t>(Address of principal executive offices)</w:t>
            </w: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20" w:type="dxa"/>
            <w:vAlign w:val="bottom"/>
            <w:tcBorders>
              <w:top w:val="single" w:sz="8" w:color="auto"/>
            </w:tcBorders>
          </w:tcPr>
          <w:p>
            <w:pPr>
              <w:jc w:val="center"/>
              <w:ind w:right="686"/>
              <w:spacing w:after="0"/>
              <w:rPr>
                <w:sz w:val="20"/>
                <w:szCs w:val="20"/>
                <w:color w:val="auto"/>
              </w:rPr>
            </w:pPr>
            <w:r>
              <w:rPr>
                <w:rFonts w:ascii="Arial" w:cs="Arial" w:eastAsia="Arial" w:hAnsi="Arial"/>
                <w:sz w:val="11"/>
                <w:szCs w:val="11"/>
                <w:color w:val="auto"/>
                <w:w w:val="99"/>
              </w:rPr>
              <w:t>(Zip Code)</w:t>
            </w:r>
          </w:p>
        </w:tc>
      </w:tr>
      <w:tr>
        <w:trPr>
          <w:trHeight w:val="466"/>
        </w:trPr>
        <w:tc>
          <w:tcPr>
            <w:tcW w:w="436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(301) 468-8848</w:t>
            </w: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39"/>
        </w:trPr>
        <w:tc>
          <w:tcPr>
            <w:tcW w:w="4360" w:type="dxa"/>
            <w:vAlign w:val="bottom"/>
          </w:tcPr>
          <w:p>
            <w:pPr>
              <w:spacing w:after="0"/>
              <w:rPr>
                <w:sz w:val="12"/>
                <w:szCs w:val="12"/>
                <w:color w:val="auto"/>
              </w:rPr>
            </w:pPr>
          </w:p>
        </w:tc>
        <w:tc>
          <w:tcPr>
            <w:tcW w:w="7060" w:type="dxa"/>
            <w:vAlign w:val="bottom"/>
            <w:gridSpan w:val="7"/>
          </w:tcPr>
          <w:p>
            <w:pPr>
              <w:jc w:val="center"/>
              <w:ind w:right="4306"/>
              <w:spacing w:after="0"/>
              <w:rPr>
                <w:sz w:val="20"/>
                <w:szCs w:val="20"/>
                <w:color w:val="auto"/>
              </w:rPr>
            </w:pPr>
            <w:r>
              <w:rPr>
                <w:rFonts w:ascii="Arial" w:cs="Arial" w:eastAsia="Arial" w:hAnsi="Arial"/>
                <w:sz w:val="11"/>
                <w:szCs w:val="11"/>
                <w:color w:val="auto"/>
                <w:w w:val="97"/>
              </w:rPr>
              <w:t>Registrant’s telephone number, including area code</w:t>
            </w:r>
          </w:p>
        </w:tc>
      </w:tr>
      <w:tr>
        <w:trPr>
          <w:trHeight w:val="189"/>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0" w:type="dxa"/>
            <w:vAlign w:val="bottom"/>
            <w:gridSpan w:val="6"/>
          </w:tcPr>
          <w:p>
            <w:pPr>
              <w:jc w:val="center"/>
              <w:ind w:right="4546"/>
              <w:spacing w:after="0"/>
              <w:rPr>
                <w:sz w:val="20"/>
                <w:szCs w:val="20"/>
                <w:color w:val="auto"/>
              </w:rPr>
            </w:pPr>
            <w:r>
              <w:rPr>
                <w:rFonts w:ascii="Arial" w:cs="Arial" w:eastAsia="Arial" w:hAnsi="Arial"/>
                <w:sz w:val="14"/>
                <w:szCs w:val="14"/>
                <w:b w:val="1"/>
                <w:bCs w:val="1"/>
                <w:u w:val="single" w:color="auto"/>
                <w:color w:val="auto"/>
              </w:rPr>
              <w:t>Not Applicable</w:t>
            </w:r>
          </w:p>
        </w:tc>
      </w:tr>
    </w:tbl>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142" w:lineRule="exact"/>
        <w:rPr>
          <w:sz w:val="24"/>
          <w:szCs w:val="24"/>
          <w:color w:val="auto"/>
        </w:rPr>
      </w:pPr>
    </w:p>
    <w:p>
      <w:pPr>
        <w:jc w:val="both"/>
        <w:ind w:firstLine="648"/>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6"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540"/>
        <w:spacing w:after="0" w:line="185" w:lineRule="exact"/>
        <w:rPr>
          <w:sz w:val="20"/>
          <w:szCs w:val="20"/>
          <w:color w:val="auto"/>
        </w:rPr>
      </w:pPr>
      <w:r>
        <w:rPr>
          <w:rFonts w:ascii="Arial" w:cs="Arial" w:eastAsia="Arial" w:hAnsi="Arial"/>
          <w:sz w:val="16"/>
          <w:szCs w:val="16"/>
          <w:color w:val="auto"/>
        </w:rPr>
        <w:t xml:space="preserve">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jc w:val="both"/>
        <w:ind w:firstLine="648"/>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8" w:lineRule="exact"/>
        <w:rPr>
          <w:sz w:val="24"/>
          <w:szCs w:val="24"/>
          <w:color w:val="auto"/>
        </w:rPr>
      </w:pPr>
    </w:p>
    <w:tbl>
      <w:tblPr>
        <w:tblLayout w:type="fixed"/>
        <w:tblInd w:w="254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tcPr>
          <w:p>
            <w:pPr>
              <w:ind w:left="9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9"/>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1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tcPr>
          <w:p>
            <w:pPr>
              <w:ind w:left="9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70"/>
        </w:trPr>
        <w:tc>
          <w:tcPr>
            <w:tcW w:w="17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100" w:type="dxa"/>
            <w:vAlign w:val="bottom"/>
          </w:tcPr>
          <w:p>
            <w:pPr>
              <w:ind w:left="9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6" w:lineRule="exact"/>
        <w:rPr>
          <w:sz w:val="24"/>
          <w:szCs w:val="24"/>
          <w:color w:val="auto"/>
        </w:rPr>
      </w:pPr>
    </w:p>
    <w:p>
      <w:pPr>
        <w:ind w:right="2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x</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9" w:lineRule="exact"/>
        <w:rPr>
          <w:sz w:val="24"/>
          <w:szCs w:val="24"/>
          <w:color w:val="auto"/>
        </w:rPr>
      </w:pPr>
    </w:p>
    <w:p>
      <w:pPr>
        <w:ind w:left="7140"/>
        <w:spacing w:after="0" w:line="185"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p>
    <w:p>
      <w:pPr>
        <w:sectPr>
          <w:pgSz w:w="11900" w:h="16838" w:orient="portrait"/>
          <w:cols w:equalWidth="0" w:num="1">
            <w:col w:w="11420"/>
          </w:cols>
          <w:pgMar w:left="240" w:top="22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54" w:lineRule="exact"/>
        <w:rPr>
          <w:sz w:val="20"/>
          <w:szCs w:val="20"/>
          <w:color w:val="auto"/>
        </w:rPr>
      </w:pPr>
    </w:p>
    <w:tbl>
      <w:tblPr>
        <w:tblLayout w:type="fixed"/>
        <w:tblInd w:w="390" w:type="dxa"/>
        <w:tblCellMar>
          <w:top w:w="0" w:type="dxa"/>
          <w:left w:w="0" w:type="dxa"/>
          <w:bottom w:w="0" w:type="dxa"/>
          <w:right w:w="0" w:type="dxa"/>
        </w:tblCellMar>
      </w:tblPr>
      <w:tr>
        <w:trPr>
          <w:trHeight w:val="203"/>
        </w:trPr>
        <w:tc>
          <w:tcPr>
            <w:tcW w:w="1020" w:type="dxa"/>
            <w:vAlign w:val="bottom"/>
            <w:tcBorders>
              <w:top w:val="single" w:sz="8" w:color="auto"/>
              <w:left w:val="single" w:sz="8" w:color="auto"/>
            </w:tcBorders>
          </w:tcPr>
          <w:p>
            <w:pPr>
              <w:spacing w:after="0"/>
              <w:rPr>
                <w:sz w:val="17"/>
                <w:szCs w:val="17"/>
                <w:color w:val="auto"/>
              </w:rPr>
            </w:pPr>
          </w:p>
        </w:tc>
        <w:tc>
          <w:tcPr>
            <w:tcW w:w="2680" w:type="dxa"/>
            <w:vAlign w:val="bottom"/>
            <w:tcBorders>
              <w:top w:val="single" w:sz="8" w:color="auto"/>
            </w:tcBorders>
            <w:gridSpan w:val="2"/>
          </w:tcPr>
          <w:p>
            <w:pPr>
              <w:jc w:val="center"/>
              <w:ind w:right="15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20" w:type="dxa"/>
            <w:vAlign w:val="bottom"/>
            <w:tcBorders>
              <w:top w:val="single" w:sz="8" w:color="auto"/>
            </w:tcBorders>
            <w:gridSpan w:val="2"/>
          </w:tcPr>
          <w:p>
            <w:pPr>
              <w:jc w:val="center"/>
              <w:ind w:right="1680"/>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right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2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r>
      <w:tr>
        <w:trPr>
          <w:trHeight w:val="291"/>
        </w:trPr>
        <w:tc>
          <w:tcPr>
            <w:tcW w:w="3700" w:type="dxa"/>
            <w:vAlign w:val="bottom"/>
            <w:tcBorders>
              <w:lef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9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9"/>
              </w:rPr>
              <w:t>CBNK</w:t>
            </w:r>
          </w:p>
        </w:tc>
        <w:tc>
          <w:tcPr>
            <w:tcW w:w="4080" w:type="dxa"/>
            <w:vAlign w:val="bottom"/>
            <w:tcBorders>
              <w:right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NASDAQ Stock Market</w:t>
            </w:r>
          </w:p>
        </w:tc>
      </w:tr>
      <w:tr>
        <w:trPr>
          <w:trHeight w:val="27"/>
        </w:trPr>
        <w:tc>
          <w:tcPr>
            <w:tcW w:w="102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July 31, 2019, the Company had 13,724,027 shares of common stock, par value $0.01 per share, outstanding.</w:t>
      </w:r>
    </w:p>
    <w:p>
      <w:pPr>
        <w:sectPr>
          <w:pgSz w:w="11900" w:h="16838" w:orient="portrait"/>
          <w:cols w:equalWidth="0" w:num="1">
            <w:col w:w="11080"/>
          </w:cols>
          <w:pgMar w:left="240" w:top="743" w:right="5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29845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0" w:type="dxa"/>
            <w:vAlign w:val="bottom"/>
            <w:gridSpan w:val="2"/>
          </w:tcPr>
          <w:p>
            <w:pPr>
              <w:spacing w:after="0"/>
              <w:rPr>
                <w:sz w:val="20"/>
                <w:szCs w:val="20"/>
                <w:color w:val="auto"/>
              </w:rPr>
            </w:pPr>
            <w:r>
              <w:rPr>
                <w:rFonts w:ascii="Arial" w:cs="Arial" w:eastAsia="Arial" w:hAnsi="Arial"/>
                <w:sz w:val="16"/>
                <w:szCs w:val="16"/>
                <w:b w:val="1"/>
                <w:bCs w:val="1"/>
                <w:color w:val="auto"/>
              </w:rPr>
              <w:t>PART I - CONSOLIDATED FINANCIAL INFORMATION</w:t>
            </w:r>
          </w:p>
        </w:tc>
        <w:tc>
          <w:tcPr>
            <w:tcW w:w="1580" w:type="dxa"/>
            <w:vAlign w:val="bottom"/>
          </w:tcPr>
          <w:p>
            <w:pPr>
              <w:spacing w:after="0"/>
              <w:rPr>
                <w:sz w:val="16"/>
                <w:szCs w:val="16"/>
                <w:color w:val="auto"/>
              </w:rPr>
            </w:pPr>
          </w:p>
        </w:tc>
        <w:tc>
          <w:tcPr>
            <w:tcW w:w="4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9"/>
              </w:rPr>
              <w:t>Page</w:t>
            </w: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8280" w:type="dxa"/>
            <w:vAlign w:val="bottom"/>
          </w:tcPr>
          <w:p>
            <w:pPr>
              <w:ind w:left="340"/>
              <w:spacing w:after="0"/>
              <w:rPr>
                <w:sz w:val="20"/>
                <w:szCs w:val="20"/>
                <w:color w:val="auto"/>
              </w:rPr>
            </w:pPr>
            <w:r>
              <w:rPr>
                <w:rFonts w:ascii="Arial" w:cs="Arial" w:eastAsia="Arial" w:hAnsi="Arial"/>
                <w:sz w:val="16"/>
                <w:szCs w:val="16"/>
                <w:color w:val="auto"/>
              </w:rPr>
              <w:t>Consolidated Financial Statements</w:t>
            </w:r>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4">
              <w:r>
                <w:rPr>
                  <w:rFonts w:ascii="Arial" w:cs="Arial" w:eastAsia="Arial" w:hAnsi="Arial"/>
                  <w:sz w:val="16"/>
                  <w:szCs w:val="16"/>
                  <w:color w:val="auto"/>
                </w:rPr>
                <w:t>Consolidated Balance Sheets</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5">
              <w:r>
                <w:rPr>
                  <w:rFonts w:ascii="Arial" w:cs="Arial" w:eastAsia="Arial" w:hAnsi="Arial"/>
                  <w:sz w:val="16"/>
                  <w:szCs w:val="16"/>
                  <w:color w:val="auto"/>
                </w:rPr>
                <w:t>Consolidated Statements of Income</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6">
              <w:r>
                <w:rPr>
                  <w:rFonts w:ascii="Arial" w:cs="Arial" w:eastAsia="Arial" w:hAnsi="Arial"/>
                  <w:sz w:val="16"/>
                  <w:szCs w:val="16"/>
                  <w:color w:val="auto"/>
                </w:rPr>
                <w:t>Consolidated Statements of Comprehensive Income</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7">
              <w:r>
                <w:rPr>
                  <w:rFonts w:ascii="Arial" w:cs="Arial" w:eastAsia="Arial" w:hAnsi="Arial"/>
                  <w:sz w:val="16"/>
                  <w:szCs w:val="16"/>
                  <w:color w:val="auto"/>
                </w:rPr>
                <w:t>Consolidated Statements of Changes in Stockholders’ Equity</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8">
              <w:r>
                <w:rPr>
                  <w:rFonts w:ascii="Arial" w:cs="Arial" w:eastAsia="Arial" w:hAnsi="Arial"/>
                  <w:sz w:val="16"/>
                  <w:szCs w:val="16"/>
                  <w:color w:val="auto"/>
                </w:rPr>
                <w:t>Consolidated Statements of Cash Flows</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6</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280" w:type="dxa"/>
            <w:vAlign w:val="bottom"/>
          </w:tcPr>
          <w:p>
            <w:pPr>
              <w:ind w:left="680"/>
              <w:spacing w:after="0"/>
              <w:rPr>
                <w:rFonts w:ascii="Arial" w:cs="Arial" w:eastAsia="Arial" w:hAnsi="Arial"/>
                <w:sz w:val="16"/>
                <w:szCs w:val="16"/>
                <w:color w:val="auto"/>
              </w:rPr>
            </w:pPr>
            <w:hyperlink w:anchor="page10">
              <w:r>
                <w:rPr>
                  <w:rFonts w:ascii="Arial" w:cs="Arial" w:eastAsia="Arial" w:hAnsi="Arial"/>
                  <w:sz w:val="16"/>
                  <w:szCs w:val="16"/>
                  <w:color w:val="auto"/>
                </w:rPr>
                <w:t>Notes to Consolidated Financial Statements</w:t>
              </w:r>
            </w:hyperlink>
          </w:p>
        </w:tc>
        <w:tc>
          <w:tcPr>
            <w:tcW w:w="1820" w:type="dxa"/>
            <w:vAlign w:val="bottom"/>
            <w:gridSpan w:val="3"/>
          </w:tcPr>
          <w:p>
            <w:pPr>
              <w:jc w:val="center"/>
              <w:ind w:left="1659"/>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8</w:t>
              </w:r>
            </w:hyperlink>
          </w:p>
        </w:tc>
        <w:tc>
          <w:tcPr>
            <w:tcW w:w="1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8280" w:type="dxa"/>
            <w:vAlign w:val="bottom"/>
          </w:tcPr>
          <w:p>
            <w:pPr>
              <w:ind w:left="3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820" w:type="dxa"/>
            <w:vAlign w:val="bottom"/>
            <w:gridSpan w:val="3"/>
          </w:tcPr>
          <w:p>
            <w:pPr>
              <w:jc w:val="center"/>
              <w:ind w:left="1559"/>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8280" w:type="dxa"/>
            <w:vAlign w:val="bottom"/>
          </w:tcPr>
          <w:p>
            <w:pPr>
              <w:ind w:left="340"/>
              <w:spacing w:after="0"/>
              <w:rPr>
                <w:sz w:val="20"/>
                <w:szCs w:val="20"/>
                <w:color w:val="auto"/>
              </w:rPr>
            </w:pPr>
            <w:r>
              <w:rPr>
                <w:rFonts w:ascii="Arial" w:cs="Arial" w:eastAsia="Arial" w:hAnsi="Arial"/>
                <w:sz w:val="16"/>
                <w:szCs w:val="16"/>
                <w:color w:val="auto"/>
              </w:rPr>
              <w:t>Quantitative and Qualitative Disclosures about Market Risk</w:t>
            </w:r>
          </w:p>
        </w:tc>
        <w:tc>
          <w:tcPr>
            <w:tcW w:w="1820" w:type="dxa"/>
            <w:vAlign w:val="bottom"/>
            <w:gridSpan w:val="3"/>
          </w:tcPr>
          <w:p>
            <w:pPr>
              <w:jc w:val="center"/>
              <w:ind w:left="1559"/>
              <w:spacing w:after="0"/>
              <w:rPr>
                <w:rFonts w:ascii="Arial" w:cs="Arial" w:eastAsia="Arial" w:hAnsi="Arial"/>
                <w:sz w:val="16"/>
                <w:szCs w:val="16"/>
                <w:color w:val="0000EE"/>
              </w:rPr>
            </w:pPr>
            <w:hyperlink w:anchor="page63">
              <w:r>
                <w:rPr>
                  <w:rFonts w:ascii="Arial" w:cs="Arial" w:eastAsia="Arial" w:hAnsi="Arial"/>
                  <w:sz w:val="16"/>
                  <w:szCs w:val="16"/>
                  <w:color w:val="0000EE"/>
                </w:rPr>
                <w:t>61</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280" w:type="dxa"/>
            <w:vAlign w:val="bottom"/>
          </w:tcPr>
          <w:p>
            <w:pPr>
              <w:ind w:left="340"/>
              <w:spacing w:after="0"/>
              <w:rPr>
                <w:sz w:val="20"/>
                <w:szCs w:val="20"/>
                <w:color w:val="auto"/>
              </w:rPr>
            </w:pPr>
            <w:r>
              <w:rPr>
                <w:rFonts w:ascii="Arial" w:cs="Arial" w:eastAsia="Arial" w:hAnsi="Arial"/>
                <w:sz w:val="16"/>
                <w:szCs w:val="16"/>
                <w:color w:val="auto"/>
              </w:rPr>
              <w:t>Controls and Procedures</w:t>
            </w:r>
          </w:p>
        </w:tc>
        <w:tc>
          <w:tcPr>
            <w:tcW w:w="1820" w:type="dxa"/>
            <w:vAlign w:val="bottom"/>
            <w:gridSpan w:val="3"/>
          </w:tcPr>
          <w:p>
            <w:pPr>
              <w:jc w:val="center"/>
              <w:ind w:left="1559"/>
              <w:spacing w:after="0"/>
              <w:rPr>
                <w:rFonts w:ascii="Arial" w:cs="Arial" w:eastAsia="Arial" w:hAnsi="Arial"/>
                <w:sz w:val="16"/>
                <w:szCs w:val="16"/>
                <w:color w:val="0000EE"/>
              </w:rPr>
            </w:pPr>
            <w:hyperlink w:anchor="page66">
              <w:r>
                <w:rPr>
                  <w:rFonts w:ascii="Arial" w:cs="Arial" w:eastAsia="Arial" w:hAnsi="Arial"/>
                  <w:sz w:val="16"/>
                  <w:szCs w:val="16"/>
                  <w:color w:val="0000EE"/>
                </w:rPr>
                <w:t>64</w:t>
              </w:r>
            </w:hyperlink>
          </w:p>
        </w:tc>
        <w:tc>
          <w:tcPr>
            <w:tcW w:w="160" w:type="dxa"/>
            <w:vAlign w:val="bottom"/>
          </w:tcPr>
          <w:p>
            <w:pPr>
              <w:spacing w:after="0"/>
              <w:rPr>
                <w:sz w:val="19"/>
                <w:szCs w:val="19"/>
                <w:color w:val="auto"/>
              </w:rPr>
            </w:pPr>
          </w:p>
        </w:tc>
      </w:tr>
      <w:tr>
        <w:trPr>
          <w:trHeight w:val="297"/>
        </w:trPr>
        <w:tc>
          <w:tcPr>
            <w:tcW w:w="9200" w:type="dxa"/>
            <w:vAlign w:val="bottom"/>
            <w:gridSpan w:val="2"/>
          </w:tcPr>
          <w:p>
            <w:pPr>
              <w:spacing w:after="0"/>
              <w:rPr>
                <w:sz w:val="20"/>
                <w:szCs w:val="20"/>
                <w:color w:val="auto"/>
              </w:rPr>
            </w:pPr>
            <w:r>
              <w:rPr>
                <w:rFonts w:ascii="Arial" w:cs="Arial" w:eastAsia="Arial" w:hAnsi="Arial"/>
                <w:sz w:val="16"/>
                <w:szCs w:val="16"/>
                <w:b w:val="1"/>
                <w:bCs w:val="1"/>
                <w:color w:val="auto"/>
              </w:rPr>
              <w:t>PART II - OTHER INFORMATION</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8280" w:type="dxa"/>
            <w:vAlign w:val="bottom"/>
          </w:tcPr>
          <w:p>
            <w:pPr>
              <w:ind w:left="340"/>
              <w:spacing w:after="0"/>
              <w:rPr>
                <w:sz w:val="20"/>
                <w:szCs w:val="20"/>
                <w:color w:val="auto"/>
              </w:rPr>
            </w:pPr>
            <w:r>
              <w:rPr>
                <w:rFonts w:ascii="Arial" w:cs="Arial" w:eastAsia="Arial" w:hAnsi="Arial"/>
                <w:sz w:val="16"/>
                <w:szCs w:val="16"/>
                <w:color w:val="auto"/>
              </w:rPr>
              <w:t>Legal Proceedings</w:t>
            </w:r>
          </w:p>
        </w:tc>
        <w:tc>
          <w:tcPr>
            <w:tcW w:w="1820" w:type="dxa"/>
            <w:vAlign w:val="bottom"/>
            <w:gridSpan w:val="3"/>
          </w:tcPr>
          <w:p>
            <w:pPr>
              <w:jc w:val="center"/>
              <w:ind w:left="1559"/>
              <w:spacing w:after="0"/>
              <w:rPr>
                <w:rFonts w:ascii="Arial" w:cs="Arial" w:eastAsia="Arial" w:hAnsi="Arial"/>
                <w:sz w:val="16"/>
                <w:szCs w:val="16"/>
                <w:color w:val="0000EE"/>
              </w:rPr>
            </w:pPr>
            <w:hyperlink w:anchor="page67">
              <w:r>
                <w:rPr>
                  <w:rFonts w:ascii="Arial" w:cs="Arial" w:eastAsia="Arial" w:hAnsi="Arial"/>
                  <w:sz w:val="16"/>
                  <w:szCs w:val="16"/>
                  <w:color w:val="0000EE"/>
                </w:rPr>
                <w:t>65</w:t>
              </w:r>
            </w:hyperlink>
          </w:p>
        </w:tc>
        <w:tc>
          <w:tcPr>
            <w:tcW w:w="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8280" w:type="dxa"/>
            <w:vAlign w:val="bottom"/>
          </w:tcPr>
          <w:p>
            <w:pPr>
              <w:ind w:left="340"/>
              <w:spacing w:after="0"/>
              <w:rPr>
                <w:sz w:val="20"/>
                <w:szCs w:val="20"/>
                <w:color w:val="auto"/>
              </w:rPr>
            </w:pPr>
            <w:r>
              <w:rPr>
                <w:rFonts w:ascii="Arial" w:cs="Arial" w:eastAsia="Arial" w:hAnsi="Arial"/>
                <w:sz w:val="16"/>
                <w:szCs w:val="16"/>
                <w:color w:val="auto"/>
              </w:rPr>
              <w:t>Risk Factors</w:t>
            </w:r>
          </w:p>
        </w:tc>
        <w:tc>
          <w:tcPr>
            <w:tcW w:w="1820" w:type="dxa"/>
            <w:vAlign w:val="bottom"/>
            <w:gridSpan w:val="3"/>
          </w:tcPr>
          <w:p>
            <w:pPr>
              <w:jc w:val="center"/>
              <w:ind w:left="1559"/>
              <w:spacing w:after="0"/>
              <w:rPr>
                <w:rFonts w:ascii="Arial" w:cs="Arial" w:eastAsia="Arial" w:hAnsi="Arial"/>
                <w:sz w:val="16"/>
                <w:szCs w:val="16"/>
                <w:color w:val="0000EE"/>
              </w:rPr>
            </w:pPr>
            <w:hyperlink w:anchor="page67">
              <w:r>
                <w:rPr>
                  <w:rFonts w:ascii="Arial" w:cs="Arial" w:eastAsia="Arial" w:hAnsi="Arial"/>
                  <w:sz w:val="16"/>
                  <w:szCs w:val="16"/>
                  <w:color w:val="0000EE"/>
                </w:rPr>
                <w:t>65</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8280" w:type="dxa"/>
            <w:vAlign w:val="bottom"/>
          </w:tcPr>
          <w:p>
            <w:pPr>
              <w:ind w:left="340"/>
              <w:spacing w:after="0"/>
              <w:rPr>
                <w:sz w:val="20"/>
                <w:szCs w:val="20"/>
                <w:color w:val="auto"/>
              </w:rPr>
            </w:pPr>
            <w:r>
              <w:rPr>
                <w:rFonts w:ascii="Arial" w:cs="Arial" w:eastAsia="Arial" w:hAnsi="Arial"/>
                <w:sz w:val="16"/>
                <w:szCs w:val="16"/>
                <w:color w:val="auto"/>
              </w:rPr>
              <w:t>Unregistered Sales of Equity Securities and Use of Proceeds</w:t>
            </w:r>
          </w:p>
        </w:tc>
        <w:tc>
          <w:tcPr>
            <w:tcW w:w="1820" w:type="dxa"/>
            <w:vAlign w:val="bottom"/>
            <w:gridSpan w:val="3"/>
          </w:tcPr>
          <w:p>
            <w:pPr>
              <w:jc w:val="center"/>
              <w:ind w:left="1559"/>
              <w:spacing w:after="0"/>
              <w:rPr>
                <w:rFonts w:ascii="Arial" w:cs="Arial" w:eastAsia="Arial" w:hAnsi="Arial"/>
                <w:sz w:val="16"/>
                <w:szCs w:val="16"/>
                <w:color w:val="0000EE"/>
              </w:rPr>
            </w:pPr>
            <w:hyperlink w:anchor="page67">
              <w:r>
                <w:rPr>
                  <w:rFonts w:ascii="Arial" w:cs="Arial" w:eastAsia="Arial" w:hAnsi="Arial"/>
                  <w:sz w:val="16"/>
                  <w:szCs w:val="16"/>
                  <w:color w:val="0000EE"/>
                </w:rPr>
                <w:t>65</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8280" w:type="dxa"/>
            <w:vAlign w:val="bottom"/>
          </w:tcPr>
          <w:p>
            <w:pPr>
              <w:ind w:left="340"/>
              <w:spacing w:after="0"/>
              <w:rPr>
                <w:sz w:val="20"/>
                <w:szCs w:val="20"/>
                <w:color w:val="auto"/>
              </w:rPr>
            </w:pPr>
            <w:r>
              <w:rPr>
                <w:rFonts w:ascii="Arial" w:cs="Arial" w:eastAsia="Arial" w:hAnsi="Arial"/>
                <w:sz w:val="16"/>
                <w:szCs w:val="16"/>
                <w:color w:val="auto"/>
              </w:rPr>
              <w:t>Defaults upon Senior Securities</w:t>
            </w:r>
          </w:p>
        </w:tc>
        <w:tc>
          <w:tcPr>
            <w:tcW w:w="1820" w:type="dxa"/>
            <w:vAlign w:val="bottom"/>
            <w:gridSpan w:val="3"/>
          </w:tcPr>
          <w:p>
            <w:pPr>
              <w:jc w:val="center"/>
              <w:ind w:left="1559"/>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280" w:type="dxa"/>
            <w:vAlign w:val="bottom"/>
          </w:tcPr>
          <w:p>
            <w:pPr>
              <w:ind w:left="340"/>
              <w:spacing w:after="0"/>
              <w:rPr>
                <w:sz w:val="20"/>
                <w:szCs w:val="20"/>
                <w:color w:val="auto"/>
              </w:rPr>
            </w:pPr>
            <w:r>
              <w:rPr>
                <w:rFonts w:ascii="Arial" w:cs="Arial" w:eastAsia="Arial" w:hAnsi="Arial"/>
                <w:sz w:val="16"/>
                <w:szCs w:val="16"/>
                <w:color w:val="auto"/>
              </w:rPr>
              <w:t>Mine Safety Disclosures</w:t>
            </w:r>
          </w:p>
        </w:tc>
        <w:tc>
          <w:tcPr>
            <w:tcW w:w="1820" w:type="dxa"/>
            <w:vAlign w:val="bottom"/>
            <w:gridSpan w:val="3"/>
          </w:tcPr>
          <w:p>
            <w:pPr>
              <w:jc w:val="center"/>
              <w:ind w:left="1559"/>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5.</w:t>
            </w:r>
          </w:p>
        </w:tc>
        <w:tc>
          <w:tcPr>
            <w:tcW w:w="8280" w:type="dxa"/>
            <w:vAlign w:val="bottom"/>
          </w:tcPr>
          <w:p>
            <w:pPr>
              <w:ind w:left="340"/>
              <w:spacing w:after="0"/>
              <w:rPr>
                <w:sz w:val="20"/>
                <w:szCs w:val="20"/>
                <w:color w:val="auto"/>
              </w:rPr>
            </w:pPr>
            <w:r>
              <w:rPr>
                <w:rFonts w:ascii="Arial" w:cs="Arial" w:eastAsia="Arial" w:hAnsi="Arial"/>
                <w:sz w:val="16"/>
                <w:szCs w:val="16"/>
                <w:color w:val="auto"/>
              </w:rPr>
              <w:t>Other Information</w:t>
            </w:r>
          </w:p>
        </w:tc>
        <w:tc>
          <w:tcPr>
            <w:tcW w:w="1820" w:type="dxa"/>
            <w:vAlign w:val="bottom"/>
            <w:gridSpan w:val="3"/>
          </w:tcPr>
          <w:p>
            <w:pPr>
              <w:jc w:val="center"/>
              <w:ind w:left="1559"/>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8280" w:type="dxa"/>
            <w:vAlign w:val="bottom"/>
          </w:tcPr>
          <w:p>
            <w:pPr>
              <w:ind w:left="340"/>
              <w:spacing w:after="0"/>
              <w:rPr>
                <w:sz w:val="20"/>
                <w:szCs w:val="20"/>
                <w:color w:val="auto"/>
              </w:rPr>
            </w:pPr>
            <w:r>
              <w:rPr>
                <w:rFonts w:ascii="Arial" w:cs="Arial" w:eastAsia="Arial" w:hAnsi="Arial"/>
                <w:sz w:val="16"/>
                <w:szCs w:val="16"/>
                <w:color w:val="auto"/>
              </w:rPr>
              <w:t>Exhibits</w:t>
            </w:r>
          </w:p>
        </w:tc>
        <w:tc>
          <w:tcPr>
            <w:tcW w:w="1820" w:type="dxa"/>
            <w:vAlign w:val="bottom"/>
            <w:gridSpan w:val="3"/>
          </w:tcPr>
          <w:p>
            <w:pPr>
              <w:jc w:val="center"/>
              <w:ind w:left="1559"/>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c>
          <w:tcPr>
            <w:tcW w:w="1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80"/>
          </w:cols>
          <w:pgMar w:left="280" w:top="69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June 30, 2019</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December 31, 2018</w:t>
            </w:r>
          </w:p>
        </w:tc>
        <w:tc>
          <w:tcPr>
            <w:tcW w:w="0" w:type="dxa"/>
            <w:vAlign w:val="bottom"/>
          </w:tcPr>
          <w:p>
            <w:pPr>
              <w:spacing w:after="0"/>
              <w:rPr>
                <w:sz w:val="1"/>
                <w:szCs w:val="1"/>
                <w:color w:val="auto"/>
              </w:rPr>
            </w:pPr>
          </w:p>
        </w:tc>
      </w:tr>
      <w:tr>
        <w:trPr>
          <w:trHeight w:val="180"/>
        </w:trPr>
        <w:tc>
          <w:tcPr>
            <w:tcW w:w="87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(unaudited)</w:t>
            </w:r>
          </w:p>
        </w:tc>
        <w:tc>
          <w:tcPr>
            <w:tcW w:w="220" w:type="dxa"/>
            <w:vAlign w:val="bottom"/>
          </w:tcPr>
          <w:p>
            <w:pPr>
              <w:spacing w:after="0"/>
              <w:rPr>
                <w:sz w:val="15"/>
                <w:szCs w:val="15"/>
                <w:color w:val="auto"/>
              </w:rPr>
            </w:pPr>
          </w:p>
        </w:tc>
        <w:tc>
          <w:tcPr>
            <w:tcW w:w="1020" w:type="dxa"/>
            <w:vAlign w:val="bottom"/>
          </w:tcPr>
          <w:p>
            <w:pPr>
              <w:jc w:val="right"/>
              <w:ind w:right="288"/>
              <w:spacing w:after="0"/>
              <w:rPr>
                <w:sz w:val="20"/>
                <w:szCs w:val="20"/>
                <w:color w:val="auto"/>
              </w:rPr>
            </w:pPr>
            <w:r>
              <w:rPr>
                <w:rFonts w:ascii="Arial" w:cs="Arial" w:eastAsia="Arial" w:hAnsi="Arial"/>
                <w:sz w:val="13"/>
                <w:szCs w:val="13"/>
                <w:b w:val="1"/>
                <w:bCs w:val="1"/>
                <w:color w:val="auto"/>
              </w:rPr>
              <w:t>(audited)</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due from banks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12,253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Interest bearing deposits at other financial institutions</w:t>
            </w:r>
          </w:p>
        </w:tc>
        <w:tc>
          <w:tcPr>
            <w:tcW w:w="180" w:type="dxa"/>
            <w:vAlign w:val="bottom"/>
          </w:tcPr>
          <w:p>
            <w:pPr>
              <w:spacing w:after="0"/>
              <w:rPr>
                <w:sz w:val="23"/>
                <w:szCs w:val="23"/>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65,284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22,007</w:t>
            </w:r>
          </w:p>
        </w:tc>
        <w:tc>
          <w:tcPr>
            <w:tcW w:w="0" w:type="dxa"/>
            <w:vAlign w:val="bottom"/>
          </w:tcPr>
          <w:p>
            <w:pPr>
              <w:spacing w:after="0"/>
              <w:rPr>
                <w:sz w:val="1"/>
                <w:szCs w:val="1"/>
                <w:color w:val="auto"/>
              </w:rPr>
            </w:pPr>
          </w:p>
        </w:tc>
      </w:t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Federal funds sold</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1,991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2,285</w:t>
            </w:r>
          </w:p>
        </w:tc>
        <w:tc>
          <w:tcPr>
            <w:tcW w:w="0" w:type="dxa"/>
            <w:vAlign w:val="bottom"/>
          </w:tcPr>
          <w:p>
            <w:pPr>
              <w:spacing w:after="0"/>
              <w:rPr>
                <w:sz w:val="1"/>
                <w:szCs w:val="1"/>
                <w:color w:val="auto"/>
              </w:rPr>
            </w:pPr>
          </w:p>
        </w:tc>
      </w:tr>
      <w:tr>
        <w:trPr>
          <w:trHeight w:val="250"/>
        </w:trPr>
        <w:tc>
          <w:tcPr>
            <w:tcW w:w="8700" w:type="dxa"/>
            <w:vAlign w:val="bottom"/>
          </w:tcPr>
          <w:p>
            <w:pPr>
              <w:ind w:left="520"/>
              <w:spacing w:after="0"/>
              <w:rPr>
                <w:sz w:val="20"/>
                <w:szCs w:val="20"/>
                <w:color w:val="auto"/>
              </w:rPr>
            </w:pPr>
            <w:r>
              <w:rPr>
                <w:rFonts w:ascii="Arial" w:cs="Arial" w:eastAsia="Arial" w:hAnsi="Arial"/>
                <w:sz w:val="14"/>
                <w:szCs w:val="14"/>
                <w:color w:val="auto"/>
              </w:rPr>
              <w:t>Total cash and cash equivalents</w:t>
            </w:r>
          </w:p>
        </w:tc>
        <w:tc>
          <w:tcPr>
            <w:tcW w:w="180" w:type="dxa"/>
            <w:vAlign w:val="bottom"/>
          </w:tcPr>
          <w:p>
            <w:pPr>
              <w:spacing w:after="0"/>
              <w:rPr>
                <w:sz w:val="21"/>
                <w:szCs w:val="21"/>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79,528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34,723</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 for sale</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39,157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46,932</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Restricted investments</w:t>
            </w:r>
          </w:p>
        </w:tc>
        <w:tc>
          <w:tcPr>
            <w:tcW w:w="180" w:type="dxa"/>
            <w:vAlign w:val="bottom"/>
          </w:tcPr>
          <w:p>
            <w:pPr>
              <w:spacing w:after="0"/>
              <w:rPr>
                <w:sz w:val="23"/>
                <w:szCs w:val="23"/>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4,137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47,744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18,526</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Loans receivable, net of allowance for loan losses of $11,913 and $11,308 at June 30, 2019 and December 31, 2018, respectively</w:t>
            </w:r>
          </w:p>
        </w:tc>
        <w:tc>
          <w:tcPr>
            <w:tcW w:w="180" w:type="dxa"/>
            <w:vAlign w:val="bottom"/>
          </w:tcPr>
          <w:p>
            <w:pPr>
              <w:spacing w:after="0"/>
              <w:rPr>
                <w:sz w:val="23"/>
                <w:szCs w:val="23"/>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1,044,377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988,960</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Premises and equipment, net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7,202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Accrued interest receivable</w:t>
            </w:r>
          </w:p>
        </w:tc>
        <w:tc>
          <w:tcPr>
            <w:tcW w:w="180" w:type="dxa"/>
            <w:vAlign w:val="bottom"/>
          </w:tcPr>
          <w:p>
            <w:pPr>
              <w:spacing w:after="0"/>
              <w:rPr>
                <w:sz w:val="23"/>
                <w:szCs w:val="23"/>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4,649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4,462</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3,504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Foreclosed real estate</w:t>
            </w:r>
          </w:p>
        </w:tc>
        <w:tc>
          <w:tcPr>
            <w:tcW w:w="180" w:type="dxa"/>
            <w:vAlign w:val="bottom"/>
          </w:tcPr>
          <w:p>
            <w:pPr>
              <w:spacing w:after="0"/>
              <w:rPr>
                <w:sz w:val="23"/>
                <w:szCs w:val="23"/>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149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income taxes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9"/>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3,442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38"/>
        </w:trPr>
        <w:tc>
          <w:tcPr>
            <w:tcW w:w="8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1,234,157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1,105,058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700" w:type="dxa"/>
            <w:vAlign w:val="bottom"/>
          </w:tcPr>
          <w:p>
            <w:pPr>
              <w:ind w:left="40"/>
              <w:spacing w:after="0"/>
              <w:rPr>
                <w:sz w:val="20"/>
                <w:szCs w:val="20"/>
                <w:color w:val="auto"/>
              </w:rPr>
            </w:pPr>
            <w:r>
              <w:rPr>
                <w:rFonts w:ascii="Arial" w:cs="Arial" w:eastAsia="Arial" w:hAnsi="Arial"/>
                <w:sz w:val="14"/>
                <w:szCs w:val="14"/>
                <w:color w:val="auto"/>
              </w:rPr>
              <w:t>Deposits</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xml:space="preserve">Noninterest-bearing, including related party balances of $10,055 and $11,214 at June 30, 2019 and December 31, 2018, respectively </w:t>
            </w:r>
            <w:r>
              <w:rPr>
                <w:rFonts w:ascii="Arial" w:cs="Arial" w:eastAsia="Arial" w:hAnsi="Arial"/>
                <w:sz w:val="14"/>
                <w:szCs w:val="14"/>
                <w:b w:val="1"/>
                <w:bCs w:val="1"/>
                <w:color w:val="auto"/>
              </w:rPr>
              <w:t>$</w:t>
            </w: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279,484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242,259</w:t>
            </w:r>
          </w:p>
        </w:tc>
        <w:tc>
          <w:tcPr>
            <w:tcW w:w="0" w:type="dxa"/>
            <w:vAlign w:val="bottom"/>
          </w:tcPr>
          <w:p>
            <w:pPr>
              <w:spacing w:after="0"/>
              <w:rPr>
                <w:sz w:val="1"/>
                <w:szCs w:val="1"/>
                <w:color w:val="auto"/>
              </w:rPr>
            </w:pPr>
          </w:p>
        </w:tc>
      </w:tr>
      <w:tr>
        <w:trPr>
          <w:trHeight w:val="269"/>
        </w:trPr>
        <w:tc>
          <w:tcPr>
            <w:tcW w:w="8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Interest-bearing, including related party balances of $119,185 and $144,624 at June 30, 2019 and December 31, 2018, respectively</w:t>
            </w: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757,520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712,981</w:t>
            </w:r>
          </w:p>
        </w:tc>
        <w:tc>
          <w:tcPr>
            <w:tcW w:w="0" w:type="dxa"/>
            <w:vAlign w:val="bottom"/>
          </w:tcPr>
          <w:p>
            <w:pPr>
              <w:spacing w:after="0"/>
              <w:rPr>
                <w:sz w:val="1"/>
                <w:szCs w:val="1"/>
                <w:color w:val="auto"/>
              </w:rPr>
            </w:pPr>
          </w:p>
        </w:tc>
      </w:tr>
      <w:tr>
        <w:trPr>
          <w:trHeight w:val="251"/>
        </w:trPr>
        <w:tc>
          <w:tcPr>
            <w:tcW w:w="87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deposits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1,037,004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955,240</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Securities sold under agreements to repurchase</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Federal funds purchased</w:t>
            </w: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Federal Home Loan Bank advances</w:t>
            </w:r>
          </w:p>
        </w:tc>
        <w:tc>
          <w:tcPr>
            <w:tcW w:w="180" w:type="dxa"/>
            <w:vAlign w:val="bottom"/>
          </w:tcPr>
          <w:p>
            <w:pPr>
              <w:spacing w:after="0"/>
              <w:rPr>
                <w:sz w:val="23"/>
                <w:szCs w:val="23"/>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38,889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borrowed funds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15,409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15,393</w:t>
            </w: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color w:val="auto"/>
              </w:rPr>
              <w:t>Accrued interest payable</w:t>
            </w:r>
          </w:p>
        </w:tc>
        <w:tc>
          <w:tcPr>
            <w:tcW w:w="180" w:type="dxa"/>
            <w:vAlign w:val="bottom"/>
          </w:tcPr>
          <w:p>
            <w:pPr>
              <w:spacing w:after="0"/>
              <w:rPr>
                <w:sz w:val="23"/>
                <w:szCs w:val="23"/>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2,039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17,698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10,964</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1,111,039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990,494</w:t>
            </w:r>
          </w:p>
        </w:tc>
        <w:tc>
          <w:tcPr>
            <w:tcW w:w="0" w:type="dxa"/>
            <w:vAlign w:val="bottom"/>
          </w:tcPr>
          <w:p>
            <w:pPr>
              <w:spacing w:after="0"/>
              <w:rPr>
                <w:sz w:val="1"/>
                <w:szCs w:val="1"/>
                <w:color w:val="auto"/>
              </w:rPr>
            </w:pPr>
          </w:p>
        </w:tc>
      </w:tr>
      <w:tr>
        <w:trPr>
          <w:trHeight w:val="265"/>
        </w:trPr>
        <w:tc>
          <w:tcPr>
            <w:tcW w:w="8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8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 $.01 par value; 1,000,000 shares authorized; no shares issued or outstanding at June 30, 2019 and December 31,</w:t>
            </w: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2018</w:t>
            </w:r>
          </w:p>
        </w:tc>
        <w:tc>
          <w:tcPr>
            <w:tcW w:w="18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700" w:type="dxa"/>
            <w:vAlign w:val="bottom"/>
          </w:tcPr>
          <w:p>
            <w:pPr>
              <w:ind w:left="200"/>
              <w:spacing w:after="0"/>
              <w:rPr>
                <w:sz w:val="20"/>
                <w:szCs w:val="20"/>
                <w:color w:val="auto"/>
              </w:rPr>
            </w:pPr>
            <w:r>
              <w:rPr>
                <w:rFonts w:ascii="Arial" w:cs="Arial" w:eastAsia="Arial" w:hAnsi="Arial"/>
                <w:sz w:val="14"/>
                <w:szCs w:val="14"/>
                <w:color w:val="auto"/>
              </w:rPr>
              <w:t>Common stock, $.01 par value; 49,000,000 shares authorized; 13,718,665 and 13,672,479 issued and outstanding at June 30, 2019</w:t>
            </w:r>
          </w:p>
        </w:tc>
        <w:tc>
          <w:tcPr>
            <w:tcW w:w="180" w:type="dxa"/>
            <w:vAlign w:val="bottom"/>
          </w:tcPr>
          <w:p>
            <w:pPr>
              <w:spacing w:after="0"/>
              <w:rPr>
                <w:sz w:val="15"/>
                <w:szCs w:val="15"/>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137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700" w:type="dxa"/>
            <w:vAlign w:val="bottom"/>
          </w:tcPr>
          <w:p>
            <w:pPr>
              <w:ind w:left="360"/>
              <w:spacing w:after="0"/>
              <w:rPr>
                <w:sz w:val="20"/>
                <w:szCs w:val="20"/>
                <w:color w:val="auto"/>
              </w:rPr>
            </w:pPr>
            <w:r>
              <w:rPr>
                <w:rFonts w:ascii="Arial" w:cs="Arial" w:eastAsia="Arial" w:hAnsi="Arial"/>
                <w:sz w:val="14"/>
                <w:szCs w:val="14"/>
                <w:color w:val="auto"/>
              </w:rPr>
              <w:t>and December 31, 2018, respectively</w:t>
            </w: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1"/>
        </w:trPr>
        <w:tc>
          <w:tcPr>
            <w:tcW w:w="8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50,071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49,321</w:t>
            </w:r>
          </w:p>
        </w:tc>
        <w:tc>
          <w:tcPr>
            <w:tcW w:w="0" w:type="dxa"/>
            <w:vAlign w:val="bottom"/>
          </w:tcPr>
          <w:p>
            <w:pPr>
              <w:spacing w:after="0"/>
              <w:rPr>
                <w:sz w:val="1"/>
                <w:szCs w:val="1"/>
                <w:color w:val="auto"/>
              </w:rPr>
            </w:pPr>
          </w:p>
        </w:tc>
      </w:tr>
      <w:tr>
        <w:trPr>
          <w:trHeight w:val="269"/>
        </w:trPr>
        <w:tc>
          <w:tcPr>
            <w:tcW w:w="87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23"/>
                <w:szCs w:val="23"/>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72,940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65,701</w:t>
            </w:r>
          </w:p>
        </w:tc>
        <w:tc>
          <w:tcPr>
            <w:tcW w:w="0" w:type="dxa"/>
            <w:vAlign w:val="bottom"/>
          </w:tcPr>
          <w:p>
            <w:pPr>
              <w:spacing w:after="0"/>
              <w:rPr>
                <w:sz w:val="1"/>
                <w:szCs w:val="1"/>
                <w:color w:val="auto"/>
              </w:rPr>
            </w:pPr>
          </w:p>
        </w:tc>
      </w:tr>
      <w:tr>
        <w:trPr>
          <w:trHeight w:val="270"/>
        </w:trPr>
        <w:tc>
          <w:tcPr>
            <w:tcW w:w="8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123,118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238"/>
        </w:trPr>
        <w:tc>
          <w:tcPr>
            <w:tcW w:w="8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1,234,157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1,105,058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58" w:right="239" w:bottom="1440" w:gutter="0" w:footer="0" w:header="0"/>
        </w:sectPr>
      </w:pPr>
    </w:p>
    <w:p>
      <w:pPr>
        <w:spacing w:after="0" w:line="210"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8" w:right="239"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240"/>
              <w:spacing w:after="0"/>
              <w:rPr>
                <w:sz w:val="20"/>
                <w:szCs w:val="20"/>
                <w:color w:val="auto"/>
              </w:rPr>
            </w:pPr>
            <w:r>
              <w:rPr>
                <w:rFonts w:ascii="Arial" w:cs="Arial" w:eastAsia="Arial" w:hAnsi="Arial"/>
                <w:sz w:val="13"/>
                <w:szCs w:val="13"/>
                <w:b w:val="1"/>
                <w:bCs w:val="1"/>
                <w:color w:val="auto"/>
              </w:rPr>
              <w:t>Three Months Ended June 30,</w:t>
            </w:r>
          </w:p>
        </w:tc>
        <w:tc>
          <w:tcPr>
            <w:tcW w:w="260" w:type="dxa"/>
            <w:vAlign w:val="bottom"/>
          </w:tcPr>
          <w:p>
            <w:pPr>
              <w:spacing w:after="0"/>
              <w:rPr>
                <w:sz w:val="15"/>
                <w:szCs w:val="15"/>
                <w:color w:val="auto"/>
              </w:rPr>
            </w:pPr>
          </w:p>
        </w:tc>
        <w:tc>
          <w:tcPr>
            <w:tcW w:w="2340" w:type="dxa"/>
            <w:vAlign w:val="bottom"/>
            <w:gridSpan w:val="4"/>
          </w:tcPr>
          <w:p>
            <w:pPr>
              <w:jc w:val="right"/>
              <w:ind w:right="388"/>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267"/>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(dollars in thousands except per share data)</w:t>
            </w: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5"/>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income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820" w:type="dxa"/>
            <w:vAlign w:val="bottom"/>
          </w:tcPr>
          <w:p>
            <w:pPr>
              <w:ind w:left="180"/>
              <w:spacing w:after="0"/>
              <w:rPr>
                <w:sz w:val="20"/>
                <w:szCs w:val="20"/>
                <w:color w:val="auto"/>
              </w:rPr>
            </w:pPr>
            <w:r>
              <w:rPr>
                <w:rFonts w:ascii="Arial" w:cs="Arial" w:eastAsia="Arial" w:hAnsi="Arial"/>
                <w:sz w:val="14"/>
                <w:szCs w:val="14"/>
                <w:color w:val="auto"/>
              </w:rPr>
              <w:t>Loans, including fees</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19,804</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16,232</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37,648</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32,500</w:t>
            </w:r>
          </w:p>
        </w:tc>
        <w:tc>
          <w:tcPr>
            <w:tcW w:w="0" w:type="dxa"/>
            <w:vAlign w:val="bottom"/>
          </w:tcPr>
          <w:p>
            <w:pPr>
              <w:spacing w:after="0"/>
              <w:rPr>
                <w:sz w:val="1"/>
                <w:szCs w:val="1"/>
                <w:color w:val="auto"/>
              </w:rPr>
            </w:pPr>
          </w:p>
        </w:tc>
      </w:tr>
      <w:tr>
        <w:trPr>
          <w:trHeight w:val="27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 available for sale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Federal funds sold and other</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interest income</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20,289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16,767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38,607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33,431</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180"/>
              <w:spacing w:after="0"/>
              <w:rPr>
                <w:sz w:val="20"/>
                <w:szCs w:val="20"/>
                <w:color w:val="auto"/>
              </w:rPr>
            </w:pPr>
            <w:r>
              <w:rPr>
                <w:rFonts w:ascii="Arial" w:cs="Arial" w:eastAsia="Arial" w:hAnsi="Arial"/>
                <w:sz w:val="14"/>
                <w:szCs w:val="14"/>
                <w:color w:val="auto"/>
              </w:rPr>
              <w:t>Deposits, includes payments to related parties of $459 and $976 for the three and six</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180"/>
              <w:spacing w:after="0"/>
              <w:rPr>
                <w:sz w:val="20"/>
                <w:szCs w:val="20"/>
                <w:color w:val="auto"/>
              </w:rPr>
            </w:pPr>
            <w:r>
              <w:rPr>
                <w:rFonts w:ascii="Arial" w:cs="Arial" w:eastAsia="Arial" w:hAnsi="Arial"/>
                <w:sz w:val="14"/>
                <w:szCs w:val="14"/>
                <w:color w:val="auto"/>
              </w:rPr>
              <w:t>months ended June 30, 2019, respectively, and $350 and $689 for the three and six</w:t>
            </w:r>
          </w:p>
        </w:tc>
        <w:tc>
          <w:tcPr>
            <w:tcW w:w="34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3,195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6,438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820" w:type="dxa"/>
            <w:vAlign w:val="bottom"/>
          </w:tcPr>
          <w:p>
            <w:pPr>
              <w:ind w:left="180"/>
              <w:spacing w:after="0"/>
              <w:rPr>
                <w:sz w:val="20"/>
                <w:szCs w:val="20"/>
                <w:color w:val="auto"/>
              </w:rPr>
            </w:pPr>
            <w:r>
              <w:rPr>
                <w:rFonts w:ascii="Arial" w:cs="Arial" w:eastAsia="Arial" w:hAnsi="Arial"/>
                <w:sz w:val="14"/>
                <w:szCs w:val="14"/>
                <w:color w:val="auto"/>
              </w:rPr>
              <w:t>months ended June 30, 2018, respectively.</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Borrowed funds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interest expense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3,758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7,332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4,924</w:t>
            </w:r>
          </w:p>
        </w:tc>
        <w:tc>
          <w:tcPr>
            <w:tcW w:w="0" w:type="dxa"/>
            <w:vAlign w:val="bottom"/>
          </w:tcPr>
          <w:p>
            <w:pPr>
              <w:spacing w:after="0"/>
              <w:rPr>
                <w:sz w:val="1"/>
                <w:szCs w:val="1"/>
                <w:color w:val="auto"/>
              </w:rPr>
            </w:pPr>
          </w:p>
        </w:tc>
      </w:tr>
      <w:tr>
        <w:trPr>
          <w:trHeight w:val="265"/>
        </w:trPr>
        <w:tc>
          <w:tcPr>
            <w:tcW w:w="5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16,531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14,122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31,275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28,507</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loan losses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15,854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13,492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30,477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27,362</w:t>
            </w:r>
          </w:p>
        </w:tc>
        <w:tc>
          <w:tcPr>
            <w:tcW w:w="0" w:type="dxa"/>
            <w:vAlign w:val="bottom"/>
          </w:tcPr>
          <w:p>
            <w:pPr>
              <w:spacing w:after="0"/>
              <w:rPr>
                <w:sz w:val="1"/>
                <w:szCs w:val="1"/>
                <w:color w:val="auto"/>
              </w:rPr>
            </w:pPr>
          </w:p>
        </w:tc>
      </w:tr>
      <w:tr>
        <w:trPr>
          <w:trHeight w:val="265"/>
        </w:trPr>
        <w:tc>
          <w:tcPr>
            <w:tcW w:w="5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Noninterest income</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 charges on deposits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69"/>
        </w:trPr>
        <w:tc>
          <w:tcPr>
            <w:tcW w:w="5820" w:type="dxa"/>
            <w:vAlign w:val="bottom"/>
          </w:tcPr>
          <w:p>
            <w:pPr>
              <w:ind w:left="180"/>
              <w:spacing w:after="0"/>
              <w:rPr>
                <w:sz w:val="20"/>
                <w:szCs w:val="20"/>
                <w:color w:val="auto"/>
              </w:rPr>
            </w:pPr>
            <w:r>
              <w:rPr>
                <w:rFonts w:ascii="Arial" w:cs="Arial" w:eastAsia="Arial" w:hAnsi="Arial"/>
                <w:sz w:val="14"/>
                <w:szCs w:val="14"/>
                <w:color w:val="auto"/>
              </w:rPr>
              <w:t>Credit card fees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1,970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3,462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3,017</w:t>
            </w:r>
          </w:p>
        </w:tc>
        <w:tc>
          <w:tcPr>
            <w:tcW w:w="0" w:type="dxa"/>
            <w:vAlign w:val="bottom"/>
          </w:tcPr>
          <w:p>
            <w:pPr>
              <w:spacing w:after="0"/>
              <w:rPr>
                <w:sz w:val="1"/>
                <w:szCs w:val="1"/>
                <w:color w:val="auto"/>
              </w:rPr>
            </w:pPr>
          </w:p>
        </w:tc>
      </w:tr>
      <w:tr>
        <w:trPr>
          <w:trHeight w:val="27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 banking revenue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3,715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6,091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269"/>
        </w:trPr>
        <w:tc>
          <w:tcPr>
            <w:tcW w:w="5820" w:type="dxa"/>
            <w:vAlign w:val="bottom"/>
          </w:tcPr>
          <w:p>
            <w:pPr>
              <w:ind w:left="180"/>
              <w:spacing w:after="0"/>
              <w:rPr>
                <w:sz w:val="20"/>
                <w:szCs w:val="20"/>
                <w:color w:val="auto"/>
              </w:rPr>
            </w:pPr>
            <w:r>
              <w:rPr>
                <w:rFonts w:ascii="Arial" w:cs="Arial" w:eastAsia="Arial" w:hAnsi="Arial"/>
                <w:sz w:val="14"/>
                <w:szCs w:val="14"/>
                <w:color w:val="auto"/>
              </w:rPr>
              <w:t>Gain (loss) on sale of investment securities available for sale</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fees and charges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noninterest income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5,927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10,019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8,417</w:t>
            </w:r>
          </w:p>
        </w:tc>
        <w:tc>
          <w:tcPr>
            <w:tcW w:w="0" w:type="dxa"/>
            <w:vAlign w:val="bottom"/>
          </w:tcPr>
          <w:p>
            <w:pPr>
              <w:spacing w:after="0"/>
              <w:rPr>
                <w:sz w:val="1"/>
                <w:szCs w:val="1"/>
                <w:color w:val="auto"/>
              </w:rPr>
            </w:pPr>
          </w:p>
        </w:tc>
      </w:tr>
      <w:tr>
        <w:trPr>
          <w:trHeight w:val="265"/>
        </w:trPr>
        <w:tc>
          <w:tcPr>
            <w:tcW w:w="5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Salaries and employee benefits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14,898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12,512</w:t>
            </w:r>
          </w:p>
        </w:tc>
        <w:tc>
          <w:tcPr>
            <w:tcW w:w="0" w:type="dxa"/>
            <w:vAlign w:val="bottom"/>
          </w:tcPr>
          <w:p>
            <w:pPr>
              <w:spacing w:after="0"/>
              <w:rPr>
                <w:sz w:val="1"/>
                <w:szCs w:val="1"/>
                <w:color w:val="auto"/>
              </w:rPr>
            </w:pPr>
          </w:p>
        </w:tc>
      </w:tr>
      <w:tr>
        <w:trPr>
          <w:trHeight w:val="269"/>
        </w:trPr>
        <w:tc>
          <w:tcPr>
            <w:tcW w:w="5820" w:type="dxa"/>
            <w:vAlign w:val="bottom"/>
          </w:tcPr>
          <w:p>
            <w:pPr>
              <w:ind w:left="180"/>
              <w:spacing w:after="0"/>
              <w:rPr>
                <w:sz w:val="20"/>
                <w:szCs w:val="20"/>
                <w:color w:val="auto"/>
              </w:rPr>
            </w:pPr>
            <w:r>
              <w:rPr>
                <w:rFonts w:ascii="Arial" w:cs="Arial" w:eastAsia="Arial" w:hAnsi="Arial"/>
                <w:sz w:val="14"/>
                <w:szCs w:val="14"/>
                <w:color w:val="auto"/>
              </w:rPr>
              <w:t>Occupancy and equipment</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1,102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2,196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27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269"/>
        </w:trPr>
        <w:tc>
          <w:tcPr>
            <w:tcW w:w="5820" w:type="dxa"/>
            <w:vAlign w:val="bottom"/>
          </w:tcPr>
          <w:p>
            <w:pPr>
              <w:ind w:left="180"/>
              <w:spacing w:after="0"/>
              <w:rPr>
                <w:sz w:val="20"/>
                <w:szCs w:val="20"/>
                <w:color w:val="auto"/>
              </w:rPr>
            </w:pPr>
            <w:r>
              <w:rPr>
                <w:rFonts w:ascii="Arial" w:cs="Arial" w:eastAsia="Arial" w:hAnsi="Arial"/>
                <w:sz w:val="14"/>
                <w:szCs w:val="14"/>
                <w:color w:val="auto"/>
              </w:rPr>
              <w:t>Data processing</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3,716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7,029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7,222</w:t>
            </w:r>
          </w:p>
        </w:tc>
        <w:tc>
          <w:tcPr>
            <w:tcW w:w="0" w:type="dxa"/>
            <w:vAlign w:val="bottom"/>
          </w:tcPr>
          <w:p>
            <w:pPr>
              <w:spacing w:after="0"/>
              <w:rPr>
                <w:sz w:val="1"/>
                <w:szCs w:val="1"/>
                <w:color w:val="auto"/>
              </w:rPr>
            </w:pPr>
          </w:p>
        </w:tc>
      </w:tr>
      <w:tr>
        <w:trPr>
          <w:trHeight w:val="27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Advertising</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269"/>
        </w:trPr>
        <w:tc>
          <w:tcPr>
            <w:tcW w:w="5820" w:type="dxa"/>
            <w:vAlign w:val="bottom"/>
          </w:tcPr>
          <w:p>
            <w:pPr>
              <w:ind w:left="180"/>
              <w:spacing w:after="0"/>
              <w:rPr>
                <w:sz w:val="20"/>
                <w:szCs w:val="20"/>
                <w:color w:val="auto"/>
              </w:rPr>
            </w:pPr>
            <w:r>
              <w:rPr>
                <w:rFonts w:ascii="Arial" w:cs="Arial" w:eastAsia="Arial" w:hAnsi="Arial"/>
                <w:sz w:val="14"/>
                <w:szCs w:val="14"/>
                <w:color w:val="auto"/>
              </w:rPr>
              <w:t>Loan processing</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645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7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real estate owned expenses,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1,773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3,521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2,983</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noninterest expenses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16,210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13,528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30,540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27,128</w:t>
            </w:r>
          </w:p>
        </w:tc>
        <w:tc>
          <w:tcPr>
            <w:tcW w:w="0" w:type="dxa"/>
            <w:vAlign w:val="bottom"/>
          </w:tcPr>
          <w:p>
            <w:pPr>
              <w:spacing w:after="0"/>
              <w:rPr>
                <w:sz w:val="1"/>
                <w:szCs w:val="1"/>
                <w:color w:val="auto"/>
              </w:rPr>
            </w:pPr>
          </w:p>
        </w:tc>
      </w:tr>
      <w:tr>
        <w:trPr>
          <w:trHeight w:val="250"/>
        </w:trPr>
        <w:tc>
          <w:tcPr>
            <w:tcW w:w="582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5,571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9,956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8,651</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2,516</w:t>
            </w:r>
          </w:p>
        </w:tc>
        <w:tc>
          <w:tcPr>
            <w:tcW w:w="0" w:type="dxa"/>
            <w:vAlign w:val="bottom"/>
          </w:tcPr>
          <w:p>
            <w:pPr>
              <w:spacing w:after="0"/>
              <w:rPr>
                <w:sz w:val="1"/>
                <w:szCs w:val="1"/>
                <w:color w:val="auto"/>
              </w:rPr>
            </w:pPr>
          </w:p>
        </w:tc>
      </w:tr>
      <w:tr>
        <w:trPr>
          <w:trHeight w:val="278"/>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4,023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7,342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6,135</w:t>
            </w:r>
          </w:p>
        </w:tc>
        <w:tc>
          <w:tcPr>
            <w:tcW w:w="0" w:type="dxa"/>
            <w:vAlign w:val="bottom"/>
          </w:tcPr>
          <w:p>
            <w:pPr>
              <w:spacing w:after="0"/>
              <w:rPr>
                <w:sz w:val="1"/>
                <w:szCs w:val="1"/>
                <w:color w:val="auto"/>
              </w:rPr>
            </w:pPr>
          </w:p>
        </w:tc>
      </w:tr>
      <w:tr>
        <w:trPr>
          <w:trHeight w:val="251"/>
        </w:trPr>
        <w:tc>
          <w:tcPr>
            <w:tcW w:w="5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earnings per share</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0.30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0.54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0.29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13,718,665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11,610,540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13,707,631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11,587,188</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13,914,042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11,994,389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13,888,050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11,986,310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726" w:right="239" w:bottom="376"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26" w:right="239" w:bottom="376" w:gutter="0" w:footer="0" w:header="0"/>
          <w:type w:val="continuous"/>
        </w:sectPr>
      </w:pPr>
    </w:p>
    <w:bookmarkStart w:id="5" w:name="page6"/>
    <w:bookmarkEnd w:id="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2340" w:type="dxa"/>
            <w:vAlign w:val="bottom"/>
            <w:gridSpan w:val="4"/>
          </w:tcPr>
          <w:p>
            <w:pPr>
              <w:jc w:val="right"/>
              <w:ind w:right="399"/>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4,023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3,145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7,342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6,135</w:t>
            </w:r>
          </w:p>
        </w:tc>
        <w:tc>
          <w:tcPr>
            <w:tcW w:w="0" w:type="dxa"/>
            <w:vAlign w:val="bottom"/>
          </w:tcPr>
          <w:p>
            <w:pPr>
              <w:spacing w:after="0"/>
              <w:rPr>
                <w:sz w:val="1"/>
                <w:szCs w:val="1"/>
                <w:color w:val="auto"/>
              </w:rPr>
            </w:pPr>
          </w:p>
        </w:tc>
      </w:tr>
      <w:tr>
        <w:trPr>
          <w:trHeight w:val="267"/>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40"/>
              <w:spacing w:after="0"/>
              <w:rPr>
                <w:sz w:val="20"/>
                <w:szCs w:val="20"/>
                <w:color w:val="auto"/>
              </w:rPr>
            </w:pPr>
            <w:r>
              <w:rPr>
                <w:rFonts w:ascii="Arial" w:cs="Arial" w:eastAsia="Arial" w:hAnsi="Arial"/>
                <w:sz w:val="16"/>
                <w:szCs w:val="16"/>
                <w:color w:val="auto"/>
              </w:rPr>
              <w:t>Unrealized gain (loss) on investment securities available for sale</w:t>
            </w:r>
          </w:p>
        </w:tc>
        <w:tc>
          <w:tcPr>
            <w:tcW w:w="28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440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810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realized (gain) loss on sale of investment securities available for</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w:t>
            </w:r>
          </w:p>
        </w:tc>
        <w:tc>
          <w:tcPr>
            <w:tcW w:w="2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6"/>
        </w:trPr>
        <w:tc>
          <w:tcPr>
            <w:tcW w:w="6060" w:type="dxa"/>
            <w:vAlign w:val="bottom"/>
          </w:tcPr>
          <w:p>
            <w:pPr>
              <w:ind w:left="40"/>
              <w:spacing w:after="0"/>
              <w:rPr>
                <w:sz w:val="20"/>
                <w:szCs w:val="20"/>
                <w:color w:val="auto"/>
              </w:rPr>
            </w:pPr>
            <w:r>
              <w:rPr>
                <w:rFonts w:ascii="Arial" w:cs="Arial" w:eastAsia="Arial" w:hAnsi="Arial"/>
                <w:sz w:val="16"/>
                <w:szCs w:val="16"/>
                <w:color w:val="auto"/>
              </w:rPr>
              <w:t>Unrealized gain (loss) on cash flow hedging derivative</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4"/>
        </w:trPr>
        <w:tc>
          <w:tcPr>
            <w:tcW w:w="60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414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779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66"/>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benefit relating to the items above</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300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565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4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4,323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7,907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26" w:right="239" w:bottom="1440" w:gutter="0" w:footer="0" w:header="0"/>
        </w:sectPr>
      </w:pPr>
    </w:p>
    <w:bookmarkStart w:id="6" w:name="page7"/>
    <w:bookmarkEnd w:id="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340" w:type="dxa"/>
            <w:vAlign w:val="bottom"/>
            <w:gridSpan w:val="5"/>
          </w:tcPr>
          <w:p>
            <w:pPr>
              <w:ind w:left="66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3"/>
                <w:szCs w:val="3"/>
                <w:color w:val="auto"/>
              </w:rPr>
            </w:pPr>
          </w:p>
        </w:tc>
        <w:tc>
          <w:tcPr>
            <w:tcW w:w="96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3"/>
                <w:szCs w:val="3"/>
                <w:color w:val="auto"/>
              </w:rPr>
            </w:pPr>
          </w:p>
        </w:tc>
        <w:tc>
          <w:tcPr>
            <w:tcW w:w="14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3"/>
                <w:szCs w:val="3"/>
                <w:color w:val="auto"/>
              </w:rPr>
            </w:pPr>
          </w:p>
        </w:tc>
        <w:tc>
          <w:tcPr>
            <w:tcW w:w="1080" w:type="dxa"/>
            <w:vAlign w:val="bottom"/>
            <w:vMerge w:val="restart"/>
          </w:tcPr>
          <w:p>
            <w:pPr>
              <w:jc w:val="center"/>
              <w:ind w:right="89"/>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78"/>
        </w:trPr>
        <w:tc>
          <w:tcPr>
            <w:tcW w:w="4000" w:type="dxa"/>
            <w:vAlign w:val="bottom"/>
          </w:tcPr>
          <w:p>
            <w:pPr>
              <w:spacing w:after="0"/>
              <w:rPr>
                <w:sz w:val="6"/>
                <w:szCs w:val="6"/>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000" w:type="dxa"/>
            <w:vAlign w:val="bottom"/>
          </w:tcPr>
          <w:p>
            <w:pPr>
              <w:ind w:left="40"/>
              <w:spacing w:after="0"/>
              <w:rPr>
                <w:sz w:val="20"/>
                <w:szCs w:val="20"/>
                <w:color w:val="auto"/>
              </w:rPr>
            </w:pPr>
            <w:r>
              <w:rPr>
                <w:rFonts w:ascii="Arial" w:cs="Arial" w:eastAsia="Arial" w:hAnsi="Arial"/>
                <w:sz w:val="11"/>
                <w:szCs w:val="11"/>
                <w:color w:val="auto"/>
              </w:rPr>
              <w:t>(dollars in thousands)</w:t>
            </w: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5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Comprehensive Loss</w:t>
            </w: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11,537,196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27,051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53,200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80,119</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2,990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investment securities available for sale,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gain on cash flow hedging derivative, net of</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income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4,068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11,551,672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27,601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56,190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83,367</w:t>
            </w:r>
          </w:p>
        </w:tc>
        <w:tc>
          <w:tcPr>
            <w:tcW w:w="0" w:type="dxa"/>
            <w:vAlign w:val="bottom"/>
          </w:tcPr>
          <w:p>
            <w:pPr>
              <w:spacing w:after="0"/>
              <w:rPr>
                <w:sz w:val="1"/>
                <w:szCs w:val="1"/>
                <w:color w:val="auto"/>
              </w:rPr>
            </w:pPr>
          </w:p>
        </w:tc>
      </w:tr>
      <w:tr>
        <w:trPr>
          <w:trHeight w:val="251"/>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loss on investment securities available for sale,</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63,124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36,076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Shares repurchased and retired</w:t>
            </w:r>
          </w:p>
        </w:tc>
        <w:tc>
          <w:tcPr>
            <w:tcW w:w="1160" w:type="dxa"/>
            <w:vAlign w:val="bottom"/>
          </w:tcPr>
          <w:p>
            <w:pPr>
              <w:jc w:val="right"/>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41"/>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11,661,372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59,335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86,994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13,672,479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49,321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65,701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21,706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Adoption of lease standard</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13,712,565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49,825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68,918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118,550</w:t>
            </w:r>
          </w:p>
        </w:tc>
        <w:tc>
          <w:tcPr>
            <w:tcW w:w="0" w:type="dxa"/>
            <w:vAlign w:val="bottom"/>
          </w:tcPr>
          <w:p>
            <w:pPr>
              <w:spacing w:after="0"/>
              <w:rPr>
                <w:sz w:val="1"/>
                <w:szCs w:val="1"/>
                <w:color w:val="auto"/>
              </w:rPr>
            </w:pPr>
          </w:p>
        </w:tc>
      </w:tr>
      <w:tr>
        <w:trPr>
          <w:trHeight w:val="251"/>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41"/>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13,718,665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50,071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72,940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123,118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26"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3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r>
      <w:tr>
        <w:trPr>
          <w:trHeight w:val="265"/>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7,342</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6,135</w:t>
            </w:r>
          </w:p>
        </w:tc>
      </w:tr>
      <w:tr>
        <w:trPr>
          <w:trHeight w:val="274"/>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8800" w:type="dxa"/>
            <w:vAlign w:val="bottom"/>
          </w:tcPr>
          <w:p>
            <w:pPr>
              <w:ind w:left="28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798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1,145</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Provision for losses on mortgage loans sold</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66"/>
        </w:trPr>
        <w:tc>
          <w:tcPr>
            <w:tcW w:w="8800" w:type="dxa"/>
            <w:vAlign w:val="bottom"/>
          </w:tcPr>
          <w:p>
            <w:pPr>
              <w:ind w:left="280"/>
              <w:spacing w:after="0"/>
              <w:rPr>
                <w:sz w:val="20"/>
                <w:szCs w:val="20"/>
                <w:color w:val="auto"/>
              </w:rPr>
            </w:pPr>
            <w:r>
              <w:rPr>
                <w:rFonts w:ascii="Arial" w:cs="Arial" w:eastAsia="Arial" w:hAnsi="Arial"/>
                <w:sz w:val="18"/>
                <w:szCs w:val="18"/>
                <w:color w:val="auto"/>
              </w:rPr>
              <w:t>Provision for off balance sheet credit risk</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amortization on investments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r>
      <w:tr>
        <w:trPr>
          <w:trHeight w:val="266"/>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546</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66"/>
        </w:trPr>
        <w:tc>
          <w:tcPr>
            <w:tcW w:w="8800" w:type="dxa"/>
            <w:vAlign w:val="bottom"/>
          </w:tcPr>
          <w:p>
            <w:pPr>
              <w:ind w:left="280"/>
              <w:spacing w:after="0"/>
              <w:rPr>
                <w:sz w:val="20"/>
                <w:szCs w:val="20"/>
                <w:color w:val="auto"/>
              </w:rPr>
            </w:pPr>
            <w:r>
              <w:rPr>
                <w:rFonts w:ascii="Arial" w:cs="Arial" w:eastAsia="Arial" w:hAnsi="Arial"/>
                <w:sz w:val="18"/>
                <w:szCs w:val="18"/>
                <w:color w:val="auto"/>
              </w:rPr>
              <w:t>Director and employee compensation paid in Company stock</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 benefit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66"/>
        </w:trPr>
        <w:tc>
          <w:tcPr>
            <w:tcW w:w="8800" w:type="dxa"/>
            <w:vAlign w:val="bottom"/>
          </w:tcPr>
          <w:p>
            <w:pPr>
              <w:ind w:left="280"/>
              <w:spacing w:after="0"/>
              <w:rPr>
                <w:sz w:val="20"/>
                <w:szCs w:val="20"/>
                <w:color w:val="auto"/>
              </w:rPr>
            </w:pPr>
            <w:r>
              <w:rPr>
                <w:rFonts w:ascii="Arial" w:cs="Arial" w:eastAsia="Arial" w:hAnsi="Arial"/>
                <w:sz w:val="18"/>
                <w:szCs w:val="18"/>
                <w:color w:val="auto"/>
              </w:rPr>
              <w:t>Amortization of debt issuance expense</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loss on sale of securities available for sale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66"/>
        </w:trPr>
        <w:tc>
          <w:tcPr>
            <w:tcW w:w="8800" w:type="dxa"/>
            <w:vAlign w:val="bottom"/>
          </w:tcPr>
          <w:p>
            <w:pPr>
              <w:ind w:left="280"/>
              <w:spacing w:after="0"/>
              <w:rPr>
                <w:sz w:val="20"/>
                <w:szCs w:val="20"/>
                <w:color w:val="auto"/>
              </w:rPr>
            </w:pPr>
            <w:r>
              <w:rPr>
                <w:rFonts w:ascii="Arial" w:cs="Arial" w:eastAsia="Arial" w:hAnsi="Arial"/>
                <w:sz w:val="18"/>
                <w:szCs w:val="18"/>
                <w:color w:val="auto"/>
              </w:rPr>
              <w:t>Loss on sale of foreclosed real estate</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Mortgage banking revenue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w:t>
            </w:r>
          </w:p>
        </w:tc>
      </w:tr>
      <w:tr>
        <w:trPr>
          <w:trHeight w:val="266"/>
        </w:trPr>
        <w:tc>
          <w:tcPr>
            <w:tcW w:w="8800" w:type="dxa"/>
            <w:vAlign w:val="bottom"/>
          </w:tcPr>
          <w:p>
            <w:pPr>
              <w:ind w:left="280"/>
              <w:spacing w:after="0"/>
              <w:rPr>
                <w:sz w:val="20"/>
                <w:szCs w:val="20"/>
                <w:color w:val="auto"/>
              </w:rPr>
            </w:pPr>
            <w:r>
              <w:rPr>
                <w:rFonts w:ascii="Arial" w:cs="Arial" w:eastAsia="Arial" w:hAnsi="Arial"/>
                <w:sz w:val="18"/>
                <w:szCs w:val="18"/>
                <w:color w:val="auto"/>
              </w:rPr>
              <w:t>Proceeds from sales of loans held for sale</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186,305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193,155</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Originations of loans held for sale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(209,432)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(183,317)</w:t>
            </w:r>
          </w:p>
        </w:tc>
      </w:tr>
      <w:tr>
        <w:trPr>
          <w:trHeight w:val="265"/>
        </w:trPr>
        <w:tc>
          <w:tcPr>
            <w:tcW w:w="880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interest receivable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66"/>
        </w:trPr>
        <w:tc>
          <w:tcPr>
            <w:tcW w:w="8800" w:type="dxa"/>
            <w:vAlign w:val="bottom"/>
          </w:tcPr>
          <w:p>
            <w:pPr>
              <w:ind w:left="380"/>
              <w:spacing w:after="0"/>
              <w:rPr>
                <w:sz w:val="20"/>
                <w:szCs w:val="20"/>
                <w:color w:val="auto"/>
              </w:rPr>
            </w:pPr>
            <w:r>
              <w:rPr>
                <w:rFonts w:ascii="Arial" w:cs="Arial" w:eastAsia="Arial" w:hAnsi="Arial"/>
                <w:sz w:val="18"/>
                <w:szCs w:val="18"/>
                <w:color w:val="auto"/>
              </w:rPr>
              <w:t>Prepaid income taxes and taxes payable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956</w:t>
            </w:r>
          </w:p>
        </w:tc>
      </w:tr>
      <w:tr>
        <w:trPr>
          <w:trHeight w:val="274"/>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r>
      <w:tr>
        <w:trPr>
          <w:trHeight w:val="266"/>
        </w:trPr>
        <w:tc>
          <w:tcPr>
            <w:tcW w:w="8800" w:type="dxa"/>
            <w:vAlign w:val="bottom"/>
          </w:tcPr>
          <w:p>
            <w:pPr>
              <w:ind w:left="380"/>
              <w:spacing w:after="0"/>
              <w:rPr>
                <w:sz w:val="20"/>
                <w:szCs w:val="20"/>
                <w:color w:val="auto"/>
              </w:rPr>
            </w:pPr>
            <w:r>
              <w:rPr>
                <w:rFonts w:ascii="Arial" w:cs="Arial" w:eastAsia="Arial" w:hAnsi="Arial"/>
                <w:sz w:val="18"/>
                <w:szCs w:val="18"/>
                <w:color w:val="auto"/>
              </w:rPr>
              <w:t>Accrued interest payable</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274"/>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1,357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r>
      <w:tr>
        <w:trPr>
          <w:trHeight w:val="246"/>
        </w:trPr>
        <w:tc>
          <w:tcPr>
            <w:tcW w:w="8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(used) by operating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(19,697)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15,101</w:t>
            </w:r>
          </w:p>
        </w:tc>
      </w:tr>
      <w:tr>
        <w:trPr>
          <w:trHeight w:val="321"/>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9"/>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1"/>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securities available for sale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6"/>
        </w:trPr>
        <w:tc>
          <w:tcPr>
            <w:tcW w:w="8800" w:type="dxa"/>
            <w:vAlign w:val="bottom"/>
          </w:tcPr>
          <w:p>
            <w:pPr>
              <w:ind w:left="180"/>
              <w:spacing w:after="0"/>
              <w:rPr>
                <w:sz w:val="20"/>
                <w:szCs w:val="20"/>
                <w:color w:val="auto"/>
              </w:rPr>
            </w:pPr>
            <w:r>
              <w:rPr>
                <w:rFonts w:ascii="Arial" w:cs="Arial" w:eastAsia="Arial" w:hAnsi="Arial"/>
                <w:sz w:val="18"/>
                <w:szCs w:val="18"/>
                <w:color w:val="auto"/>
              </w:rPr>
              <w:t>Maturities, calls and principal paydowns of securities available for sale</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13,444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3,036</w:t>
            </w:r>
          </w:p>
        </w:tc>
      </w:tr>
      <w:tr>
        <w:trPr>
          <w:trHeight w:val="274"/>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securities available for sale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r>
      <w:tr>
        <w:trPr>
          <w:trHeight w:val="266"/>
        </w:trPr>
        <w:tc>
          <w:tcPr>
            <w:tcW w:w="8800" w:type="dxa"/>
            <w:vAlign w:val="bottom"/>
          </w:tcPr>
          <w:p>
            <w:pPr>
              <w:ind w:left="180"/>
              <w:spacing w:after="0"/>
              <w:rPr>
                <w:sz w:val="20"/>
                <w:szCs w:val="20"/>
                <w:color w:val="auto"/>
              </w:rPr>
            </w:pPr>
            <w:r>
              <w:rPr>
                <w:rFonts w:ascii="Arial" w:cs="Arial" w:eastAsia="Arial" w:hAnsi="Arial"/>
                <w:sz w:val="18"/>
                <w:szCs w:val="18"/>
                <w:color w:val="auto"/>
              </w:rPr>
              <w:t>Purchases of restricted investments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74"/>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loans receivable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(56,272)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(34,521)</w:t>
            </w:r>
          </w:p>
        </w:tc>
      </w:tr>
      <w:tr>
        <w:trPr>
          <w:trHeight w:val="266"/>
        </w:trPr>
        <w:tc>
          <w:tcPr>
            <w:tcW w:w="8800" w:type="dxa"/>
            <w:vAlign w:val="bottom"/>
          </w:tcPr>
          <w:p>
            <w:pPr>
              <w:ind w:left="180"/>
              <w:spacing w:after="0"/>
              <w:rPr>
                <w:sz w:val="20"/>
                <w:szCs w:val="20"/>
                <w:color w:val="auto"/>
              </w:rPr>
            </w:pPr>
            <w:r>
              <w:rPr>
                <w:rFonts w:ascii="Arial" w:cs="Arial" w:eastAsia="Arial" w:hAnsi="Arial"/>
                <w:sz w:val="18"/>
                <w:szCs w:val="18"/>
                <w:color w:val="auto"/>
              </w:rPr>
              <w:t>Net (purchases) disposals of premises and equipment</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74"/>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foreclosed real estate</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46"/>
        </w:trPr>
        <w:tc>
          <w:tcPr>
            <w:tcW w:w="8800" w:type="dxa"/>
            <w:vAlign w:val="bottom"/>
          </w:tcPr>
          <w:p>
            <w:pPr>
              <w:ind w:left="500"/>
              <w:spacing w:after="0"/>
              <w:rPr>
                <w:sz w:val="20"/>
                <w:szCs w:val="20"/>
                <w:color w:val="auto"/>
              </w:rPr>
            </w:pPr>
            <w:r>
              <w:rPr>
                <w:rFonts w:ascii="Arial" w:cs="Arial" w:eastAsia="Arial" w:hAnsi="Arial"/>
                <w:sz w:val="18"/>
                <w:szCs w:val="18"/>
                <w:color w:val="auto"/>
              </w:rPr>
              <w:t>Net cash used by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(48,972)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(31,996)</w:t>
            </w:r>
          </w:p>
        </w:tc>
      </w:tr>
    </w:tbl>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94"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3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r>
      <w:tr>
        <w:trPr>
          <w:trHeight w:val="262"/>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4"/>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increase (decrease) in:</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8800" w:type="dxa"/>
            <w:vAlign w:val="bottom"/>
          </w:tcPr>
          <w:p>
            <w:pPr>
              <w:ind w:left="280"/>
              <w:spacing w:after="0"/>
              <w:rPr>
                <w:sz w:val="20"/>
                <w:szCs w:val="20"/>
                <w:color w:val="auto"/>
              </w:rPr>
            </w:pPr>
            <w:r>
              <w:rPr>
                <w:rFonts w:ascii="Arial" w:cs="Arial" w:eastAsia="Arial" w:hAnsi="Arial"/>
                <w:sz w:val="16"/>
                <w:szCs w:val="16"/>
                <w:color w:val="auto"/>
              </w:rPr>
              <w:t>Noninterest bearing deposits</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37,225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40,726</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bearing deposits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44,539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(7,260)</w:t>
            </w:r>
          </w:p>
        </w:tc>
      </w:tr>
      <w:tr>
        <w:trPr>
          <w:trHeight w:val="266"/>
        </w:trPr>
        <w:tc>
          <w:tcPr>
            <w:tcW w:w="880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1,184</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 funds purchased</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6"/>
        </w:trPr>
        <w:tc>
          <w:tcPr>
            <w:tcW w:w="8800" w:type="dxa"/>
            <w:vAlign w:val="bottom"/>
          </w:tcPr>
          <w:p>
            <w:pPr>
              <w:ind w:left="280"/>
              <w:spacing w:after="0"/>
              <w:rPr>
                <w:sz w:val="20"/>
                <w:szCs w:val="20"/>
                <w:color w:val="auto"/>
              </w:rPr>
            </w:pPr>
            <w:r>
              <w:rPr>
                <w:rFonts w:ascii="Arial" w:cs="Arial" w:eastAsia="Arial" w:hAnsi="Arial"/>
                <w:sz w:val="16"/>
                <w:szCs w:val="16"/>
                <w:color w:val="auto"/>
              </w:rPr>
              <w:t>Federal Home Loan Bank advances, net</w:t>
            </w: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36,889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borrowed funds</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66"/>
        </w:trPr>
        <w:tc>
          <w:tcPr>
            <w:tcW w:w="880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4"/>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r>
      <w:tr>
        <w:trPr>
          <w:trHeight w:val="266"/>
        </w:trPr>
        <w:tc>
          <w:tcPr>
            <w:tcW w:w="8800" w:type="dxa"/>
            <w:vAlign w:val="bottom"/>
          </w:tcPr>
          <w:p>
            <w:pPr>
              <w:ind w:left="180"/>
              <w:spacing w:after="0"/>
              <w:rPr>
                <w:sz w:val="20"/>
                <w:szCs w:val="20"/>
                <w:color w:val="auto"/>
              </w:rPr>
            </w:pPr>
            <w:r>
              <w:rPr>
                <w:rFonts w:ascii="Arial" w:cs="Arial" w:eastAsia="Arial" w:hAnsi="Arial"/>
                <w:sz w:val="16"/>
                <w:szCs w:val="16"/>
                <w:color w:val="auto"/>
              </w:rPr>
              <w:t>Proceeds from shares issued</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250"/>
        </w:trPr>
        <w:tc>
          <w:tcPr>
            <w:tcW w:w="88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113,474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33,288</w:t>
            </w:r>
          </w:p>
        </w:tc>
      </w:tr>
      <w:tr>
        <w:trPr>
          <w:trHeight w:val="321"/>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44,805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16,393</w:t>
            </w:r>
          </w:p>
        </w:tc>
      </w:tr>
      <w:tr>
        <w:trPr>
          <w:trHeight w:val="324"/>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34,723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52,311</w:t>
            </w:r>
          </w:p>
        </w:tc>
      </w:tr>
      <w:tr>
        <w:trPr>
          <w:trHeight w:val="321"/>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79,528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68,704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96"/>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Loans transferred to foreclosed real estate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r>
      <w:tr>
        <w:trPr>
          <w:trHeight w:val="22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unrealized gains (losses) on investments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Change in fair value of cash flow hedging derivative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r>
        <w:trPr>
          <w:trHeight w:val="22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Establishment of lease right-of-use asset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Establishment of lease liability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5,358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79"/>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6"/>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paid during the period for:</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9"/>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8800" w:type="dxa"/>
            <w:vAlign w:val="bottom"/>
          </w:tcPr>
          <w:p>
            <w:pPr>
              <w:ind w:left="18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9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690245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Capital Bancorp, Inc. is a Maryland corporation and bank holding company (the “Company”) for Capital Bank, N.A. (the “Bank”). The Company's primary operations are conducted by the Bank, which operates branches in Rockville, Columbia and North Bethesda, Maryland, Reston, Virginia, and the District of Columbia. The Bank is principally engaged in the business of investing in commercial, real estate, and credit card loans and attracting deposits. The Company conducts mortgage business through Capital Bank Home Loans, formerly Church Street Mortgage, our residential mortgage banking arm; and credit card business through OpenSky®, a secured, digitally-driven nationwide credit card platform.</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Bank also originates residential mortgages for sale in the secondary market. The Company formed Church Street Capital, LLC (“Church Street Capital”) in 2014 to provide short-term secured real estate financing to Washington, D.C. area investors and developers that may not meet all Bank credit criteria.</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4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October 2018, the Company completed its initial public offering (“IPO”) of 2,563,046 shares of its common stock at a price to the public of $12.50 per share, 1,834,310 shares of which were sold by the Company and 728,736 shares of which were sold by certain of the Company’s shareholders (the “selling shareholders”). The net proceeds to the Company from the IPO were $19.8 million after deducting the underwriting discount and offering expenses of $3.2 million. The Company did not receive any proceeds from the sales of shares by the selling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a single business segment.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On August 15, 2018, the Company completed a four-for-one stock split of the Company's authorized, issued, and outstanding common stock, par value $0.01 per share (the “Stock Split”). At the effective time of the Stock Split, each share of the Company's issued and outstanding common stock was automatically increased to four shares issued and outstanding. No fractional shares were issued in connection with the Stock Split. All share and share-related information presented in these consolidated financial statements have been retroactively adjusted to reflect the increased number of shares resulting from the Stock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Accounting Policies:</w:t>
      </w:r>
    </w:p>
    <w:p>
      <w:pPr>
        <w:spacing w:after="0" w:line="22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basis of the estimates is on historical experience and on various other assumptions that are believed to be reasonable under current circumstances, results of which form the basis for making judgments about the carrying value of certain assets and liabilities that are</w:t>
      </w:r>
    </w:p>
    <w:p>
      <w:pPr>
        <w:sectPr>
          <w:pgSz w:w="11900" w:h="16838" w:orient="portrait"/>
          <w:cols w:equalWidth="0" w:num="1">
            <w:col w:w="11420"/>
          </w:cols>
          <w:pgMar w:left="240" w:top="699"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99" w:right="2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not readily available from other sources. Estimates are evaluated on an ongoing basis. Actual results may differ from these estimates under different assumptions or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 bearing deposits with financial institutions and federal funds sold. Generally, federal funds are sold for one-day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will be charged to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intangible asset recorded for the value of such servicing. Interest on loans held for sale is credited to income based on the principal amounts outstanding.</w:t>
      </w:r>
    </w:p>
    <w:p>
      <w:pPr>
        <w:spacing w:after="0" w:line="17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9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elected to measure loans held for sale at fair value to better align reported results with the underlying economic changes in value of the loans on the Company’s balance sheet.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Loans are stated at the principal amount outstanding, adjusted for deferred origination fees, deferred origination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 interest is 90 days past due and collateral is insufficient to discharge the debt in full. Generally, interest payments on nonaccrual loans are recorded as a reduction of the principal balance.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are considered impaired when, based on current information, management believes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26"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The Company may consider interest rate reductions, changes to payment terms, extensions of maturities and/or principal reductions.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for qualitative factors. There may be an unallocated component of the allowance, which reflects the margin of imprecision inherent in the underlying assumptions used in the method for estimating specific and general losses in the portfolio. Actual loan performance may differ from those estimates. A loss is recognized as a charge to the allowance when management believes that collection of the loan is unlikely. Collections of loans previously charged off are added to the allowance at the time of recovery.</w:t>
      </w:r>
    </w:p>
    <w:p>
      <w:pPr>
        <w:spacing w:after="0" w:line="1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determine the allowance for loan losses based on the accumulation of various components that are calculated independently in accordance with ASC 450 for pools of loans, ASC 310 for Troubled Debt Restructuring, and ASC 310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Premises and equipment are stated at cost less accumulated depreciation and amortization over two to seven years. Depreciation and amortization are computed using the straight-line method over the estimated useful lives of the related property. Leasehold improvements are amortized over the estimated useful lives of the improvements, approximately ten years, or the term of the lease, whichever is less. Expenditures for maintenance, repairs, and minor replacements are charged to noninterest expenses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During the first quarter of 2019, 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applies a right-of-use (“ROU”) model that requires a lessee to record, for all leases with a lease term of more than 12 months, an asset representing its right to use the underlying asset and a liability to make lease payments. The Company has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has elected not to apply the recognition requirements of ASC 842 to short-term leases, defined as leases with a term of</w:t>
      </w: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26"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12 months or less, and to recognize the lease payments in net income on short-term leases on a straight-line basis over the lease term.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adopted the guidance using the modified retrospective approach on January 1, 2019 and elected the practical expedients for transition including the transition option provided in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which allowed the Company to initially apply the new leases standard at the adoption date. Consequently, the reporting for the comparative periods presented continued to be in accordance with ASC Topic 840, </w:t>
      </w:r>
      <w:r>
        <w:rPr>
          <w:rFonts w:ascii="Arial" w:cs="Arial" w:eastAsia="Arial" w:hAnsi="Arial"/>
          <w:sz w:val="18"/>
          <w:szCs w:val="18"/>
          <w:i w:val="1"/>
          <w:iCs w:val="1"/>
          <w:color w:val="auto"/>
        </w:rPr>
        <w:t>Leases</w:t>
      </w:r>
      <w:r>
        <w:rPr>
          <w:rFonts w:ascii="Arial" w:cs="Arial" w:eastAsia="Arial" w:hAnsi="Arial"/>
          <w:sz w:val="18"/>
          <w:szCs w:val="18"/>
          <w:color w:val="auto"/>
        </w:rPr>
        <w:t>. Therefore, the 2018 financial results and disclosures have not been adjusted.</w:t>
      </w:r>
    </w:p>
    <w:p>
      <w:pPr>
        <w:spacing w:after="0" w:line="17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is largely accounting for our existing operating leases consistent with prior guidance except for the incremental balance sheet recognition for leases. The adoption of this standard resulted in the Company recognizing lease right-of-use assets and related lease liabilities totaling $5.2 million and $5.4 million, respectively, as of January 1, 2019. The difference between the lease assets and the lease liabilities was $146 thousand of deferred rent, which was reclassified to lease liabilities, and the remainder was recorded as an adjustment to retained earnings in the amount of $54 thousand. The adoption of this ASU did not have a significant impact on the Company’s consolidated statement of income. See Note 5 for Leases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manages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Financial Accounting Standards Board (“FASB”) Accounting Standards Codification (“ASC”) 815-10,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The Company recognizes all derivatives as either assets or liabilities on the 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maximize the use of observable inputs and</w:t>
      </w: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26"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minimize the use of unobservable inputs.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See the Fair Value note to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June 30, 2019 and 2018, there were 273,600 and 263,252 stock options, respectively, that were not included in the calculation as their effect would have been anti-dilutive. The following is a reconciliation of the numerators and denominators used in computing basic and diluted earnings per common share as adjusted for the Stock Split:</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8"/>
          </w:tcPr>
          <w:p>
            <w:pPr>
              <w:ind w:left="1000"/>
              <w:spacing w:after="0"/>
              <w:rPr>
                <w:sz w:val="20"/>
                <w:szCs w:val="20"/>
                <w:color w:val="auto"/>
              </w:rPr>
            </w:pPr>
            <w:r>
              <w:rPr>
                <w:rFonts w:ascii="Arial" w:cs="Arial" w:eastAsia="Arial" w:hAnsi="Arial"/>
                <w:sz w:val="14"/>
                <w:szCs w:val="14"/>
                <w:b w:val="1"/>
                <w:bCs w:val="1"/>
                <w:color w:val="auto"/>
              </w:rPr>
              <w:t>For the Three Months Ended June 30,</w:t>
            </w: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4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66"/>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133"/>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6"/>
              </w:rPr>
              <w:t>Income</w:t>
            </w:r>
          </w:p>
        </w:tc>
        <w:tc>
          <w:tcPr>
            <w:tcW w:w="146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6"/>
              </w:rPr>
              <w:t>Shares</w:t>
            </w:r>
          </w:p>
        </w:tc>
        <w:tc>
          <w:tcPr>
            <w:tcW w:w="900" w:type="dxa"/>
            <w:vAlign w:val="bottom"/>
            <w:gridSpan w:val="3"/>
          </w:tcPr>
          <w:p>
            <w:pPr>
              <w:jc w:val="right"/>
              <w:ind w:right="220"/>
              <w:spacing w:after="0" w:line="133" w:lineRule="exact"/>
              <w:rPr>
                <w:sz w:val="20"/>
                <w:szCs w:val="20"/>
                <w:color w:val="auto"/>
              </w:rPr>
            </w:pPr>
            <w:r>
              <w:rPr>
                <w:rFonts w:ascii="Arial" w:cs="Arial" w:eastAsia="Arial" w:hAnsi="Arial"/>
                <w:sz w:val="13"/>
                <w:szCs w:val="13"/>
                <w:b w:val="1"/>
                <w:bCs w:val="1"/>
                <w:color w:val="auto"/>
              </w:rPr>
              <w:t>Per Share</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Arial" w:cs="Arial" w:eastAsia="Arial" w:hAnsi="Arial"/>
                <w:sz w:val="13"/>
                <w:szCs w:val="13"/>
                <w:color w:val="auto"/>
                <w:w w:val="98"/>
              </w:rPr>
              <w:t>Income</w:t>
            </w:r>
          </w:p>
        </w:tc>
        <w:tc>
          <w:tcPr>
            <w:tcW w:w="14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7"/>
              </w:rPr>
              <w:t>Shares</w:t>
            </w:r>
          </w:p>
        </w:tc>
        <w:tc>
          <w:tcPr>
            <w:tcW w:w="800" w:type="dxa"/>
            <w:vAlign w:val="bottom"/>
            <w:gridSpan w:val="2"/>
          </w:tcPr>
          <w:p>
            <w:pPr>
              <w:jc w:val="right"/>
              <w:ind w:right="45"/>
              <w:spacing w:after="0" w:line="133" w:lineRule="exact"/>
              <w:rPr>
                <w:sz w:val="20"/>
                <w:szCs w:val="20"/>
                <w:color w:val="auto"/>
              </w:rPr>
            </w:pPr>
            <w:r>
              <w:rPr>
                <w:rFonts w:ascii="Arial" w:cs="Arial" w:eastAsia="Arial" w:hAnsi="Arial"/>
                <w:sz w:val="13"/>
                <w:szCs w:val="13"/>
                <w:color w:val="auto"/>
              </w:rPr>
              <w:t>Per Share</w:t>
            </w:r>
          </w:p>
        </w:tc>
      </w:tr>
      <w:tr>
        <w:trPr>
          <w:trHeight w:val="182"/>
        </w:trPr>
        <w:tc>
          <w:tcPr>
            <w:tcW w:w="4020" w:type="dxa"/>
            <w:vAlign w:val="bottom"/>
          </w:tcPr>
          <w:p>
            <w:pPr>
              <w:ind w:left="40"/>
              <w:spacing w:after="0"/>
              <w:rPr>
                <w:sz w:val="20"/>
                <w:szCs w:val="20"/>
                <w:color w:val="auto"/>
              </w:rPr>
            </w:pPr>
            <w:r>
              <w:rPr>
                <w:rFonts w:ascii="Arial" w:cs="Arial" w:eastAsia="Arial" w:hAnsi="Arial"/>
                <w:sz w:val="11"/>
                <w:szCs w:val="11"/>
                <w:color w:val="auto"/>
              </w:rPr>
              <w:t>(dollars in thousands, except per share information)</w:t>
            </w:r>
          </w:p>
        </w:tc>
        <w:tc>
          <w:tcPr>
            <w:tcW w:w="20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(Numerator)</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(Denominator)</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color w:val="auto"/>
                <w:w w:val="96"/>
              </w:rPr>
              <w:t>(Numerator)</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(Denominator)</w:t>
            </w:r>
          </w:p>
        </w:tc>
        <w:tc>
          <w:tcPr>
            <w:tcW w:w="1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Arial" w:cs="Arial" w:eastAsia="Arial" w:hAnsi="Arial"/>
                <w:sz w:val="13"/>
                <w:szCs w:val="13"/>
                <w:color w:val="auto"/>
                <w:w w:val="98"/>
              </w:rPr>
              <w:t>Amount</w:t>
            </w:r>
          </w:p>
        </w:tc>
      </w:tr>
      <w:tr>
        <w:trPr>
          <w:trHeight w:val="268"/>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EPS</w:t>
            </w:r>
          </w:p>
        </w:tc>
        <w:tc>
          <w:tcPr>
            <w:tcW w:w="2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97"/>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available to common stockholders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b w:val="1"/>
                <w:bCs w:val="1"/>
                <w:color w:val="auto"/>
              </w:rPr>
              <w:t>4,023</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27"/>
              <w:spacing w:after="0"/>
              <w:rPr>
                <w:sz w:val="20"/>
                <w:szCs w:val="20"/>
                <w:color w:val="auto"/>
              </w:rPr>
            </w:pPr>
            <w:r>
              <w:rPr>
                <w:rFonts w:ascii="Arial" w:cs="Arial" w:eastAsia="Arial" w:hAnsi="Arial"/>
                <w:sz w:val="16"/>
                <w:szCs w:val="16"/>
                <w:b w:val="1"/>
                <w:bCs w:val="1"/>
                <w:color w:val="auto"/>
              </w:rPr>
              <w:t>13,718,665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0.30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3,145</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11,610,540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0.27</w:t>
            </w:r>
          </w:p>
        </w:tc>
      </w:tr>
      <w:tr>
        <w:trPr>
          <w:trHeight w:val="278"/>
        </w:trPr>
        <w:tc>
          <w:tcPr>
            <w:tcW w:w="4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6"/>
        </w:trPr>
        <w:tc>
          <w:tcPr>
            <w:tcW w:w="402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2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27"/>
              <w:spacing w:after="0"/>
              <w:rPr>
                <w:sz w:val="20"/>
                <w:szCs w:val="20"/>
                <w:color w:val="auto"/>
              </w:rPr>
            </w:pPr>
            <w:r>
              <w:rPr>
                <w:rFonts w:ascii="Arial" w:cs="Arial" w:eastAsia="Arial" w:hAnsi="Arial"/>
                <w:sz w:val="16"/>
                <w:szCs w:val="16"/>
                <w:b w:val="1"/>
                <w:bCs w:val="1"/>
                <w:color w:val="auto"/>
              </w:rPr>
              <w:t>195,377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6"/>
              <w:spacing w:after="0"/>
              <w:rPr>
                <w:sz w:val="20"/>
                <w:szCs w:val="20"/>
                <w:color w:val="auto"/>
              </w:rPr>
            </w:pPr>
            <w:r>
              <w:rPr>
                <w:rFonts w:ascii="Arial" w:cs="Arial" w:eastAsia="Arial" w:hAnsi="Arial"/>
                <w:sz w:val="16"/>
                <w:szCs w:val="16"/>
                <w:color w:val="auto"/>
              </w:rPr>
              <w:t>383,849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9"/>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Dilutive EPS per common share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b w:val="1"/>
                <w:bCs w:val="1"/>
                <w:color w:val="auto"/>
              </w:rPr>
              <w:t>4,023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13,914,042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CCEEFF"/>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3,145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11,994,389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CCEEFF"/>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0.26</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26"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8"/>
          </w:tcPr>
          <w:p>
            <w:pPr>
              <w:ind w:left="1100"/>
              <w:spacing w:after="0"/>
              <w:rPr>
                <w:sz w:val="20"/>
                <w:szCs w:val="20"/>
                <w:color w:val="auto"/>
              </w:rPr>
            </w:pPr>
            <w:r>
              <w:rPr>
                <w:rFonts w:ascii="Arial" w:cs="Arial" w:eastAsia="Arial" w:hAnsi="Arial"/>
                <w:sz w:val="14"/>
                <w:szCs w:val="14"/>
                <w:b w:val="1"/>
                <w:bCs w:val="1"/>
                <w:color w:val="auto"/>
              </w:rPr>
              <w:t>For the Six Months Ended June 30,</w:t>
            </w: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4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66"/>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133"/>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6"/>
              </w:rPr>
              <w:t>Income</w:t>
            </w:r>
          </w:p>
        </w:tc>
        <w:tc>
          <w:tcPr>
            <w:tcW w:w="146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6"/>
              </w:rPr>
              <w:t>Shares</w:t>
            </w:r>
          </w:p>
        </w:tc>
        <w:tc>
          <w:tcPr>
            <w:tcW w:w="900" w:type="dxa"/>
            <w:vAlign w:val="bottom"/>
            <w:gridSpan w:val="3"/>
          </w:tcPr>
          <w:p>
            <w:pPr>
              <w:jc w:val="right"/>
              <w:ind w:right="220"/>
              <w:spacing w:after="0" w:line="133" w:lineRule="exact"/>
              <w:rPr>
                <w:sz w:val="20"/>
                <w:szCs w:val="20"/>
                <w:color w:val="auto"/>
              </w:rPr>
            </w:pPr>
            <w:r>
              <w:rPr>
                <w:rFonts w:ascii="Arial" w:cs="Arial" w:eastAsia="Arial" w:hAnsi="Arial"/>
                <w:sz w:val="13"/>
                <w:szCs w:val="13"/>
                <w:b w:val="1"/>
                <w:bCs w:val="1"/>
                <w:color w:val="auto"/>
              </w:rPr>
              <w:t>Per Share</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Arial" w:cs="Arial" w:eastAsia="Arial" w:hAnsi="Arial"/>
                <w:sz w:val="13"/>
                <w:szCs w:val="13"/>
                <w:color w:val="auto"/>
                <w:w w:val="98"/>
              </w:rPr>
              <w:t>Income</w:t>
            </w:r>
          </w:p>
        </w:tc>
        <w:tc>
          <w:tcPr>
            <w:tcW w:w="14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7"/>
              </w:rPr>
              <w:t>Shares</w:t>
            </w:r>
          </w:p>
        </w:tc>
        <w:tc>
          <w:tcPr>
            <w:tcW w:w="800" w:type="dxa"/>
            <w:vAlign w:val="bottom"/>
            <w:gridSpan w:val="2"/>
          </w:tcPr>
          <w:p>
            <w:pPr>
              <w:jc w:val="right"/>
              <w:ind w:right="45"/>
              <w:spacing w:after="0" w:line="133" w:lineRule="exact"/>
              <w:rPr>
                <w:sz w:val="20"/>
                <w:szCs w:val="20"/>
                <w:color w:val="auto"/>
              </w:rPr>
            </w:pPr>
            <w:r>
              <w:rPr>
                <w:rFonts w:ascii="Arial" w:cs="Arial" w:eastAsia="Arial" w:hAnsi="Arial"/>
                <w:sz w:val="13"/>
                <w:szCs w:val="13"/>
                <w:color w:val="auto"/>
              </w:rPr>
              <w:t>Per Share</w:t>
            </w:r>
          </w:p>
        </w:tc>
      </w:tr>
      <w:tr>
        <w:trPr>
          <w:trHeight w:val="182"/>
        </w:trPr>
        <w:tc>
          <w:tcPr>
            <w:tcW w:w="4020" w:type="dxa"/>
            <w:vAlign w:val="bottom"/>
          </w:tcPr>
          <w:p>
            <w:pPr>
              <w:ind w:left="40"/>
              <w:spacing w:after="0"/>
              <w:rPr>
                <w:sz w:val="20"/>
                <w:szCs w:val="20"/>
                <w:color w:val="auto"/>
              </w:rPr>
            </w:pPr>
            <w:r>
              <w:rPr>
                <w:rFonts w:ascii="Arial" w:cs="Arial" w:eastAsia="Arial" w:hAnsi="Arial"/>
                <w:sz w:val="11"/>
                <w:szCs w:val="11"/>
                <w:color w:val="auto"/>
              </w:rPr>
              <w:t>(dollars in thousands, except per share information)</w:t>
            </w:r>
          </w:p>
        </w:tc>
        <w:tc>
          <w:tcPr>
            <w:tcW w:w="20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(Numerator)</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(Denominator)</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color w:val="auto"/>
                <w:w w:val="96"/>
              </w:rPr>
              <w:t>(Numerator)</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(Denominator)</w:t>
            </w:r>
          </w:p>
        </w:tc>
        <w:tc>
          <w:tcPr>
            <w:tcW w:w="1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Arial" w:cs="Arial" w:eastAsia="Arial" w:hAnsi="Arial"/>
                <w:sz w:val="13"/>
                <w:szCs w:val="13"/>
                <w:color w:val="auto"/>
                <w:w w:val="98"/>
              </w:rPr>
              <w:t>Amount</w:t>
            </w:r>
          </w:p>
        </w:tc>
      </w:tr>
      <w:tr>
        <w:trPr>
          <w:trHeight w:val="268"/>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EPS</w:t>
            </w:r>
          </w:p>
        </w:tc>
        <w:tc>
          <w:tcPr>
            <w:tcW w:w="2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97"/>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available to common stockholders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b w:val="1"/>
                <w:bCs w:val="1"/>
                <w:color w:val="auto"/>
              </w:rPr>
              <w:t>7,342</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27"/>
              <w:spacing w:after="0"/>
              <w:rPr>
                <w:sz w:val="20"/>
                <w:szCs w:val="20"/>
                <w:color w:val="auto"/>
              </w:rPr>
            </w:pPr>
            <w:r>
              <w:rPr>
                <w:rFonts w:ascii="Arial" w:cs="Arial" w:eastAsia="Arial" w:hAnsi="Arial"/>
                <w:sz w:val="16"/>
                <w:szCs w:val="16"/>
                <w:b w:val="1"/>
                <w:bCs w:val="1"/>
                <w:color w:val="auto"/>
              </w:rPr>
              <w:t>13,707,631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0.54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6,135</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11,587,188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0.53</w:t>
            </w:r>
          </w:p>
        </w:tc>
      </w:tr>
      <w:tr>
        <w:trPr>
          <w:trHeight w:val="278"/>
        </w:trPr>
        <w:tc>
          <w:tcPr>
            <w:tcW w:w="4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6"/>
        </w:trPr>
        <w:tc>
          <w:tcPr>
            <w:tcW w:w="402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2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27"/>
              <w:spacing w:after="0"/>
              <w:rPr>
                <w:sz w:val="20"/>
                <w:szCs w:val="20"/>
                <w:color w:val="auto"/>
              </w:rPr>
            </w:pPr>
            <w:r>
              <w:rPr>
                <w:rFonts w:ascii="Arial" w:cs="Arial" w:eastAsia="Arial" w:hAnsi="Arial"/>
                <w:sz w:val="16"/>
                <w:szCs w:val="16"/>
                <w:b w:val="1"/>
                <w:bCs w:val="1"/>
                <w:color w:val="auto"/>
              </w:rPr>
              <w:t>180,419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6"/>
              <w:spacing w:after="0"/>
              <w:rPr>
                <w:sz w:val="20"/>
                <w:szCs w:val="20"/>
                <w:color w:val="auto"/>
              </w:rPr>
            </w:pPr>
            <w:r>
              <w:rPr>
                <w:rFonts w:ascii="Arial" w:cs="Arial" w:eastAsia="Arial" w:hAnsi="Arial"/>
                <w:sz w:val="16"/>
                <w:szCs w:val="16"/>
                <w:color w:val="auto"/>
              </w:rPr>
              <w:t>399,122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9"/>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Dilutive EPS per common share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b w:val="1"/>
                <w:bCs w:val="1"/>
                <w:color w:val="auto"/>
              </w:rPr>
              <w:t>7,342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13,888,050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CCEEFF"/>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6,135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11,986,310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CCEEFF"/>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0.51</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Comprehensive income:</w:t>
      </w:r>
    </w:p>
    <w:p>
      <w:pPr>
        <w:spacing w:after="0" w:line="2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Company's only two components of other comprehensive income are unrealized gains and losses on investment securities available for sale, net of income taxes, and unrealized gains and losses on cash flow hedges, net of income taxes. Information concerning the Company's accumulated other comprehensive income (loss) as of June 30, 2019 and December 31, 2018 are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8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December 31, 2018</w:t>
            </w:r>
          </w:p>
        </w:tc>
      </w:tr>
      <w:tr>
        <w:trPr>
          <w:trHeight w:val="254"/>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losses on securities available for sale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66"/>
        </w:trPr>
        <w:tc>
          <w:tcPr>
            <w:tcW w:w="6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Deferred tax benefit</w:t>
            </w:r>
          </w:p>
        </w:tc>
        <w:tc>
          <w:tcPr>
            <w:tcW w:w="3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r>
      <w:tr>
        <w:trPr>
          <w:trHeight w:val="250"/>
        </w:trPr>
        <w:tc>
          <w:tcPr>
            <w:tcW w:w="6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comprehensive loss, net of tax</w:t>
            </w:r>
          </w:p>
        </w:tc>
        <w:tc>
          <w:tcPr>
            <w:tcW w:w="32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81"/>
        </w:trPr>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0"/>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gains on cash flow hedges</w:t>
            </w:r>
          </w:p>
        </w:tc>
        <w:tc>
          <w:tcPr>
            <w:tcW w:w="32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66"/>
        </w:trPr>
        <w:tc>
          <w:tcPr>
            <w:tcW w:w="6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Deferred tax expense</w:t>
            </w:r>
          </w:p>
        </w:tc>
        <w:tc>
          <w:tcPr>
            <w:tcW w:w="3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6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 of tax</w:t>
            </w:r>
          </w:p>
        </w:tc>
        <w:tc>
          <w:tcPr>
            <w:tcW w:w="3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81"/>
        </w:trPr>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r>
      <w:tr>
        <w:trPr>
          <w:trHeight w:val="256"/>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accumulated comprehensive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0"/>
        </w:trPr>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2016, the FASB issued guidance to change the accounting for credit losses and modify the impairment model for certain debt securities. On July 17, 2019, the FASB voted to issue a proposal for public comment that would potentially result in a postponement of the current expected credit loss standard until January 2023 for certain companies including small reporting companies (as defined by the SEC). Management will continue to monitor any new developments regarding this possible delay.</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will apply the amendments to the ASU through a cumulative-effect adjustment to retained earnings as of the beginning of the year of adoption. While early adoption is permitted beginning in first quarter 2019, the Company does not expect to elect that option. The Company is evaluating the impact of</w:t>
      </w:r>
    </w:p>
    <w:p>
      <w:pPr>
        <w:sectPr>
          <w:pgSz w:w="11900" w:h="16838" w:orient="portrait"/>
          <w:cols w:equalWidth="0" w:num="1">
            <w:col w:w="11420"/>
          </w:cols>
          <w:pgMar w:left="240" w:top="726"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26" w:right="239" w:bottom="144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ASU on our consolidated financial statements. In addition to our allowance for loan losses, the Company will also record an allowance for credit losses on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amended the Fair Value Measurement Topic 820 disclosure framework. These amendments include additions, removals and modifications to the fair value disclosure requirements in Topic 820, and are effective for the Company for fiscal years, and interim periods within those fiscal years, beginning after December 15, 2019. Early adoption is permitted on removed or modified disclosures. The Company does not expect these amendments to have a material effect on its financial statements.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March 2019, the FASB issued codification improvements to ASU Topic 842 - Leases, which clarifies fair value of leases, cash presentation and accounting change disclosures. These codification improvements were adopted to coincide with the adoption of ASU Topic 842 Leases. The adoption of this ASU did not have a material impact on the Company’s Consolidated Financial Statements.</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Certain reclassifications have been made to the amounts reported in prior periods to conform to the current period presentation. The reclassifications had no effect on net income or total stockholders' equity.</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26"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6920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0865"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920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0865"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amortized cost and estimated fair value of investment securities at June 30, 2019 and December 31, 2018 are summarized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7"/>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Fair</w:t>
            </w:r>
          </w:p>
        </w:tc>
      </w:t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Losses</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Value</w:t>
            </w:r>
          </w:p>
        </w:tc>
      </w:tr>
      <w:tr>
        <w:trPr>
          <w:trHeight w:val="265"/>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Available for sale</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U.S. government-sponsored enterprises</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6,499</w:t>
            </w:r>
          </w:p>
        </w:tc>
        <w:tc>
          <w:tcPr>
            <w:tcW w:w="14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6,477</w:t>
            </w: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Municipal</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516</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521</w:t>
            </w: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2,907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2,890</w:t>
            </w: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29,276</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29,269</w:t>
            </w:r>
          </w:p>
        </w:tc>
      </w:tr>
      <w:tr>
        <w:trPr>
          <w:trHeight w:val="277"/>
        </w:trPr>
        <w:tc>
          <w:tcPr>
            <w:tcW w:w="4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39,198</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39,157</w:t>
            </w:r>
          </w:p>
        </w:tc>
      </w:tr>
      <w:tr>
        <w:trPr>
          <w:trHeight w:val="279"/>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r>
      <w:tr>
        <w:trPr>
          <w:trHeight w:val="25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Available for sale</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U.S. government-sponsored enterprises</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17,496</w:t>
            </w:r>
          </w:p>
        </w:tc>
        <w:tc>
          <w:tcPr>
            <w:tcW w:w="14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17,360</w:t>
            </w: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Municipal</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2,908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2,885</w:t>
            </w: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26,836</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26,186</w:t>
            </w: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47,757</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46,932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Proceeds from sales of securities sold during the six months ended June 30, were $3.3 million and $345 thousand for 2019 and 2018, respectively. The investment sales resulted in realized gains of $ 26 thousand for the quarter ended and the six months ended June 30, 2019 period. In 2018, investment sales resulted in a $1 thousand gain and losses of $2 thousand, for the quarter ended and the six months ended June 30, 2018 period, respectively.</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26"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Investment Securities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unrealized losses in the investment portfolio as of June 30, 2019 and December 31, 2018 are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rPr>
              <w:t>Less than 12 months</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7"/>
                <w:szCs w:val="17"/>
                <w:color w:val="auto"/>
              </w:rPr>
            </w:pPr>
          </w:p>
        </w:tc>
      </w:tr>
      <w:tr>
        <w:trPr>
          <w:trHeight w:val="168"/>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w:t>
            </w:r>
          </w:p>
        </w:tc>
        <w:tc>
          <w:tcPr>
            <w:tcW w:w="1000" w:type="dxa"/>
            <w:vAlign w:val="bottom"/>
          </w:tcPr>
          <w:p>
            <w:pPr>
              <w:jc w:val="center"/>
              <w:ind w:left="208"/>
              <w:spacing w:after="0"/>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Unrealized</w:t>
            </w:r>
          </w:p>
        </w:tc>
      </w:tr>
      <w:tr>
        <w:trPr>
          <w:trHeight w:val="203"/>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Losses</w:t>
            </w:r>
          </w:p>
        </w:tc>
      </w:tr>
      <w:tr>
        <w:trPr>
          <w:trHeight w:val="25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U.S. government-sponsored enterprises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right="808"/>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6,477</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6,477</w:t>
            </w: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71"/>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9"/>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23"/>
                <w:szCs w:val="23"/>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862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862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14,357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14,357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r>
      <w:tr>
        <w:trPr>
          <w:trHeight w:val="27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right="808"/>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21,696</w:t>
            </w:r>
          </w:p>
        </w:tc>
        <w:tc>
          <w:tcPr>
            <w:tcW w:w="10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(146)</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21,696</w:t>
            </w: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(146)</w:t>
            </w:r>
          </w:p>
        </w:tc>
      </w:tr>
      <w:tr>
        <w:trPr>
          <w:trHeight w:val="252"/>
        </w:trPr>
        <w:tc>
          <w:tcPr>
            <w:tcW w:w="39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266"/>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r>
      <w:tr>
        <w:trPr>
          <w:trHeight w:val="254"/>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government-sponsored enterprises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ind w:right="80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17,360</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66"/>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Municipal</w:t>
            </w:r>
          </w:p>
        </w:tc>
        <w:tc>
          <w:tcPr>
            <w:tcW w:w="22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3"/>
                <w:szCs w:val="23"/>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4"/>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Corporate</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6"/>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2,294</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21,037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r>
      <w:tr>
        <w:trPr>
          <w:trHeight w:val="237"/>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right="80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42,049</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At June 30, 2019, there were four U.S. government-sponsored enterprises securities, two corporate securities, and ten mortgage-backed securities that had been in a loss position for greater than twelve months. At December 31, 2018, there were nine U.S. government-sponsored enterprises securities, two corporate securities, and fifteen mortgage-backed securities that had been in a loss position for greater than twelve months. Management believes that all unrealized losses have resulted from changes in the interest rates and current market conditions and not as a result of credit deterioration. Management has the ability and the intent to hold these investment securities until maturity or until they recover in value.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pledged securities at June 30, 2019 and December 31, 2018 are shown below:</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Pledged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color w:val="auto"/>
              </w:rPr>
              <w:t>December 31, 2018</w:t>
            </w: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4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Amortized</w:t>
            </w:r>
          </w:p>
        </w:tc>
        <w:tc>
          <w:tcPr>
            <w:tcW w:w="28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Fair</w:t>
            </w:r>
          </w:p>
        </w:tc>
      </w:tr>
      <w:tr>
        <w:trPr>
          <w:trHeight w:val="203"/>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Cost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Value</w:t>
            </w: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15,862</w:t>
            </w:r>
          </w:p>
        </w:tc>
      </w:tr>
      <w:tr>
        <w:trPr>
          <w:trHeight w:val="269"/>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Federal Home Loan Bank advances</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1,664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1,674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6,662</w:t>
            </w:r>
          </w:p>
        </w:tc>
      </w:tr>
      <w:tr>
        <w:trPr>
          <w:trHeight w:val="237"/>
        </w:trPr>
        <w:tc>
          <w:tcPr>
            <w:tcW w:w="5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22,524</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26"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Investment Securities (continued)</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Contractual maturities of U.S. government-sponsored enterprises and corporate securities at June 30, 2019 and December 31, 2018 are shown below. Actual maturities will differ from contractual maturities because borrowers may have the right to call or prepay obligations with or without call or prepayment penalties.</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Contractual Maturities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4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Amortized</w:t>
            </w:r>
          </w:p>
        </w:tc>
        <w:tc>
          <w:tcPr>
            <w:tcW w:w="28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Cost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Within one year</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6,499</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6,477</w:t>
            </w:r>
          </w:p>
        </w:tc>
        <w:tc>
          <w:tcPr>
            <w:tcW w:w="10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16,496</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16,377</w:t>
            </w:r>
          </w:p>
        </w:tc>
        <w:tc>
          <w:tcPr>
            <w:tcW w:w="0" w:type="dxa"/>
            <w:vAlign w:val="bottom"/>
          </w:tcPr>
          <w:p>
            <w:pPr>
              <w:spacing w:after="0"/>
              <w:rPr>
                <w:sz w:val="1"/>
                <w:szCs w:val="1"/>
                <w:color w:val="auto"/>
              </w:rPr>
            </w:pPr>
          </w:p>
        </w:tc>
      </w:tr>
      <w:tr>
        <w:trPr>
          <w:trHeight w:val="27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Over one to five years</w:t>
            </w: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69"/>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Over five to ten years</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27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Over ten years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Mortgage-backed securities</w:t>
            </w:r>
            <w:r>
              <w:rPr>
                <w:rFonts w:ascii="Arial" w:cs="Arial" w:eastAsia="Arial" w:hAnsi="Arial"/>
                <w:sz w:val="17"/>
                <w:szCs w:val="17"/>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29,276</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29,269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26,836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26,186</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39,198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39,157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46,932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210" w:lineRule="auto"/>
        <w:tabs>
          <w:tab w:leader="none" w:pos="34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Mortgage-backed securities are due in monthly installments.</w:t>
      </w: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2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classifications of loans as are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 Categories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December 31, 2018</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8"/>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426,887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407,844</w:t>
            </w:r>
          </w:p>
        </w:tc>
      </w:tr>
      <w:tr>
        <w:trPr>
          <w:trHeight w:val="266"/>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297,891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278,691</w:t>
            </w:r>
          </w:p>
        </w:tc>
      </w:tr>
      <w:tr>
        <w:trPr>
          <w:trHeight w:val="274"/>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169,225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r>
      <w:tr>
        <w:trPr>
          <w:trHeight w:val="266"/>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3"/>
                <w:szCs w:val="23"/>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124,436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122,264</w:t>
            </w:r>
          </w:p>
        </w:tc>
      </w:tr>
      <w:tr>
        <w:trPr>
          <w:trHeight w:val="27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40,141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r>
      <w:tr>
        <w:trPr>
          <w:trHeight w:val="266"/>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1,015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r>
      <w:tr>
        <w:trPr>
          <w:trHeight w:val="254"/>
        </w:trPr>
        <w:tc>
          <w:tcPr>
            <w:tcW w:w="7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1,059,595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1,002,260</w:t>
            </w:r>
          </w:p>
        </w:tc>
      </w:tr>
      <w:tr>
        <w:trPr>
          <w:trHeight w:val="266"/>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Deferred origination fees, net</w:t>
            </w: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(3,305)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(1,992)</w:t>
            </w: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Allowance for loan losses</w:t>
            </w: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(11,913)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(11,308)</w:t>
            </w:r>
          </w:p>
        </w:tc>
      </w:tr>
      <w:tr>
        <w:trPr>
          <w:trHeight w:val="239"/>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Loans receivable,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1,044,377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988,960</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makes loans to customers located primarily in the Washington, D.C. and Baltimore metropolitan areas. Although the loan portfolio is diversified, its performance is influenced by the regional economy. The Company’s loan categories are described below.</w:t>
      </w:r>
    </w:p>
    <w:p>
      <w:pPr>
        <w:spacing w:after="0" w:line="14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One-to-four family residential loans have a relatively small balance spread between many individual borrowers compared to our other loan categories.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The required minimum debt service coverage ratio is 1.15. Residential real estate loans have represented a stable and growing portion of our loan portfolio. The emphasis will continue to be on residential real estate lending.</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June 30, 2019, there were approximately $139.6 million of owner-occupied commercial real estate loans, representing approximately 47% of the commercial real estate portfolio. Commercial real estate loan terms are generally extended for 10 years or less and amortize generally over 25 years or less. The interest rates on commercial real estate loans have initial fixed rate terms that adjust typically at 5 years and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located primarily throughout the Company’s markets and are generally diverse in terms of type. This diversity helps reduce the exposure to adverse economic events that affect any single industry.</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areas to builders primarily for the construction of single-family homes and condominium and townhouse conversions or renovations and, to a lesser extent, to individuals.</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26"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Construction loans typically have terms of 12 to 18 months with the goal of transitioning the borrowers to permanent financing or re-underwriting and selling into the secondary market through Capital Bank Home Loans. According to underwriting standards, the ratio of loan principal to collateral value, as established by an independent appraisal, cannot exceed 75% for investor-owned and 80% for owner-occupied properties. On a case by case basis, exceptions to these limits may be granted with appropriate credit mitigants. Semi-annual stress testing of the construction loan portfolio is conducted, and underlying real estate conditions are closely monitored as well as the borrower’s trends of sales valuations as compared to underwriting valuations as part of the ongoing risk management efforts. The borrowers’ progress in construction buildout is closely monitored and the original underwriting guidelines for construction milestones and completion timelines are strictly enforced.</w:t>
      </w:r>
    </w:p>
    <w:p>
      <w:pPr>
        <w:spacing w:after="0" w:line="1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Commercial Business Loans</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personal guaranties from the borrower or other principal are generally obtained.</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Our OpenSky® credit card division provides, on a nationwide basis, credit cards are provided to under-banked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those looking to rebuild their credit scores through a fully digital and mobile platform. Substantially all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Approximately $37.9 million and $32.5 million of the credit card balances were secured by savings deposits held by the Company as of June 30, 2019 and December 31, 2018, respectively.</w:t>
      </w:r>
    </w:p>
    <w:p>
      <w:pPr>
        <w:spacing w:after="0" w:line="17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very limited extent and typically as an accommodation to existing customers, personal consumer loans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term loans, car loans or boat loans are offered.</w:t>
      </w:r>
    </w:p>
    <w:p>
      <w:pPr>
        <w:spacing w:after="0" w:line="1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Generally, the nonaccretable discount will be recognized after collection of the discounted fair value of the related loan. The remaining nonaccretable discounts on loans acquired were $354 thousand as of both June 30, 2019 and December 31, 2018. Loans with nonaccretable discounts had a carrying value of $1.3 million as of both June 30, 2019 and December 31, 2018.</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26"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11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4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June 30, 2018</w:t>
            </w:r>
          </w:p>
        </w:tc>
        <w:tc>
          <w:tcPr>
            <w:tcW w:w="20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22"/>
                <w:szCs w:val="22"/>
                <w:color w:val="auto"/>
              </w:rPr>
            </w:pPr>
          </w:p>
        </w:tc>
        <w:tc>
          <w:tcPr>
            <w:tcW w:w="1360" w:type="dxa"/>
            <w:vAlign w:val="bottom"/>
          </w:tcPr>
          <w:p>
            <w:pPr>
              <w:jc w:val="right"/>
              <w:ind w:right="261"/>
              <w:spacing w:after="0"/>
              <w:rPr>
                <w:sz w:val="20"/>
                <w:szCs w:val="20"/>
                <w:color w:val="auto"/>
              </w:rPr>
            </w:pPr>
            <w:r>
              <w:rPr>
                <w:rFonts w:ascii="Arial" w:cs="Arial" w:eastAsia="Arial" w:hAnsi="Arial"/>
                <w:sz w:val="14"/>
                <w:szCs w:val="14"/>
                <w:color w:val="auto"/>
              </w:rPr>
              <w:t>June 30, 2018</w:t>
            </w:r>
          </w:p>
        </w:tc>
      </w:tr>
      <w:tr>
        <w:trPr>
          <w:trHeight w:val="251"/>
        </w:trPr>
        <w:tc>
          <w:tcPr>
            <w:tcW w:w="4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Accretable discount at beginning of period</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430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438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543</w:t>
            </w:r>
          </w:p>
        </w:tc>
      </w:tr>
      <w:tr>
        <w:trPr>
          <w:trHeight w:val="266"/>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Accretion and payoff of loans</w:t>
            </w: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Accretable discount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424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519</w:t>
            </w: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and six months ended June 30, 2019 and June 30, 2018.</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86"/>
        </w:trPr>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Loan Losses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Charge-Offs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Recoveries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61"/>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3,915</w:t>
            </w:r>
          </w:p>
        </w:tc>
        <w:tc>
          <w:tcPr>
            <w:tcW w:w="0" w:type="dxa"/>
            <w:vAlign w:val="bottom"/>
          </w:tcPr>
          <w:p>
            <w:pPr>
              <w:spacing w:after="0"/>
              <w:rPr>
                <w:sz w:val="1"/>
                <w:szCs w:val="1"/>
                <w:color w:val="auto"/>
              </w:rPr>
            </w:pP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2,894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3,116</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2,204</w:t>
            </w:r>
          </w:p>
        </w:tc>
        <w:tc>
          <w:tcPr>
            <w:tcW w:w="0" w:type="dxa"/>
            <w:vAlign w:val="bottom"/>
          </w:tcPr>
          <w:p>
            <w:pPr>
              <w:spacing w:after="0"/>
              <w:rPr>
                <w:sz w:val="1"/>
                <w:szCs w:val="1"/>
                <w:color w:val="auto"/>
              </w:rPr>
            </w:pPr>
          </w:p>
        </w:tc>
      </w:tr>
      <w:tr>
        <w:trPr>
          <w:trHeight w:val="269"/>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1,472</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1,199</w:t>
            </w:r>
          </w:p>
        </w:tc>
        <w:tc>
          <w:tcPr>
            <w:tcW w:w="0" w:type="dxa"/>
            <w:vAlign w:val="bottom"/>
          </w:tcPr>
          <w:p>
            <w:pPr>
              <w:spacing w:after="0"/>
              <w:rPr>
                <w:sz w:val="1"/>
                <w:szCs w:val="1"/>
                <w:color w:val="auto"/>
              </w:rPr>
            </w:pPr>
          </w:p>
        </w:tc>
      </w:tr>
      <w:tr>
        <w:trPr>
          <w:trHeight w:val="269"/>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11,347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11,913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3,915</w:t>
            </w:r>
          </w:p>
        </w:tc>
        <w:tc>
          <w:tcPr>
            <w:tcW w:w="0" w:type="dxa"/>
            <w:vAlign w:val="bottom"/>
          </w:tcPr>
          <w:p>
            <w:pPr>
              <w:spacing w:after="0"/>
              <w:rPr>
                <w:sz w:val="1"/>
                <w:szCs w:val="1"/>
                <w:color w:val="auto"/>
              </w:rPr>
            </w:pP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3,003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3,116</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2,204</w:t>
            </w:r>
          </w:p>
        </w:tc>
        <w:tc>
          <w:tcPr>
            <w:tcW w:w="0" w:type="dxa"/>
            <w:vAlign w:val="bottom"/>
          </w:tcPr>
          <w:p>
            <w:pPr>
              <w:spacing w:after="0"/>
              <w:rPr>
                <w:sz w:val="1"/>
                <w:szCs w:val="1"/>
                <w:color w:val="auto"/>
              </w:rPr>
            </w:pPr>
          </w:p>
        </w:tc>
      </w:tr>
      <w:tr>
        <w:trPr>
          <w:trHeight w:val="269"/>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1,578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1,472</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1,199</w:t>
            </w:r>
          </w:p>
        </w:tc>
        <w:tc>
          <w:tcPr>
            <w:tcW w:w="0" w:type="dxa"/>
            <w:vAlign w:val="bottom"/>
          </w:tcPr>
          <w:p>
            <w:pPr>
              <w:spacing w:after="0"/>
              <w:rPr>
                <w:sz w:val="1"/>
                <w:szCs w:val="1"/>
                <w:color w:val="auto"/>
              </w:rPr>
            </w:pPr>
          </w:p>
        </w:tc>
      </w:tr>
      <w:tr>
        <w:trPr>
          <w:trHeight w:val="269"/>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11,308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11,913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26"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color w:val="auto"/>
              </w:rPr>
              <w:t>Beginning</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color w:val="auto"/>
              </w:rPr>
              <w:t>Provision for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color w:val="auto"/>
              </w:rPr>
              <w:t>Ending</w:t>
            </w:r>
          </w:p>
        </w:tc>
        <w:tc>
          <w:tcPr>
            <w:tcW w:w="0" w:type="dxa"/>
            <w:vAlign w:val="bottom"/>
          </w:tcPr>
          <w:p>
            <w:pPr>
              <w:spacing w:after="0"/>
              <w:rPr>
                <w:sz w:val="1"/>
                <w:szCs w:val="1"/>
                <w:color w:val="auto"/>
              </w:rPr>
            </w:pPr>
          </w:p>
        </w:tc>
      </w:tr>
      <w:tr>
        <w:trPr>
          <w:trHeight w:val="88"/>
        </w:trPr>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Three Months Ended June 30, 2018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Balance</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Loan Losses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Charge-Offs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2,933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Other consumer</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7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Six Months Ended June 30, 2018</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2,860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Other consumer</w:t>
            </w:r>
          </w:p>
        </w:tc>
        <w:tc>
          <w:tcPr>
            <w:tcW w:w="22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26"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 Composition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6"/>
              </w:rPr>
              <w:t>Allowance for Loan Losses</w:t>
            </w:r>
          </w:p>
        </w:tc>
        <w:tc>
          <w:tcPr>
            <w:tcW w:w="200" w:type="dxa"/>
            <w:vAlign w:val="bottom"/>
          </w:tcPr>
          <w:p>
            <w:pPr>
              <w:spacing w:after="0"/>
              <w:rPr>
                <w:sz w:val="13"/>
                <w:szCs w:val="13"/>
                <w:color w:val="auto"/>
              </w:rPr>
            </w:pPr>
          </w:p>
        </w:tc>
        <w:tc>
          <w:tcPr>
            <w:tcW w:w="24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Outstanding Loan</w:t>
            </w:r>
          </w:p>
        </w:tc>
      </w:tr>
      <w:tr>
        <w:trPr>
          <w:trHeight w:val="135"/>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40" w:type="dxa"/>
            <w:vAlign w:val="bottom"/>
            <w:gridSpan w:val="5"/>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Ending Balance Evaluated</w:t>
            </w:r>
          </w:p>
        </w:tc>
        <w:tc>
          <w:tcPr>
            <w:tcW w:w="200" w:type="dxa"/>
            <w:vAlign w:val="bottom"/>
          </w:tcPr>
          <w:p>
            <w:pPr>
              <w:spacing w:after="0"/>
              <w:rPr>
                <w:sz w:val="11"/>
                <w:szCs w:val="11"/>
                <w:color w:val="auto"/>
              </w:rPr>
            </w:pPr>
          </w:p>
        </w:tc>
        <w:tc>
          <w:tcPr>
            <w:tcW w:w="242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Balances Evaluated</w:t>
            </w:r>
          </w:p>
        </w:tc>
      </w:tr>
      <w:tr>
        <w:trPr>
          <w:trHeight w:val="180"/>
        </w:trPr>
        <w:tc>
          <w:tcPr>
            <w:tcW w:w="60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8"/>
              </w:rPr>
              <w:t>for Impairment: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6"/>
              </w:rPr>
              <w:t>for Impairment:</w:t>
            </w:r>
          </w:p>
        </w:tc>
      </w:tr>
      <w:tr>
        <w:trPr>
          <w:trHeight w:val="269"/>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3"/>
                <w:szCs w:val="13"/>
                <w:b w:val="1"/>
                <w:bCs w:val="1"/>
                <w:color w:val="auto"/>
              </w:rPr>
              <w:t>Individually</w:t>
            </w: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Collectively</w:t>
            </w: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Individually</w:t>
            </w:r>
          </w:p>
        </w:tc>
        <w:tc>
          <w:tcPr>
            <w:tcW w:w="200" w:type="dxa"/>
            <w:vAlign w:val="bottom"/>
          </w:tcPr>
          <w:p>
            <w:pPr>
              <w:spacing w:after="0"/>
              <w:rPr>
                <w:sz w:val="23"/>
                <w:szCs w:val="23"/>
                <w:color w:val="auto"/>
              </w:rPr>
            </w:pPr>
          </w:p>
        </w:tc>
        <w:tc>
          <w:tcPr>
            <w:tcW w:w="1060" w:type="dxa"/>
            <w:vAlign w:val="bottom"/>
          </w:tcPr>
          <w:p>
            <w:pPr>
              <w:jc w:val="right"/>
              <w:ind w:right="200"/>
              <w:spacing w:after="0"/>
              <w:rPr>
                <w:sz w:val="20"/>
                <w:szCs w:val="20"/>
                <w:color w:val="auto"/>
              </w:rPr>
            </w:pPr>
            <w:r>
              <w:rPr>
                <w:rFonts w:ascii="Arial" w:cs="Arial" w:eastAsia="Arial" w:hAnsi="Arial"/>
                <w:sz w:val="13"/>
                <w:szCs w:val="13"/>
                <w:b w:val="1"/>
                <w:bCs w:val="1"/>
                <w:color w:val="auto"/>
              </w:rPr>
              <w:t>Collectively</w:t>
            </w:r>
          </w:p>
        </w:tc>
      </w:tr>
      <w:tr>
        <w:trPr>
          <w:trHeight w:val="26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3,915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2,187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424,700</w:t>
            </w:r>
          </w:p>
        </w:tc>
      </w:tr>
      <w:tr>
        <w:trPr>
          <w:trHeight w:val="266"/>
        </w:trPr>
        <w:tc>
          <w:tcPr>
            <w:tcW w:w="606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3,116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1,465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296,426</w:t>
            </w: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2,161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2,143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167,082</w:t>
            </w:r>
          </w:p>
        </w:tc>
      </w:tr>
      <w:tr>
        <w:trPr>
          <w:trHeight w:val="266"/>
        </w:trPr>
        <w:tc>
          <w:tcPr>
            <w:tcW w:w="606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b w:val="1"/>
                <w:bCs w:val="1"/>
                <w:color w:val="auto"/>
              </w:rPr>
              <w:t>334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1,138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1,002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123,434</w:t>
            </w:r>
          </w:p>
        </w:tc>
      </w:tr>
      <w:tr>
        <w:trPr>
          <w:trHeight w:val="274"/>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40,141</w:t>
            </w:r>
          </w:p>
        </w:tc>
      </w:tr>
      <w:tr>
        <w:trPr>
          <w:trHeight w:val="266"/>
        </w:trPr>
        <w:tc>
          <w:tcPr>
            <w:tcW w:w="606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1,015</w:t>
            </w:r>
          </w:p>
        </w:tc>
      </w:tr>
      <w:tr>
        <w:trPr>
          <w:trHeight w:val="237"/>
        </w:trPr>
        <w:tc>
          <w:tcPr>
            <w:tcW w:w="60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377</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6,797</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1,052,798</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3"/>
        </w:trPr>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6"/>
        </w:trPr>
        <w:tc>
          <w:tcPr>
            <w:tcW w:w="6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405,724</w:t>
            </w:r>
          </w:p>
        </w:tc>
      </w:tr>
      <w:tr>
        <w:trPr>
          <w:trHeight w:val="266"/>
        </w:trPr>
        <w:tc>
          <w:tcPr>
            <w:tcW w:w="606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277,205</w:t>
            </w: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r>
      <w:tr>
        <w:trPr>
          <w:trHeight w:val="266"/>
        </w:trPr>
        <w:tc>
          <w:tcPr>
            <w:tcW w:w="606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121,515</w:t>
            </w:r>
          </w:p>
        </w:tc>
      </w:tr>
      <w:tr>
        <w:trPr>
          <w:trHeight w:val="274"/>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r>
      <w:tr>
        <w:trPr>
          <w:trHeight w:val="266"/>
        </w:trPr>
        <w:tc>
          <w:tcPr>
            <w:tcW w:w="606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1,202</w:t>
            </w:r>
          </w:p>
        </w:tc>
      </w:tr>
      <w:tr>
        <w:trPr>
          <w:trHeight w:val="234"/>
        </w:trPr>
        <w:tc>
          <w:tcPr>
            <w:tcW w:w="60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997,905</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26"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Past due loans, segregated by age and class of loans, as of June 30, 2019 and December 31, 2018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Loans Past Due</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9"/>
              </w:rPr>
              <w:t>Loans</w:t>
            </w: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Loans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Accruing</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90 or More</w:t>
            </w: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 Past</w:t>
            </w: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Current</w:t>
            </w:r>
          </w:p>
        </w:tc>
        <w:tc>
          <w:tcPr>
            <w:tcW w:w="240" w:type="dxa"/>
            <w:vAlign w:val="bottom"/>
          </w:tcPr>
          <w:p>
            <w:pPr>
              <w:spacing w:after="0"/>
              <w:rPr>
                <w:sz w:val="11"/>
                <w:szCs w:val="11"/>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Loans 90 or</w:t>
            </w:r>
          </w:p>
        </w:tc>
        <w:tc>
          <w:tcPr>
            <w:tcW w:w="160" w:type="dxa"/>
            <w:vAlign w:val="bottom"/>
          </w:tcPr>
          <w:p>
            <w:pPr>
              <w:spacing w:after="0"/>
              <w:rPr>
                <w:sz w:val="11"/>
                <w:szCs w:val="11"/>
                <w:color w:val="auto"/>
              </w:rPr>
            </w:pPr>
          </w:p>
        </w:tc>
        <w:tc>
          <w:tcPr>
            <w:tcW w:w="96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9"/>
              </w:rPr>
              <w:t>Non accrual</w:t>
            </w: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30-89 Days</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Days</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More Days</w:t>
            </w: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9"/>
              </w:rPr>
              <w:t>Due Loans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Loans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Loans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Past Due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Loans</w:t>
            </w:r>
          </w:p>
        </w:tc>
        <w:tc>
          <w:tcPr>
            <w:tcW w:w="0" w:type="dxa"/>
            <w:vAlign w:val="bottom"/>
          </w:tcPr>
          <w:p>
            <w:pPr>
              <w:spacing w:after="0"/>
              <w:rPr>
                <w:sz w:val="1"/>
                <w:szCs w:val="1"/>
                <w:color w:val="auto"/>
              </w:rPr>
            </w:pPr>
          </w:p>
        </w:tc>
      </w:tr>
      <w:tr>
        <w:trPr>
          <w:trHeight w:val="261"/>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1,605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423,248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426,887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2,187</w:t>
            </w:r>
          </w:p>
        </w:tc>
        <w:tc>
          <w:tcPr>
            <w:tcW w:w="0" w:type="dxa"/>
            <w:vAlign w:val="bottom"/>
          </w:tcPr>
          <w:p>
            <w:pPr>
              <w:spacing w:after="0"/>
              <w:rPr>
                <w:sz w:val="1"/>
                <w:szCs w:val="1"/>
                <w:color w:val="auto"/>
              </w:rPr>
            </w:pPr>
          </w:p>
        </w:tc>
      </w:tr>
      <w:tr>
        <w:trPr>
          <w:trHeight w:val="269"/>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244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b w:val="1"/>
                <w:bCs w:val="1"/>
                <w:color w:val="auto"/>
              </w:rPr>
              <w:t>1,509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1,753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296,138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297,891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1,465</w:t>
            </w:r>
          </w:p>
        </w:tc>
        <w:tc>
          <w:tcPr>
            <w:tcW w:w="0" w:type="dxa"/>
            <w:vAlign w:val="bottom"/>
          </w:tcPr>
          <w:p>
            <w:pPr>
              <w:spacing w:after="0"/>
              <w:rPr>
                <w:sz w:val="1"/>
                <w:szCs w:val="1"/>
                <w:color w:val="auto"/>
              </w:rPr>
            </w:pPr>
          </w:p>
        </w:tc>
      </w:tr>
      <w:tr>
        <w:trPr>
          <w:trHeight w:val="271"/>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2,143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167,082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169,225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2,143</w:t>
            </w:r>
          </w:p>
        </w:tc>
        <w:tc>
          <w:tcPr>
            <w:tcW w:w="0" w:type="dxa"/>
            <w:vAlign w:val="bottom"/>
          </w:tcPr>
          <w:p>
            <w:pPr>
              <w:spacing w:after="0"/>
              <w:rPr>
                <w:sz w:val="1"/>
                <w:szCs w:val="1"/>
                <w:color w:val="auto"/>
              </w:rPr>
            </w:pPr>
          </w:p>
        </w:tc>
      </w:tr>
      <w:tr>
        <w:trPr>
          <w:trHeight w:val="269"/>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729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b w:val="1"/>
                <w:bCs w:val="1"/>
                <w:color w:val="auto"/>
              </w:rPr>
              <w:t>872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1,601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122,835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124,436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1,002</w:t>
            </w:r>
          </w:p>
        </w:tc>
        <w:tc>
          <w:tcPr>
            <w:tcW w:w="0" w:type="dxa"/>
            <w:vAlign w:val="bottom"/>
          </w:tcPr>
          <w:p>
            <w:pPr>
              <w:spacing w:after="0"/>
              <w:rPr>
                <w:sz w:val="1"/>
                <w:szCs w:val="1"/>
                <w:color w:val="auto"/>
              </w:rPr>
            </w:pPr>
          </w:p>
        </w:tc>
      </w:tr>
      <w:tr>
        <w:trPr>
          <w:trHeight w:val="27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4,184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35,954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40,141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Other consumer</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1,015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1,015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7,191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6,132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13,323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1,046,272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1,059,595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6,797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725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6,223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7,465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840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404,693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407,844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266"/>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3,177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275,514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278,691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274"/>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157,586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157,586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121,254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122,264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7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30,900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Other consumer</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3,912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991,149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1,002,260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There were $566 thousand and $221 thousand, respectively, of loans secured by one to four family residential properties in the process of foreclosure as of June 30, 2019 and December 31, 2018.</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26" w:right="239" w:bottom="1440" w:gutter="0" w:footer="0" w:header="0"/>
        </w:sectPr>
      </w:pPr>
    </w:p>
    <w:bookmarkStart w:id="25" w:name="page26"/>
    <w:bookmarkEnd w:id="2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Impaired Loans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Unpaid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Recorded</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Total</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9"/>
              </w:rPr>
              <w:t>Investment</w:t>
            </w: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9"/>
              </w:rPr>
              <w:t>Investment</w:t>
            </w: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With No</w:t>
            </w: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9"/>
              </w:rPr>
              <w:t>With</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9"/>
              </w:rPr>
              <w:t>Allowance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96"/>
              </w:rPr>
              <w:t>Allowance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6"/>
              </w:rPr>
              <w:t>Investment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Allowance</w:t>
            </w:r>
          </w:p>
        </w:tc>
        <w:tc>
          <w:tcPr>
            <w:tcW w:w="0" w:type="dxa"/>
            <w:vAlign w:val="bottom"/>
          </w:tcPr>
          <w:p>
            <w:pPr>
              <w:spacing w:after="0"/>
              <w:rPr>
                <w:sz w:val="1"/>
                <w:szCs w:val="1"/>
                <w:color w:val="auto"/>
              </w:rPr>
            </w:pPr>
          </w:p>
        </w:tc>
      </w:tr>
      <w:tr>
        <w:trPr>
          <w:trHeight w:val="261"/>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2,553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b w:val="1"/>
                <w:bCs w:val="1"/>
                <w:color w:val="auto"/>
              </w:rPr>
              <w:t>1,548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1,465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1,465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2,175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1,123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357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645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1,002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334</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7,399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6,109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6,797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above</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470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856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749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4,850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3,969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4,355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above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Interest Recognized on Impaired Loans</w:t>
            </w:r>
          </w:p>
        </w:tc>
        <w:tc>
          <w:tcPr>
            <w:tcW w:w="160" w:type="dxa"/>
            <w:vAlign w:val="bottom"/>
          </w:tcPr>
          <w:p>
            <w:pPr>
              <w:spacing w:after="0"/>
              <w:rPr>
                <w:sz w:val="14"/>
                <w:szCs w:val="14"/>
                <w:color w:val="auto"/>
              </w:rPr>
            </w:pPr>
          </w:p>
        </w:tc>
        <w:tc>
          <w:tcPr>
            <w:tcW w:w="24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 2019</w:t>
            </w: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Average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7"/>
              </w:rPr>
              <w:t>Interest</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1"/>
                <w:szCs w:val="11"/>
                <w:color w:val="auto"/>
              </w:rPr>
            </w:pPr>
          </w:p>
        </w:tc>
        <w:tc>
          <w:tcPr>
            <w:tcW w:w="960" w:type="dxa"/>
            <w:vAlign w:val="bottom"/>
            <w:vMerge w:val="restart"/>
          </w:tcPr>
          <w:p>
            <w:pPr>
              <w:jc w:val="right"/>
              <w:ind w:right="271"/>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Recorded</w:t>
            </w: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3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Recognized</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Investment</w:t>
            </w:r>
          </w:p>
        </w:tc>
        <w:tc>
          <w:tcPr>
            <w:tcW w:w="160" w:type="dxa"/>
            <w:vAlign w:val="bottom"/>
          </w:tcPr>
          <w:p>
            <w:pPr>
              <w:spacing w:after="0"/>
              <w:rPr>
                <w:sz w:val="15"/>
                <w:szCs w:val="15"/>
                <w:color w:val="auto"/>
              </w:rPr>
            </w:pPr>
          </w:p>
        </w:tc>
        <w:tc>
          <w:tcPr>
            <w:tcW w:w="960" w:type="dxa"/>
            <w:vAlign w:val="bottom"/>
          </w:tcPr>
          <w:p>
            <w:pPr>
              <w:jc w:val="right"/>
              <w:ind w:right="131"/>
              <w:spacing w:after="0"/>
              <w:rPr>
                <w:sz w:val="20"/>
                <w:szCs w:val="20"/>
                <w:color w:val="auto"/>
              </w:rPr>
            </w:pPr>
            <w:r>
              <w:rPr>
                <w:rFonts w:ascii="Arial" w:cs="Arial" w:eastAsia="Arial" w:hAnsi="Arial"/>
                <w:sz w:val="13"/>
                <w:szCs w:val="13"/>
                <w:b w:val="1"/>
                <w:bCs w:val="1"/>
                <w:color w:val="auto"/>
              </w:rPr>
              <w:t>Recognized</w:t>
            </w:r>
          </w:p>
        </w:tc>
        <w:tc>
          <w:tcPr>
            <w:tcW w:w="0" w:type="dxa"/>
            <w:vAlign w:val="bottom"/>
          </w:tcPr>
          <w:p>
            <w:pPr>
              <w:spacing w:after="0"/>
              <w:rPr>
                <w:sz w:val="1"/>
                <w:szCs w:val="1"/>
                <w:color w:val="auto"/>
              </w:rPr>
            </w:pPr>
          </w:p>
        </w:tc>
      </w:tr>
      <w:tr>
        <w:trPr>
          <w:trHeight w:val="268"/>
        </w:trPr>
        <w:tc>
          <w:tcPr>
            <w:tcW w:w="6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32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2,576</w:t>
            </w:r>
          </w:p>
        </w:tc>
        <w:tc>
          <w:tcPr>
            <w:tcW w:w="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51"/>
              <w:spacing w:after="0"/>
              <w:rPr>
                <w:sz w:val="20"/>
                <w:szCs w:val="20"/>
                <w:color w:val="auto"/>
              </w:rPr>
            </w:pPr>
            <w:r>
              <w:rPr>
                <w:rFonts w:ascii="Arial" w:cs="Arial" w:eastAsia="Arial" w:hAnsi="Arial"/>
                <w:sz w:val="14"/>
                <w:szCs w:val="14"/>
                <w:b w:val="1"/>
                <w:bCs w:val="1"/>
                <w:color w:val="auto"/>
              </w:rPr>
              <w:t>2,549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71"/>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1,573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632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2,175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b w:val="1"/>
                <w:bCs w:val="1"/>
                <w:color w:val="auto"/>
              </w:rPr>
              <w:t>2,175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1,517</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w:t>
            </w:r>
          </w:p>
        </w:tc>
        <w:tc>
          <w:tcPr>
            <w:tcW w:w="2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1,517</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7,841</w:t>
            </w:r>
          </w:p>
        </w:tc>
        <w:tc>
          <w:tcPr>
            <w:tcW w:w="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51"/>
              <w:spacing w:after="0"/>
              <w:rPr>
                <w:sz w:val="20"/>
                <w:szCs w:val="20"/>
                <w:color w:val="auto"/>
              </w:rPr>
            </w:pPr>
            <w:r>
              <w:rPr>
                <w:rFonts w:ascii="Arial" w:cs="Arial" w:eastAsia="Arial" w:hAnsi="Arial"/>
                <w:sz w:val="14"/>
                <w:szCs w:val="14"/>
                <w:b w:val="1"/>
                <w:bCs w:val="1"/>
                <w:color w:val="auto"/>
              </w:rPr>
              <w:t>7,814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26"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Interest Recognized on Impaired Loans</w:t>
            </w:r>
          </w:p>
        </w:tc>
        <w:tc>
          <w:tcPr>
            <w:tcW w:w="24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Three Months Ended June 30, 2018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color w:val="auto"/>
              </w:rPr>
              <w:t>Six Months Ended June 30, 2018</w:t>
            </w:r>
          </w:p>
        </w:tc>
        <w:tc>
          <w:tcPr>
            <w:tcW w:w="0" w:type="dxa"/>
            <w:vAlign w:val="bottom"/>
          </w:tcPr>
          <w:p>
            <w:pPr>
              <w:spacing w:after="0"/>
              <w:rPr>
                <w:sz w:val="1"/>
                <w:szCs w:val="1"/>
                <w:color w:val="auto"/>
              </w:rPr>
            </w:pPr>
          </w:p>
        </w:tc>
      </w:tr>
      <w:tr>
        <w:trPr>
          <w:trHeight w:val="137"/>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8" w:lineRule="exact"/>
              <w:rPr>
                <w:sz w:val="20"/>
                <w:szCs w:val="20"/>
                <w:color w:val="auto"/>
              </w:rPr>
            </w:pPr>
            <w:r>
              <w:rPr>
                <w:rFonts w:ascii="Arial" w:cs="Arial" w:eastAsia="Arial" w:hAnsi="Arial"/>
                <w:sz w:val="13"/>
                <w:szCs w:val="13"/>
                <w:color w:val="auto"/>
                <w:w w:val="94"/>
              </w:rPr>
              <w:t>Average</w:t>
            </w:r>
          </w:p>
        </w:tc>
        <w:tc>
          <w:tcPr>
            <w:tcW w:w="18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3"/>
                <w:szCs w:val="13"/>
                <w:color w:val="auto"/>
              </w:rPr>
              <w:t>Interest</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w w:val="94"/>
              </w:rPr>
              <w:t>Average</w:t>
            </w:r>
          </w:p>
        </w:tc>
        <w:tc>
          <w:tcPr>
            <w:tcW w:w="160" w:type="dxa"/>
            <w:vAlign w:val="bottom"/>
          </w:tcPr>
          <w:p>
            <w:pPr>
              <w:spacing w:after="0"/>
              <w:rPr>
                <w:sz w:val="11"/>
                <w:szCs w:val="11"/>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3"/>
                <w:szCs w:val="13"/>
                <w:color w:val="auto"/>
              </w:rPr>
              <w:t>Interest</w:t>
            </w: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95"/>
              </w:rPr>
              <w:t>Recorded</w:t>
            </w: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5"/>
              </w:rPr>
              <w:t>Recorded</w:t>
            </w: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4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color w:val="auto"/>
                <w:w w:val="97"/>
              </w:rPr>
              <w:t>Investment</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Recognized</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Investment</w:t>
            </w:r>
          </w:p>
        </w:tc>
        <w:tc>
          <w:tcPr>
            <w:tcW w:w="160" w:type="dxa"/>
            <w:vAlign w:val="bottom"/>
          </w:tcPr>
          <w:p>
            <w:pPr>
              <w:spacing w:after="0"/>
              <w:rPr>
                <w:sz w:val="15"/>
                <w:szCs w:val="15"/>
                <w:color w:val="auto"/>
              </w:rPr>
            </w:pPr>
          </w:p>
        </w:tc>
        <w:tc>
          <w:tcPr>
            <w:tcW w:w="960" w:type="dxa"/>
            <w:vAlign w:val="bottom"/>
          </w:tcPr>
          <w:p>
            <w:pPr>
              <w:jc w:val="right"/>
              <w:ind w:right="151"/>
              <w:spacing w:after="0"/>
              <w:rPr>
                <w:sz w:val="20"/>
                <w:szCs w:val="20"/>
                <w:color w:val="auto"/>
              </w:rPr>
            </w:pPr>
            <w:r>
              <w:rPr>
                <w:rFonts w:ascii="Arial" w:cs="Arial" w:eastAsia="Arial" w:hAnsi="Arial"/>
                <w:sz w:val="13"/>
                <w:szCs w:val="13"/>
                <w:color w:val="auto"/>
              </w:rPr>
              <w:t>Recognized</w:t>
            </w:r>
          </w:p>
        </w:tc>
        <w:tc>
          <w:tcPr>
            <w:tcW w:w="0" w:type="dxa"/>
            <w:vAlign w:val="bottom"/>
          </w:tcPr>
          <w:p>
            <w:pPr>
              <w:spacing w:after="0"/>
              <w:rPr>
                <w:sz w:val="1"/>
                <w:szCs w:val="1"/>
                <w:color w:val="auto"/>
              </w:rPr>
            </w:pPr>
          </w:p>
        </w:tc>
      </w:tr>
      <w:tr>
        <w:trPr>
          <w:trHeight w:val="270"/>
        </w:trPr>
        <w:tc>
          <w:tcPr>
            <w:tcW w:w="6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2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Residential</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1,573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771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3,406</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ind w:left="7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3,485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include loans acquired on which management has recorded a nonaccretable discount.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ectPr>
          <w:pgSz w:w="11900" w:h="16838" w:orient="portrait"/>
          <w:cols w:equalWidth="0" w:num="1">
            <w:col w:w="11420"/>
          </w:cols>
          <w:pgMar w:left="240" w:top="726"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726" w:right="2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Loan Classifications</w:t>
      </w:r>
    </w:p>
    <w:p>
      <w:pPr>
        <w:spacing w:after="0" w:line="118" w:lineRule="exact"/>
        <w:rPr>
          <w:sz w:val="20"/>
          <w:szCs w:val="20"/>
          <w:color w:val="auto"/>
        </w:rPr>
      </w:pPr>
    </w:p>
    <w:tbl>
      <w:tblPr>
        <w:tblLayout w:type="fixed"/>
        <w:tblInd w:w="180" w:type="dxa"/>
        <w:tblCellMar>
          <w:top w:w="0" w:type="dxa"/>
          <w:left w:w="0" w:type="dxa"/>
          <w:bottom w:w="0" w:type="dxa"/>
          <w:right w:w="0" w:type="dxa"/>
        </w:tblCellMar>
      </w:tblPr>
      <w:tr>
        <w:trPr>
          <w:trHeight w:val="204"/>
        </w:trPr>
        <w:tc>
          <w:tcPr>
            <w:tcW w:w="32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Doubtful</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6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CCEEFF"/>
            </w:tcBorders>
          </w:tcPr>
          <w:p>
            <w:pPr>
              <w:spacing w:after="0"/>
              <w:rPr>
                <w:sz w:val="22"/>
                <w:szCs w:val="22"/>
                <w:color w:val="auto"/>
              </w:rPr>
            </w:pPr>
          </w:p>
        </w:tc>
      </w:tr>
      <w:tr>
        <w:trPr>
          <w:trHeight w:val="251"/>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6"/>
        </w:trPr>
        <w:tc>
          <w:tcPr>
            <w:tcW w:w="32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424,626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2,261</w:t>
            </w:r>
          </w:p>
        </w:tc>
        <w:tc>
          <w:tcPr>
            <w:tcW w:w="100" w:type="dxa"/>
            <w:vAlign w:val="bottom"/>
          </w:tcPr>
          <w:p>
            <w:pPr>
              <w:spacing w:after="0"/>
              <w:rPr>
                <w:sz w:val="23"/>
                <w:szCs w:val="23"/>
                <w:color w:val="auto"/>
              </w:rPr>
            </w:pP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426,887</w:t>
            </w:r>
          </w:p>
        </w:tc>
      </w:tr>
      <w:tr>
        <w:trPr>
          <w:trHeight w:val="274"/>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292,342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297,891</w:t>
            </w:r>
          </w:p>
        </w:tc>
      </w:tr>
      <w:tr>
        <w:trPr>
          <w:trHeight w:val="266"/>
        </w:trPr>
        <w:tc>
          <w:tcPr>
            <w:tcW w:w="328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167,082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169,225</w:t>
            </w:r>
          </w:p>
        </w:tc>
      </w:tr>
      <w:tr>
        <w:trPr>
          <w:trHeight w:val="274"/>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119,494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124,436</w:t>
            </w:r>
          </w:p>
        </w:tc>
      </w:tr>
      <w:tr>
        <w:trPr>
          <w:trHeight w:val="266"/>
        </w:trPr>
        <w:tc>
          <w:tcPr>
            <w:tcW w:w="3280" w:type="dxa"/>
            <w:vAlign w:val="bottom"/>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3"/>
                <w:szCs w:val="23"/>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40,141</w:t>
            </w:r>
          </w:p>
        </w:tc>
      </w:t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1,015</w:t>
            </w:r>
          </w:p>
        </w:tc>
      </w:tr>
      <w:tr>
        <w:trPr>
          <w:trHeight w:val="308"/>
        </w:trPr>
        <w:tc>
          <w:tcPr>
            <w:tcW w:w="3280" w:type="dxa"/>
            <w:vAlign w:val="bottom"/>
          </w:tcPr>
          <w:p>
            <w:pPr>
              <w:ind w:left="260"/>
              <w:spacing w:after="0"/>
              <w:rPr>
                <w:sz w:val="20"/>
                <w:szCs w:val="20"/>
                <w:color w:val="auto"/>
              </w:rPr>
            </w:pPr>
            <w:r>
              <w:rPr>
                <w:rFonts w:ascii="Arial" w:cs="Arial" w:eastAsia="Arial" w:hAnsi="Arial"/>
                <w:sz w:val="14"/>
                <w:szCs w:val="14"/>
                <w:color w:val="auto"/>
              </w:rPr>
              <w:t>Total</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1,044,700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7,923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6,972</w:t>
            </w:r>
          </w:p>
        </w:tc>
        <w:tc>
          <w:tcPr>
            <w:tcW w:w="100" w:type="dxa"/>
            <w:vAlign w:val="bottom"/>
          </w:tcPr>
          <w:p>
            <w:pPr>
              <w:spacing w:after="0"/>
              <w:rPr>
                <w:sz w:val="24"/>
                <w:szCs w:val="24"/>
                <w:color w:val="auto"/>
              </w:rPr>
            </w:pP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1,059,595</w:t>
            </w:r>
          </w:p>
        </w:tc>
      </w:tr>
      <w:tr>
        <w:trPr>
          <w:trHeight w:val="251"/>
        </w:trPr>
        <w:tc>
          <w:tcPr>
            <w:tcW w:w="3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r>
      <w:tr>
        <w:trPr>
          <w:trHeight w:val="26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r>
      <w:tr>
        <w:trPr>
          <w:trHeight w:val="254"/>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6"/>
        </w:trPr>
        <w:tc>
          <w:tcPr>
            <w:tcW w:w="32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405,532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23"/>
                <w:szCs w:val="23"/>
                <w:color w:val="auto"/>
              </w:rPr>
            </w:pP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407,844</w:t>
            </w:r>
          </w:p>
        </w:tc>
      </w:tr>
      <w:tr>
        <w:trPr>
          <w:trHeight w:val="274"/>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274,247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278,691</w:t>
            </w:r>
          </w:p>
        </w:tc>
      </w:tr>
      <w:tr>
        <w:trPr>
          <w:trHeight w:val="266"/>
        </w:trPr>
        <w:tc>
          <w:tcPr>
            <w:tcW w:w="328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154,643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157,586</w:t>
            </w:r>
          </w:p>
        </w:tc>
      </w:tr>
      <w:tr>
        <w:trPr>
          <w:trHeight w:val="274"/>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117,670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122,264</w:t>
            </w:r>
          </w:p>
        </w:tc>
      </w:tr>
      <w:tr>
        <w:trPr>
          <w:trHeight w:val="266"/>
        </w:trPr>
        <w:tc>
          <w:tcPr>
            <w:tcW w:w="3280" w:type="dxa"/>
            <w:vAlign w:val="bottom"/>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34,673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3"/>
                <w:szCs w:val="23"/>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34,673</w:t>
            </w:r>
          </w:p>
        </w:tc>
      </w:t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1,202</w:t>
            </w:r>
          </w:p>
        </w:tc>
      </w:tr>
      <w:tr>
        <w:trPr>
          <w:trHeight w:val="268"/>
        </w:trPr>
        <w:tc>
          <w:tcPr>
            <w:tcW w:w="3280" w:type="dxa"/>
            <w:vAlign w:val="bottom"/>
          </w:tcPr>
          <w:p>
            <w:pPr>
              <w:ind w:left="260"/>
              <w:spacing w:after="0"/>
              <w:rPr>
                <w:sz w:val="20"/>
                <w:szCs w:val="20"/>
                <w:color w:val="auto"/>
              </w:rPr>
            </w:pPr>
            <w:r>
              <w:rPr>
                <w:rFonts w:ascii="Arial" w:cs="Arial" w:eastAsia="Arial" w:hAnsi="Arial"/>
                <w:sz w:val="14"/>
                <w:szCs w:val="14"/>
                <w:color w:val="auto"/>
              </w:rPr>
              <w:t>Total</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987,967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7,763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6,530</w:t>
            </w:r>
          </w:p>
        </w:tc>
        <w:tc>
          <w:tcPr>
            <w:tcW w:w="100" w:type="dxa"/>
            <w:vAlign w:val="bottom"/>
          </w:tcPr>
          <w:p>
            <w:pPr>
              <w:spacing w:after="0"/>
              <w:rPr>
                <w:sz w:val="23"/>
                <w:szCs w:val="23"/>
                <w:color w:val="auto"/>
              </w:rPr>
            </w:pP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1,002,260</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Category includes loans graded exceptional, very good, good, satisfactory and pass/watch</w:t>
      </w:r>
    </w:p>
    <w:p>
      <w:pPr>
        <w:spacing w:after="0" w:line="18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Impaired loans also include certain loans that have been modified in troubled debt restructurings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considering the borrower’s sustained repayment performance for a reasonable period, generally six months. The status of TDRs is as follows: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26"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Troubled Debt Restructurings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17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Recorded Investment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Nonperforming</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1"/>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328</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in total above</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66"/>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in total above</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six months ended June 30, 2019, there was one new troubled debt restructured loan, for which the scheduled payment was extended, with a pre-modification and post-modification recorded investment of $198 thousand. The Company had no defaulted TDR loans over the last twelve months. There was one restructured loan charged off in the amount of $15 thousand for the six months ended June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loan commitments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 Commitments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r>
      <w:tr>
        <w:trPr>
          <w:trHeight w:val="261"/>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Unused lines of credit</w:t>
            </w:r>
          </w:p>
        </w:tc>
        <w:tc>
          <w:tcPr>
            <w:tcW w:w="3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4"/>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46,810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52,083</w:t>
            </w:r>
          </w:p>
        </w:tc>
      </w:tr>
      <w:tr>
        <w:trPr>
          <w:trHeight w:val="269"/>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Commercial real estate</w:t>
            </w:r>
          </w:p>
        </w:tc>
        <w:tc>
          <w:tcPr>
            <w:tcW w:w="3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11,324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8,980</w:t>
            </w:r>
          </w:p>
        </w:tc>
      </w:tr>
      <w:tr>
        <w:trPr>
          <w:trHeight w:val="271"/>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 real estate</w:t>
            </w: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12,853</w:t>
            </w:r>
          </w:p>
        </w:tc>
      </w:tr>
      <w:tr>
        <w:trPr>
          <w:trHeight w:val="269"/>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Home equity</w:t>
            </w:r>
          </w:p>
        </w:tc>
        <w:tc>
          <w:tcPr>
            <w:tcW w:w="3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27,436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27,243</w:t>
            </w:r>
          </w:p>
        </w:tc>
      </w:tr>
      <w:tr>
        <w:trPr>
          <w:trHeight w:val="271"/>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Secured credit card</w:t>
            </w: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37,822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29,142</w:t>
            </w:r>
          </w:p>
        </w:tc>
      </w:tr>
      <w:tr>
        <w:trPr>
          <w:trHeight w:val="269"/>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Personal</w:t>
            </w:r>
          </w:p>
        </w:tc>
        <w:tc>
          <w:tcPr>
            <w:tcW w:w="3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126</w:t>
            </w:r>
          </w:p>
        </w:tc>
      </w:tr>
      <w:tr>
        <w:trPr>
          <w:trHeight w:val="271"/>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 commitments</w:t>
            </w: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9"/>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Residential real estate</w:t>
            </w:r>
          </w:p>
        </w:tc>
        <w:tc>
          <w:tcPr>
            <w:tcW w:w="3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89,902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72,424</w:t>
            </w:r>
          </w:p>
        </w:tc>
      </w:tr>
      <w:tr>
        <w:trPr>
          <w:trHeight w:val="27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 real estate</w:t>
            </w:r>
          </w:p>
        </w:tc>
        <w:tc>
          <w:tcPr>
            <w:tcW w:w="3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14,760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6,358</w:t>
            </w:r>
          </w:p>
        </w:tc>
      </w:tr>
      <w:tr>
        <w:trPr>
          <w:trHeight w:val="278"/>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unused lines of credit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250,567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209,209</w:t>
            </w:r>
          </w:p>
        </w:tc>
      </w:tr>
      <w:tr>
        <w:trPr>
          <w:trHeight w:val="251"/>
        </w:trPr>
        <w:tc>
          <w:tcPr>
            <w:tcW w:w="7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97"/>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Commitments to originate residential loans held for sale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647</w:t>
            </w:r>
          </w:p>
        </w:tc>
      </w:tr>
      <w:tr>
        <w:trPr>
          <w:trHeight w:val="251"/>
        </w:trPr>
        <w:tc>
          <w:tcPr>
            <w:tcW w:w="7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Letters of credit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5,502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6,216</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w:t>
      </w:r>
    </w:p>
    <w:p>
      <w:pPr>
        <w:sectPr>
          <w:pgSz w:w="11900" w:h="16838" w:orient="portrait"/>
          <w:cols w:equalWidth="0" w:num="1">
            <w:col w:w="11420"/>
          </w:cols>
          <w:pgMar w:left="240" w:top="726" w:right="239" w:bottom="60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726" w:right="239" w:bottom="606"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Loans Receivable (continued)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commitments generally have variable interest rates, fixed expiration dates, and may require payment of a fee.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Activity for this account is as follows:</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 Balance Sheet Reserve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920" w:type="dxa"/>
            <w:vAlign w:val="bottom"/>
            <w:tcBorders>
              <w:bottom w:val="single" w:sz="8" w:color="auto"/>
            </w:tcBorders>
            <w:gridSpan w:val="4"/>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color w:val="auto"/>
              </w:rPr>
              <w:t>June 30, 2018</w:t>
            </w:r>
          </w:p>
        </w:tc>
        <w:tc>
          <w:tcPr>
            <w:tcW w:w="2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June 30, 2018</w:t>
            </w:r>
          </w:p>
        </w:tc>
      </w:tr>
      <w:tr>
        <w:trPr>
          <w:trHeight w:val="251"/>
        </w:trPr>
        <w:tc>
          <w:tcPr>
            <w:tcW w:w="51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901</w:t>
            </w:r>
          </w:p>
        </w:tc>
      </w:tr>
      <w:tr>
        <w:trPr>
          <w:trHeight w:val="269"/>
        </w:trPr>
        <w:tc>
          <w:tcPr>
            <w:tcW w:w="51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charged to operating expense</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r>
      <w:tr>
        <w:trPr>
          <w:trHeight w:val="238"/>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 at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990</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make a claim for losses due to document deficiencies, program compliance, early payment default, and fraud or borrower misrepresentations.</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Activity in this reserve is as follows for the periods presented:</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Mortgage Loan Put-back Reserve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940" w:type="dxa"/>
            <w:vAlign w:val="bottom"/>
            <w:tcBorders>
              <w:bottom w:val="single" w:sz="8" w:color="auto"/>
            </w:tcBorders>
            <w:gridSpan w:val="4"/>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840" w:type="dxa"/>
            <w:vAlign w:val="bottom"/>
            <w:tcBorders>
              <w:bottom w:val="single" w:sz="8" w:color="auto"/>
            </w:tcBorders>
            <w:gridSpan w:val="4"/>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color w:val="auto"/>
              </w:rPr>
              <w:t>June 30,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22"/>
                <w:szCs w:val="22"/>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June 30, 2018</w:t>
            </w:r>
          </w:p>
        </w:tc>
      </w:tr>
      <w:tr>
        <w:trPr>
          <w:trHeight w:val="251"/>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r>
      <w:tr>
        <w:trPr>
          <w:trHeight w:val="269"/>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Provision charged to operating expense</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38"/>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Balance at end of period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26"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Derivative Financial Instruments</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measuring the fair value of the underlying asset, which is impacted by current interest rates and takes into consideration the probability that the rate lock commitments will close or will be funded.</w:t>
      </w:r>
    </w:p>
    <w:p>
      <w:pPr>
        <w:spacing w:after="0" w:line="17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On January 7, 2015, the Company entered into an interest rate swap transaction with a notional amount of $2 million. The swap qualifies as a derivative and is designated as a hedging instrument. The swap fixed the interest rate the Company paid on the floating rate junior subordinated debentures for four years beginning on March 16, 2015 and matured on March 16, 2019. Based on the notional amount, the Company paid FTN Financial Markets (“FTN”) quarterly interest at a fixed rate, and FTN paid the Company interest at a rate of three</w:t>
      </w:r>
      <w:r>
        <w:rPr>
          <w:rFonts w:ascii="MS PGothic" w:cs="MS PGothic" w:eastAsia="MS PGothic" w:hAnsi="MS PGothic"/>
          <w:sz w:val="18"/>
          <w:szCs w:val="18"/>
          <w:color w:val="auto"/>
        </w:rPr>
        <w:t>‑</w:t>
      </w:r>
      <w:r>
        <w:rPr>
          <w:rFonts w:ascii="Arial" w:cs="Arial" w:eastAsia="Arial" w:hAnsi="Arial"/>
          <w:sz w:val="18"/>
          <w:szCs w:val="18"/>
          <w:color w:val="auto"/>
        </w:rPr>
        <w:t>month LIBOR plus 1.87%. The unrealized gain (loss), net of income tax, has been recorded in other comprehensive income.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December 31, 2018</w:t>
            </w:r>
          </w:p>
        </w:tc>
      </w:tr>
      <w:tr>
        <w:trPr>
          <w:trHeight w:val="251"/>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open forward sales agreements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80,500</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r>
      <w:tr>
        <w:trPr>
          <w:trHeight w:val="269"/>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Fair value of open forward delivery sales agreements.</w:t>
            </w:r>
          </w:p>
        </w:tc>
        <w:tc>
          <w:tcPr>
            <w:tcW w:w="3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(446)</w:t>
            </w: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71"/>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open mandatory delivery commitments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19,074</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4,256</w:t>
            </w:r>
          </w:p>
        </w:tc>
      </w:tr>
      <w:tr>
        <w:trPr>
          <w:trHeight w:val="269"/>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Fair value of open mandatory delivery commitments</w:t>
            </w:r>
          </w:p>
        </w:tc>
        <w:tc>
          <w:tcPr>
            <w:tcW w:w="30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236</w:t>
            </w:r>
          </w:p>
        </w:tc>
        <w:tc>
          <w:tcPr>
            <w:tcW w:w="240" w:type="dxa"/>
            <w:vAlign w:val="bottom"/>
          </w:tcPr>
          <w:p>
            <w:pPr>
              <w:spacing w:after="0"/>
              <w:rPr>
                <w:sz w:val="23"/>
                <w:szCs w:val="23"/>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59</w:t>
            </w:r>
          </w:p>
        </w:tc>
      </w:tr>
      <w:tr>
        <w:trPr>
          <w:trHeight w:val="271"/>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interest rate lock commitments</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79,017</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18,776</w:t>
            </w:r>
          </w:p>
        </w:tc>
      </w:tr>
      <w:tr>
        <w:trPr>
          <w:trHeight w:val="269"/>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Fair value of interest rate lock commitments</w:t>
            </w:r>
          </w:p>
        </w:tc>
        <w:tc>
          <w:tcPr>
            <w:tcW w:w="30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229</w:t>
            </w:r>
          </w:p>
        </w:tc>
        <w:tc>
          <w:tcPr>
            <w:tcW w:w="240" w:type="dxa"/>
            <w:vAlign w:val="bottom"/>
          </w:tcPr>
          <w:p>
            <w:pPr>
              <w:spacing w:after="0"/>
              <w:rPr>
                <w:sz w:val="23"/>
                <w:szCs w:val="23"/>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108</w:t>
            </w:r>
          </w:p>
        </w:tc>
      </w:tr>
      <w:tr>
        <w:trPr>
          <w:trHeight w:val="271"/>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Fair value of interest rate swap</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26"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69462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6265"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9462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6265"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Leases</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On January 1, 2019, the Company adopted ASU 2016-02, Leases, as further explained in Note 1, Summary of Significant Accounting Policies. The Company’s primary leasing activities relate to certain real estate leases entered into in support of the Company’s branch operations and back office operations. On January 1, 2019, the Company leased five of its full service branches and four other locations for corporate/administration activities, operations, and loan production. All property leases under lease agreements have been been designated as operating leases. The Company does not have leases designated as finance leases.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2.24%.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the Company’s lease ROU assets and related lease liabilities were $4.5 million and $4.9 million, respectively, and have remaining terms ranging from 1 - 6 years, including extension options that the Company is reasonably certain will be exercised. As of June 30, 2019, the Company had not entered into any material leases that have not yet commenced. The Company’s lease information is summarized as follows: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June 30, 2019</w:t>
            </w:r>
          </w:p>
        </w:tc>
      </w:tr>
      <w:tr>
        <w:trPr>
          <w:trHeight w:val="265"/>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Lease Right of Use Asset</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6"/>
        </w:trPr>
        <w:tc>
          <w:tcPr>
            <w:tcW w:w="9380" w:type="dxa"/>
            <w:vAlign w:val="bottom"/>
            <w:gridSpan w:val="2"/>
          </w:tcPr>
          <w:p>
            <w:pPr>
              <w:ind w:left="40"/>
              <w:spacing w:after="0"/>
              <w:rPr>
                <w:sz w:val="20"/>
                <w:szCs w:val="20"/>
                <w:color w:val="auto"/>
              </w:rPr>
            </w:pPr>
            <w:r>
              <w:rPr>
                <w:rFonts w:ascii="Arial" w:cs="Arial" w:eastAsia="Arial" w:hAnsi="Arial"/>
                <w:sz w:val="14"/>
                <w:szCs w:val="14"/>
                <w:color w:val="auto"/>
              </w:rPr>
              <w:t>Lease asset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5,158</w:t>
            </w:r>
          </w:p>
        </w:tc>
      </w:tr>
      <w:tr>
        <w:trPr>
          <w:trHeight w:val="270"/>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r>
      <w:tr>
        <w:trPr>
          <w:trHeight w:val="250"/>
        </w:trPr>
        <w:tc>
          <w:tcPr>
            <w:tcW w:w="9380" w:type="dxa"/>
            <w:vAlign w:val="bottom"/>
            <w:gridSpan w:val="2"/>
          </w:tcPr>
          <w:p>
            <w:pPr>
              <w:ind w:left="40"/>
              <w:spacing w:after="0"/>
              <w:rPr>
                <w:sz w:val="20"/>
                <w:szCs w:val="20"/>
                <w:color w:val="auto"/>
              </w:rPr>
            </w:pPr>
            <w:r>
              <w:rPr>
                <w:rFonts w:ascii="Arial" w:cs="Arial" w:eastAsia="Arial" w:hAnsi="Arial"/>
                <w:sz w:val="14"/>
                <w:szCs w:val="14"/>
                <w:color w:val="auto"/>
              </w:rPr>
              <w:t>Net lease asset</w:t>
            </w:r>
          </w:p>
        </w:tc>
        <w:tc>
          <w:tcPr>
            <w:tcW w:w="34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4,541</w:t>
            </w:r>
          </w:p>
        </w:tc>
      </w:tr>
      <w:tr>
        <w:trPr>
          <w:trHeight w:val="270"/>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premises and equipment, net</w:t>
            </w: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2,661</w:t>
            </w:r>
          </w:p>
        </w:tc>
      </w:tr>
      <w:tr>
        <w:trPr>
          <w:trHeight w:val="281"/>
        </w:trPr>
        <w:tc>
          <w:tcPr>
            <w:tcW w:w="9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Premises and equipment, net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7,202</w:t>
            </w:r>
          </w:p>
        </w:tc>
      </w:tr>
      <w:tr>
        <w:trPr>
          <w:trHeight w:val="251"/>
        </w:trPr>
        <w:tc>
          <w:tcPr>
            <w:tcW w:w="9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69"/>
        </w:trPr>
        <w:tc>
          <w:tcPr>
            <w:tcW w:w="938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 Right of Use Liability</w:t>
            </w:r>
          </w:p>
        </w:tc>
        <w:tc>
          <w:tcPr>
            <w:tcW w:w="3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1"/>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Lease liability</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5,358</w:t>
            </w:r>
          </w:p>
        </w:tc>
      </w:tr>
      <w:tr>
        <w:trPr>
          <w:trHeight w:val="266"/>
        </w:trPr>
        <w:tc>
          <w:tcPr>
            <w:tcW w:w="9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Less: Accumulated amortization</w:t>
            </w: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w:t>
            </w:r>
          </w:p>
        </w:tc>
      </w:tr>
      <w:tr>
        <w:trPr>
          <w:trHeight w:val="254"/>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lease liability</w:t>
            </w:r>
          </w:p>
        </w:tc>
        <w:tc>
          <w:tcPr>
            <w:tcW w:w="3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4,865</w:t>
            </w:r>
          </w:p>
        </w:tc>
      </w:tr>
      <w:tr>
        <w:trPr>
          <w:trHeight w:val="266"/>
        </w:trPr>
        <w:tc>
          <w:tcPr>
            <w:tcW w:w="9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miscellaneous liabilities</w:t>
            </w: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12,833</w:t>
            </w:r>
          </w:p>
        </w:tc>
      </w:tr>
      <w:tr>
        <w:trPr>
          <w:trHeight w:val="241"/>
        </w:trPr>
        <w:tc>
          <w:tcPr>
            <w:tcW w:w="9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Other liabilities, net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17,698</w:t>
            </w:r>
          </w:p>
        </w:tc>
      </w:tr>
      <w:tr>
        <w:trPr>
          <w:trHeight w:val="20"/>
        </w:trPr>
        <w:tc>
          <w:tcPr>
            <w:tcW w:w="9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26"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123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123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29845</wp:posOffset>
            </wp:positionV>
            <wp:extent cx="1294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June 30, 2019</w:t>
            </w:r>
          </w:p>
        </w:tc>
      </w:tr>
      <w:tr>
        <w:trPr>
          <w:trHeight w:val="265"/>
        </w:trPr>
        <w:tc>
          <w:tcPr>
            <w:tcW w:w="9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due in:</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6"/>
        </w:trPr>
        <w:tc>
          <w:tcPr>
            <w:tcW w:w="9380" w:type="dxa"/>
            <w:vAlign w:val="bottom"/>
          </w:tcPr>
          <w:p>
            <w:pPr>
              <w:ind w:left="40"/>
              <w:spacing w:after="0"/>
              <w:rPr>
                <w:sz w:val="20"/>
                <w:szCs w:val="20"/>
                <w:color w:val="auto"/>
              </w:rPr>
            </w:pPr>
            <w:r>
              <w:rPr>
                <w:rFonts w:ascii="Arial" w:cs="Arial" w:eastAsia="Arial" w:hAnsi="Arial"/>
                <w:sz w:val="14"/>
                <w:szCs w:val="14"/>
                <w:color w:val="auto"/>
              </w:rPr>
              <w:t>2019</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580</w:t>
            </w:r>
          </w:p>
        </w:tc>
      </w:tr>
      <w:tr>
        <w:trPr>
          <w:trHeight w:val="274"/>
        </w:trPr>
        <w:tc>
          <w:tcPr>
            <w:tcW w:w="9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1,203</w:t>
            </w:r>
          </w:p>
        </w:tc>
      </w:tr>
      <w:tr>
        <w:trPr>
          <w:trHeight w:val="266"/>
        </w:trPr>
        <w:tc>
          <w:tcPr>
            <w:tcW w:w="9380" w:type="dxa"/>
            <w:vAlign w:val="bottom"/>
          </w:tcPr>
          <w:p>
            <w:pPr>
              <w:ind w:left="40"/>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1,187</w:t>
            </w:r>
          </w:p>
        </w:tc>
      </w:tr>
      <w:tr>
        <w:trPr>
          <w:trHeight w:val="274"/>
        </w:trPr>
        <w:tc>
          <w:tcPr>
            <w:tcW w:w="9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w:t>
            </w:r>
          </w:p>
        </w:tc>
      </w:tr>
      <w:tr>
        <w:trPr>
          <w:trHeight w:val="266"/>
        </w:trPr>
        <w:tc>
          <w:tcPr>
            <w:tcW w:w="9380" w:type="dxa"/>
            <w:vAlign w:val="bottom"/>
          </w:tcPr>
          <w:p>
            <w:pPr>
              <w:ind w:left="40"/>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712</w:t>
            </w:r>
          </w:p>
        </w:tc>
      </w:tr>
      <w:tr>
        <w:trPr>
          <w:trHeight w:val="270"/>
        </w:trPr>
        <w:tc>
          <w:tcPr>
            <w:tcW w:w="9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After 2023</w:t>
            </w: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w:t>
            </w:r>
          </w:p>
        </w:tc>
      </w:tr>
      <w:tr>
        <w:trPr>
          <w:trHeight w:val="241"/>
        </w:trPr>
        <w:tc>
          <w:tcPr>
            <w:tcW w:w="9380" w:type="dxa"/>
            <w:vAlign w:val="bottom"/>
          </w:tcPr>
          <w:p>
            <w:pPr>
              <w:ind w:left="180"/>
              <w:spacing w:after="0"/>
              <w:rPr>
                <w:sz w:val="20"/>
                <w:szCs w:val="20"/>
                <w:color w:val="auto"/>
              </w:rPr>
            </w:pPr>
            <w:r>
              <w:rPr>
                <w:rFonts w:ascii="Arial" w:cs="Arial" w:eastAsia="Arial" w:hAnsi="Arial"/>
                <w:sz w:val="14"/>
                <w:szCs w:val="14"/>
                <w:color w:val="auto"/>
              </w:rPr>
              <w:t>Total lease payments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4,926</w:t>
            </w:r>
          </w:p>
        </w:tc>
      </w:tr>
      <w:tr>
        <w:trPr>
          <w:trHeight w:val="20"/>
        </w:trPr>
        <w:tc>
          <w:tcPr>
            <w:tcW w:w="9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interest rate swap is reported at fair value utilizing Level 2 inputs. The Company obtains dealer quotations to value its swap. For purposes of potential valuation adjustments to its derivative position, the</w:t>
      </w:r>
    </w:p>
    <w:p>
      <w:pPr>
        <w:sectPr>
          <w:pgSz w:w="11900" w:h="16838" w:orient="portrait"/>
          <w:cols w:equalWidth="0" w:num="1">
            <w:col w:w="11420"/>
          </w:cols>
          <w:pgMar w:left="240" w:top="294"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94" w:right="239"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Fair Value (continued)</w:t>
      </w: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Company evaluates the credit risk of its counterparty. Accordingly, the Company has considered factors such as the likelihood of default by the counterparty and the remaining contractual life, among other things, in determining if any fair value adjustment related to credit risk is required.</w:t>
      </w:r>
    </w:p>
    <w:p>
      <w:pPr>
        <w:spacing w:after="0" w:line="145"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Company has categorized its financial instruments measured at fair value on a recurring basis as of June 30, 2019 and December 31, 2018 as follows:</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08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89"/>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 Inputs</w:t>
            </w:r>
          </w:p>
        </w:tc>
      </w:tr>
      <w:tr>
        <w:trPr>
          <w:trHeight w:val="261"/>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r>
      <w:tr>
        <w:trPr>
          <w:trHeight w:val="26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Municipal</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521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521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ind w:left="860"/>
              <w:spacing w:after="0"/>
              <w:rPr>
                <w:sz w:val="20"/>
                <w:szCs w:val="20"/>
                <w:color w:val="auto"/>
              </w:rPr>
            </w:pPr>
            <w:r>
              <w:rPr>
                <w:rFonts w:ascii="Arial" w:cs="Arial" w:eastAsia="Arial" w:hAnsi="Arial"/>
                <w:sz w:val="14"/>
                <w:szCs w:val="14"/>
                <w:b w:val="1"/>
                <w:bCs w:val="1"/>
                <w:color w:val="auto"/>
              </w:rPr>
              <w:t>—</w:t>
            </w:r>
          </w:p>
        </w:tc>
      </w:tr>
      <w:tr>
        <w:trPr>
          <w:trHeight w:val="271"/>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Corporate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r>
      <w:tr>
        <w:trPr>
          <w:trHeight w:val="269"/>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29,269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29,269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r>
      <w:tr>
        <w:trPr>
          <w:trHeight w:val="237"/>
        </w:trPr>
        <w:tc>
          <w:tcPr>
            <w:tcW w:w="5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39,157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39,157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r>
      <w:tr>
        <w:trPr>
          <w:trHeight w:val="20"/>
        </w:trPr>
        <w:tc>
          <w:tcPr>
            <w:tcW w:w="60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47,744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47,744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r>
      <w:tr>
        <w:trPr>
          <w:trHeight w:val="21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r>
      <w:tr>
        <w:trPr>
          <w:trHeight w:val="20"/>
        </w:trPr>
        <w:tc>
          <w:tcPr>
            <w:tcW w:w="60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Derivative liabilities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446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ind w:left="860"/>
              <w:spacing w:after="0"/>
              <w:rPr>
                <w:sz w:val="20"/>
                <w:szCs w:val="20"/>
                <w:color w:val="auto"/>
              </w:rPr>
            </w:pPr>
            <w:r>
              <w:rPr>
                <w:rFonts w:ascii="Arial" w:cs="Arial" w:eastAsia="Arial" w:hAnsi="Arial"/>
                <w:sz w:val="14"/>
                <w:szCs w:val="14"/>
                <w:b w:val="1"/>
                <w:bCs w:val="1"/>
                <w:color w:val="auto"/>
              </w:rPr>
              <w:t>—</w:t>
            </w:r>
          </w:p>
        </w:tc>
      </w:tr>
      <w:tr>
        <w:trPr>
          <w:trHeight w:val="170"/>
        </w:trPr>
        <w:tc>
          <w:tcPr>
            <w:tcW w:w="5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26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54"/>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6"/>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17,360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17,360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ind w:left="860"/>
              <w:spacing w:after="0"/>
              <w:rPr>
                <w:sz w:val="20"/>
                <w:szCs w:val="20"/>
                <w:color w:val="auto"/>
              </w:rPr>
            </w:pPr>
            <w:r>
              <w:rPr>
                <w:rFonts w:ascii="Arial" w:cs="Arial" w:eastAsia="Arial" w:hAnsi="Arial"/>
                <w:sz w:val="14"/>
                <w:szCs w:val="14"/>
                <w:color w:val="auto"/>
              </w:rPr>
              <w:t>—</w:t>
            </w:r>
          </w:p>
        </w:tc>
      </w:tr>
      <w:tr>
        <w:trPr>
          <w:trHeight w:val="27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Municipal</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r>
      <w:tr>
        <w:trPr>
          <w:trHeight w:val="266"/>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Corporate</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ind w:left="860"/>
              <w:spacing w:after="0"/>
              <w:rPr>
                <w:sz w:val="20"/>
                <w:szCs w:val="20"/>
                <w:color w:val="auto"/>
              </w:rPr>
            </w:pPr>
            <w:r>
              <w:rPr>
                <w:rFonts w:ascii="Arial" w:cs="Arial" w:eastAsia="Arial" w:hAnsi="Arial"/>
                <w:sz w:val="14"/>
                <w:szCs w:val="14"/>
                <w:color w:val="auto"/>
              </w:rPr>
              <w:t>—</w:t>
            </w:r>
          </w:p>
        </w:tc>
      </w:tr>
      <w:tr>
        <w:trPr>
          <w:trHeight w:val="27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26,186</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26,186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r>
      <w:tr>
        <w:trPr>
          <w:trHeight w:val="290"/>
        </w:trPr>
        <w:tc>
          <w:tcPr>
            <w:tcW w:w="5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r>
      <w:tr>
        <w:trPr>
          <w:trHeight w:val="228"/>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18,526</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18,526</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Derivative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Derivative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26" w:right="239" w:bottom="1440" w:gutter="0" w:footer="0" w:header="0"/>
        </w:sectPr>
      </w:pPr>
    </w:p>
    <w:bookmarkStart w:id="34" w:name="page35"/>
    <w:bookmarkEnd w:id="3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Fair Value (continued)</w:t>
      </w:r>
    </w:p>
    <w:p>
      <w:pPr>
        <w:spacing w:after="0" w:line="26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33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Fair Value of Loans Held for Sale</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r>
      <w:tr>
        <w:trPr>
          <w:trHeight w:val="249"/>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Aggregate fair value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b w:val="1"/>
                <w:bCs w:val="1"/>
                <w:color w:val="auto"/>
              </w:rPr>
              <w:t>47,744</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18,526</w:t>
            </w:r>
          </w:p>
        </w:tc>
      </w:tr>
      <w:tr>
        <w:trPr>
          <w:trHeight w:val="271"/>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Contractual principal</w:t>
            </w:r>
          </w:p>
        </w:tc>
        <w:tc>
          <w:tcPr>
            <w:tcW w:w="3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46,145</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17,822</w:t>
            </w:r>
          </w:p>
        </w:tc>
      </w:tr>
      <w:tr>
        <w:trPr>
          <w:trHeight w:val="238"/>
        </w:trPr>
        <w:tc>
          <w:tcPr>
            <w:tcW w:w="7300" w:type="dxa"/>
            <w:vAlign w:val="bottom"/>
            <w:gridSpan w:val="2"/>
          </w:tcPr>
          <w:p>
            <w:pPr>
              <w:ind w:left="160"/>
              <w:spacing w:after="0"/>
              <w:rPr>
                <w:sz w:val="20"/>
                <w:szCs w:val="20"/>
                <w:color w:val="auto"/>
              </w:rPr>
            </w:pPr>
            <w:r>
              <w:rPr>
                <w:rFonts w:ascii="Arial" w:cs="Arial" w:eastAsia="Arial" w:hAnsi="Arial"/>
                <w:sz w:val="14"/>
                <w:szCs w:val="14"/>
                <w:color w:val="auto"/>
              </w:rPr>
              <w:t>Difference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704</w:t>
            </w:r>
          </w:p>
        </w:tc>
      </w:tr>
      <w:tr>
        <w:trPr>
          <w:trHeight w:val="20"/>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analysis. Fair value is generally determined based upon independent third-party appraisals of the properties, or discounted cash flows based upon the expected proceeds. These assets are included as Level 3 fair values. As of June 30, 2019 and December 31, 2018, the fair values consist of loan balances of $6.8 million and $4.4 million, with specific reserves of $377 thousand and $262 thousand, respectively.</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December 31, 2018</w:t>
            </w:r>
          </w:p>
        </w:tc>
      </w:tr>
      <w:tr>
        <w:trPr>
          <w:trHeight w:val="265"/>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9"/>
        </w:trPr>
        <w:tc>
          <w:tcPr>
            <w:tcW w:w="7420" w:type="dxa"/>
            <w:vAlign w:val="bottom"/>
            <w:gridSpan w:val="2"/>
          </w:tcPr>
          <w:p>
            <w:pPr>
              <w:ind w:left="40"/>
              <w:spacing w:after="0"/>
              <w:rPr>
                <w:sz w:val="20"/>
                <w:szCs w:val="20"/>
                <w:color w:val="auto"/>
              </w:rPr>
            </w:pPr>
            <w:r>
              <w:rPr>
                <w:rFonts w:ascii="Arial" w:cs="Arial" w:eastAsia="Arial" w:hAnsi="Arial"/>
                <w:sz w:val="14"/>
                <w:szCs w:val="14"/>
                <w:color w:val="auto"/>
              </w:rPr>
              <w:t>Level 1 inputs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1"/>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Level 2 inputs</w:t>
            </w:r>
          </w:p>
        </w:tc>
        <w:tc>
          <w:tcPr>
            <w:tcW w:w="30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9"/>
        </w:trPr>
        <w:tc>
          <w:tcPr>
            <w:tcW w:w="7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Level 3 inputs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6,420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4,093</w:t>
            </w:r>
          </w:p>
        </w:tc>
      </w:tr>
      <w:tr>
        <w:trPr>
          <w:trHeight w:val="238"/>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4,093</w:t>
            </w: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1"/>
        </w:trPr>
        <w:tc>
          <w:tcPr>
            <w:tcW w:w="7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Foreclosed real estate</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9"/>
        </w:trPr>
        <w:tc>
          <w:tcPr>
            <w:tcW w:w="7420" w:type="dxa"/>
            <w:vAlign w:val="bottom"/>
            <w:gridSpan w:val="2"/>
          </w:tcPr>
          <w:p>
            <w:pPr>
              <w:ind w:left="40"/>
              <w:spacing w:after="0"/>
              <w:rPr>
                <w:sz w:val="20"/>
                <w:szCs w:val="20"/>
                <w:color w:val="auto"/>
              </w:rPr>
            </w:pPr>
            <w:r>
              <w:rPr>
                <w:rFonts w:ascii="Arial" w:cs="Arial" w:eastAsia="Arial" w:hAnsi="Arial"/>
                <w:sz w:val="14"/>
                <w:szCs w:val="14"/>
                <w:color w:val="auto"/>
              </w:rPr>
              <w:t>Level 1 inputs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1"/>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Level 2 inputs</w:t>
            </w:r>
          </w:p>
        </w:tc>
        <w:tc>
          <w:tcPr>
            <w:tcW w:w="30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9"/>
        </w:trPr>
        <w:tc>
          <w:tcPr>
            <w:tcW w:w="7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Level 3 inputs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r>
      <w:tr>
        <w:trPr>
          <w:trHeight w:val="238"/>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26" w:right="239" w:bottom="1440" w:gutter="0" w:footer="0" w:header="0"/>
        </w:sectPr>
      </w:pPr>
    </w:p>
    <w:bookmarkStart w:id="35" w:name="page36"/>
    <w:bookmarkEnd w:id="3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Fair Value (continued)</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June 30, 2019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Unobservable Inputs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Borders>
              <w:bottom w:val="single" w:sz="8" w:color="CCEEFF"/>
            </w:tcBorders>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Valuation Technique</w:t>
            </w:r>
          </w:p>
        </w:tc>
        <w:tc>
          <w:tcPr>
            <w:tcW w:w="120" w:type="dxa"/>
            <w:vAlign w:val="bottom"/>
            <w:tcBorders>
              <w:bottom w:val="single" w:sz="8" w:color="CCEEFF"/>
            </w:tcBorders>
          </w:tcPr>
          <w:p>
            <w:pPr>
              <w:spacing w:after="0"/>
              <w:rPr>
                <w:sz w:val="20"/>
                <w:szCs w:val="20"/>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Unobservable Inputs</w:t>
            </w:r>
          </w:p>
        </w:tc>
        <w:tc>
          <w:tcPr>
            <w:tcW w:w="1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Range of Inputs</w:t>
            </w:r>
          </w:p>
        </w:tc>
      </w:tr>
      <w:tr>
        <w:trPr>
          <w:trHeight w:val="195"/>
        </w:trPr>
        <w:tc>
          <w:tcPr>
            <w:tcW w:w="218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Appraised Value/Discounted Cash</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Discounts to appraisals or cash flows for estimated</w:t>
            </w:r>
          </w:p>
        </w:tc>
        <w:tc>
          <w:tcPr>
            <w:tcW w:w="1820" w:type="dxa"/>
            <w:vAlign w:val="bottom"/>
            <w:shd w:val="clear" w:color="auto" w:fill="CCEEFF"/>
          </w:tcPr>
          <w:p>
            <w:pPr>
              <w:spacing w:after="0"/>
              <w:rPr>
                <w:sz w:val="16"/>
                <w:szCs w:val="16"/>
                <w:color w:val="auto"/>
              </w:rPr>
            </w:pPr>
          </w:p>
        </w:tc>
      </w:tr>
      <w:tr>
        <w:trPr>
          <w:trHeight w:val="234"/>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Impaired Loans</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Flows</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holding and/or selling costs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 to 25%</w:t>
            </w:r>
          </w:p>
        </w:tc>
      </w:tr>
      <w:tr>
        <w:trPr>
          <w:trHeight w:val="198"/>
        </w:trPr>
        <w:tc>
          <w:tcPr>
            <w:tcW w:w="21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Discounts to appraisals for estimated holding and/or</w:t>
            </w:r>
          </w:p>
        </w:tc>
        <w:tc>
          <w:tcPr>
            <w:tcW w:w="1820" w:type="dxa"/>
            <w:vAlign w:val="bottom"/>
          </w:tcPr>
          <w:p>
            <w:pPr>
              <w:spacing w:after="0"/>
              <w:rPr>
                <w:sz w:val="17"/>
                <w:szCs w:val="17"/>
                <w:color w:val="auto"/>
              </w:rPr>
            </w:pPr>
          </w:p>
        </w:tc>
      </w:tr>
      <w:tr>
        <w:trPr>
          <w:trHeight w:val="219"/>
        </w:trPr>
        <w:tc>
          <w:tcPr>
            <w:tcW w:w="2180" w:type="dxa"/>
            <w:vAlign w:val="bottom"/>
          </w:tcPr>
          <w:p>
            <w:pPr>
              <w:ind w:left="40"/>
              <w:spacing w:after="0"/>
              <w:rPr>
                <w:sz w:val="20"/>
                <w:szCs w:val="20"/>
                <w:color w:val="auto"/>
              </w:rPr>
            </w:pPr>
            <w:r>
              <w:rPr>
                <w:rFonts w:ascii="Arial" w:cs="Arial" w:eastAsia="Arial" w:hAnsi="Arial"/>
                <w:sz w:val="16"/>
                <w:szCs w:val="16"/>
                <w:color w:val="auto"/>
              </w:rPr>
              <w:t>Foreclosed Real Estate</w:t>
            </w:r>
          </w:p>
        </w:tc>
        <w:tc>
          <w:tcPr>
            <w:tcW w:w="3100" w:type="dxa"/>
            <w:vAlign w:val="bottom"/>
            <w:gridSpan w:val="2"/>
          </w:tcPr>
          <w:p>
            <w:pPr>
              <w:jc w:val="center"/>
              <w:ind w:right="120"/>
              <w:spacing w:after="0"/>
              <w:rPr>
                <w:sz w:val="20"/>
                <w:szCs w:val="20"/>
                <w:color w:val="auto"/>
              </w:rPr>
            </w:pPr>
            <w:r>
              <w:rPr>
                <w:rFonts w:ascii="Arial" w:cs="Arial" w:eastAsia="Arial" w:hAnsi="Arial"/>
                <w:sz w:val="16"/>
                <w:szCs w:val="16"/>
                <w:color w:val="auto"/>
              </w:rPr>
              <w:t>Appraised Value/Comparable Sales</w:t>
            </w:r>
          </w:p>
        </w:tc>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selling costs</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11 to 25%</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that contractual right or obligation to either receive or deliver cash for another financial instrument.</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2018, the Company adopted ASU 2016-01, “Recognition and Measurement of Financial Assets and Liabilities.” The amendments included within this standard, which are applied prospectively, require the Company to disclose fair value of financial instruments measured at amortized cost on the balance sheet and to measure that fair value using an exit price notion. Prior to adopting the amendments included in the standard, the Company was allowed to measure fair value under an entry price notion. The entry price notion previously applied by the Company used a discounted cash flows technique to calculate the present value of expected future cash flows for a financial instrument. The exit price notion uses the same approach, but also incorporates other factors, such as enhanced credit risk, illiquidity risk, and market factors that sometimes exist in exit prices in dislocated markets.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the Company’s loan portfolio has always included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78"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26" w:right="239" w:bottom="1440" w:gutter="0" w:footer="0" w:header="0"/>
        </w:sectPr>
      </w:pPr>
    </w:p>
    <w:bookmarkStart w:id="36" w:name="page37"/>
    <w:bookmarkEnd w:id="3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Fair Value (continued)</w:t>
      </w:r>
    </w:p>
    <w:p>
      <w:pPr>
        <w:spacing w:after="0" w:line="26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4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14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1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color w:val="auto"/>
              </w:rPr>
              <w:t>December 31, 2018</w:t>
            </w:r>
          </w:p>
        </w:tc>
      </w:tr>
      <w:tr>
        <w:trPr>
          <w:trHeight w:val="263"/>
        </w:trPr>
        <w:tc>
          <w:tcPr>
            <w:tcW w:w="56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Carrying Amount</w:t>
            </w:r>
          </w:p>
        </w:tc>
        <w:tc>
          <w:tcPr>
            <w:tcW w:w="240" w:type="dxa"/>
            <w:vAlign w:val="bottom"/>
          </w:tcPr>
          <w:p>
            <w:pPr>
              <w:spacing w:after="0"/>
              <w:rPr>
                <w:sz w:val="22"/>
                <w:szCs w:val="22"/>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Fair Value</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Level 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4"/>
                <w:szCs w:val="14"/>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12,253</w:t>
            </w:r>
          </w:p>
        </w:tc>
        <w:tc>
          <w:tcPr>
            <w:tcW w:w="12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12,253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10,431</w:t>
            </w:r>
          </w:p>
        </w:tc>
        <w:tc>
          <w:tcPr>
            <w:tcW w:w="10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10,431</w:t>
            </w:r>
          </w:p>
        </w:tc>
      </w:tr>
      <w:tr>
        <w:trPr>
          <w:trHeight w:val="27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bearing deposits at other financial institutions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65,284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65,284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22,007</w:t>
            </w:r>
          </w:p>
        </w:tc>
      </w:tr>
      <w:tr>
        <w:trPr>
          <w:trHeight w:val="269"/>
        </w:trPr>
        <w:tc>
          <w:tcPr>
            <w:tcW w:w="5620" w:type="dxa"/>
            <w:vAlign w:val="bottom"/>
          </w:tcPr>
          <w:p>
            <w:pPr>
              <w:ind w:left="280"/>
              <w:spacing w:after="0"/>
              <w:rPr>
                <w:sz w:val="20"/>
                <w:szCs w:val="20"/>
                <w:color w:val="auto"/>
              </w:rPr>
            </w:pPr>
            <w:r>
              <w:rPr>
                <w:rFonts w:ascii="Arial" w:cs="Arial" w:eastAsia="Arial" w:hAnsi="Arial"/>
                <w:sz w:val="14"/>
                <w:szCs w:val="14"/>
                <w:color w:val="auto"/>
              </w:rPr>
              <w:t>Federal funds sold</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1,991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1,991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2,285</w:t>
            </w:r>
          </w:p>
        </w:tc>
      </w:tr>
      <w:tr>
        <w:trPr>
          <w:trHeight w:val="27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investments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4,137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w:t>
            </w:r>
          </w:p>
        </w:tc>
      </w:tr>
      <w:tr>
        <w:trPr>
          <w:trHeight w:val="266"/>
        </w:trPr>
        <w:tc>
          <w:tcPr>
            <w:tcW w:w="5620" w:type="dxa"/>
            <w:vAlign w:val="bottom"/>
          </w:tcPr>
          <w:p>
            <w:pPr>
              <w:ind w:left="18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1,044,377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1,039,071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988,960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979,058</w:t>
            </w:r>
          </w:p>
        </w:tc>
      </w:tr>
      <w:tr>
        <w:trPr>
          <w:trHeight w:val="270"/>
        </w:trPr>
        <w:tc>
          <w:tcPr>
            <w:tcW w:w="5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5620" w:type="dxa"/>
            <w:vAlign w:val="bottom"/>
          </w:tcPr>
          <w:p>
            <w:pPr>
              <w:ind w:left="18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Noninterest 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279,484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279,484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242,259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242,259</w:t>
            </w:r>
          </w:p>
        </w:tc>
      </w:tr>
      <w:tr>
        <w:trPr>
          <w:trHeight w:val="269"/>
        </w:trPr>
        <w:tc>
          <w:tcPr>
            <w:tcW w:w="5620" w:type="dxa"/>
            <w:vAlign w:val="bottom"/>
          </w:tcPr>
          <w:p>
            <w:pPr>
              <w:ind w:left="280"/>
              <w:spacing w:after="0"/>
              <w:rPr>
                <w:sz w:val="20"/>
                <w:szCs w:val="20"/>
                <w:color w:val="auto"/>
              </w:rPr>
            </w:pPr>
            <w:r>
              <w:rPr>
                <w:rFonts w:ascii="Arial" w:cs="Arial" w:eastAsia="Arial" w:hAnsi="Arial"/>
                <w:sz w:val="14"/>
                <w:szCs w:val="14"/>
                <w:color w:val="auto"/>
              </w:rPr>
              <w:t>Securities sold under agreements to repurchase</w:t>
            </w:r>
          </w:p>
        </w:tc>
        <w:tc>
          <w:tcPr>
            <w:tcW w:w="1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3,332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3,332</w:t>
            </w:r>
          </w:p>
        </w:tc>
      </w:tr>
      <w:tr>
        <w:trPr>
          <w:trHeight w:val="271"/>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Level 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4"/>
                <w:szCs w:val="14"/>
                <w:color w:val="auto"/>
              </w:rPr>
              <w:t>Interest bearing deposits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757,520</w:t>
            </w:r>
          </w:p>
        </w:tc>
        <w:tc>
          <w:tcPr>
            <w:tcW w:w="12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757,497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712,981</w:t>
            </w:r>
          </w:p>
        </w:tc>
        <w:tc>
          <w:tcPr>
            <w:tcW w:w="10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711,876</w:t>
            </w:r>
          </w:p>
        </w:tc>
      </w:tr>
      <w:tr>
        <w:trPr>
          <w:trHeight w:val="27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FHLB advances and other borrowed funds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54,298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54,132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26" w:right="239" w:bottom="1440" w:gutter="0" w:footer="0" w:header="0"/>
        </w:sectPr>
      </w:pPr>
    </w:p>
    <w:bookmarkStart w:id="37" w:name="page38"/>
    <w:bookmarkEnd w:id="3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Capital Bancorp, Inc. and Subsidiaries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Litigation</w:t>
      </w: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previously reported in the Company’s quarterly report on Form 10-Q for the quarter ended March 31, 2019, the Bank, along with two other banking institutions, was a defendant in a lawsuit to which on April 9, 2019, the Bank entered into a Settlement Agreement and Joint Tortfeasor Release with the plaintiff. All amounts paid by the Bank were fully funded by its insurance carrier except for $200,000 which was accrued at March 31, 2019 and paid in April, 2019. The Settlement includes a release of all claims in the lawsuit that were or could have been brought and precludes further proceedings.</w:t>
      </w:r>
    </w:p>
    <w:p>
      <w:pPr>
        <w:spacing w:after="0" w:line="175"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8"/>
          <w:szCs w:val="18"/>
          <w:color w:val="auto"/>
        </w:rPr>
        <w:t>In addition to the lawsuit described above, the Company is involved in legal proceedings occurring in the ordinary course of business. The aggregate effect of these, in management’s opinion, would not be material on the results of operations or financial condition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2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18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These forward-looking statements are subject to risks and uncertainties that could cause actual results, performance or achievements to differ materially from those projected. These risks and uncertainties, some of which are beyond our control, include, but are not limited to:</w:t>
      </w:r>
    </w:p>
    <w:p>
      <w:pPr>
        <w:spacing w:after="0" w:line="145" w:lineRule="exact"/>
        <w:rPr>
          <w:sz w:val="20"/>
          <w:szCs w:val="20"/>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44"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metropolitan areas and the effect of changes in the economic, political and environmental conditions on these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22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greater risks of non-payment or other unfavorable consequences;</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residential mortgage banking business;</w:t>
      </w:r>
    </w:p>
    <w:p>
      <w:pPr>
        <w:spacing w:after="0" w:line="238"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OpenSky credit card division, including compliance with applicable consumer finance and fraud prevention regulations;</w:t>
      </w:r>
    </w:p>
    <w:p>
      <w:pPr>
        <w:spacing w:after="0" w:line="144"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44"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58" w:right="239" w:bottom="1440" w:gutter="0" w:footer="0" w:header="0"/>
        </w:sectPr>
      </w:pPr>
    </w:p>
    <w:bookmarkStart w:id="39" w:name="page40"/>
    <w:bookmarkEnd w:id="39"/>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 risks associated with our business;</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possible impact of uncertainty about the future of </w:t>
      </w:r>
      <w:r>
        <w:rPr>
          <w:rFonts w:ascii="Arial" w:cs="Arial" w:eastAsia="Arial" w:hAnsi="Arial"/>
          <w:sz w:val="18"/>
          <w:szCs w:val="18"/>
          <w:i w:val="1"/>
          <w:iCs w:val="1"/>
          <w:color w:val="auto"/>
        </w:rPr>
        <w:t>LIBOR</w:t>
      </w:r>
      <w:r>
        <w:rPr>
          <w:rFonts w:ascii="Arial" w:cs="Arial" w:eastAsia="Arial" w:hAnsi="Arial"/>
          <w:sz w:val="18"/>
          <w:szCs w:val="18"/>
          <w:color w:val="auto"/>
        </w:rPr>
        <w:t xml:space="preserve"> on our net interest income;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and our reputation;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risks associated with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225" w:lineRule="exact"/>
        <w:rPr>
          <w:rFonts w:ascii="Arial" w:cs="Arial" w:eastAsia="Arial" w:hAnsi="Arial"/>
          <w:sz w:val="18"/>
          <w:szCs w:val="18"/>
          <w:color w:val="auto"/>
        </w:rPr>
      </w:pPr>
    </w:p>
    <w:p>
      <w:pPr>
        <w:ind w:left="328" w:right="20"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25" w:lineRule="exact"/>
        <w:rPr>
          <w:rFonts w:ascii="Arial" w:cs="Arial" w:eastAsia="Arial" w:hAnsi="Arial"/>
          <w:sz w:val="18"/>
          <w:szCs w:val="18"/>
          <w:color w:val="auto"/>
        </w:rPr>
      </w:pPr>
    </w:p>
    <w:p>
      <w:pPr>
        <w:ind w:left="328" w:right="20"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 and</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w:t>
      </w:r>
    </w:p>
    <w:p>
      <w:pPr>
        <w:spacing w:after="0" w:line="200" w:lineRule="exact"/>
        <w:rPr>
          <w:sz w:val="20"/>
          <w:szCs w:val="20"/>
          <w:color w:val="auto"/>
        </w:rPr>
      </w:pPr>
    </w:p>
    <w:p>
      <w:pPr>
        <w:spacing w:after="0" w:line="363"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8"/>
          </w:cols>
          <w:pgMar w:left="572" w:top="360" w:right="239" w:bottom="1440" w:gutter="0" w:footer="0" w:header="0"/>
        </w:sectPr>
      </w:pPr>
    </w:p>
    <w:bookmarkStart w:id="40" w:name="page41"/>
    <w:bookmarkEnd w:id="40"/>
    <w:p>
      <w:pPr>
        <w:jc w:val="both"/>
        <w:ind w:firstLine="324"/>
        <w:spacing w:after="0" w:line="254"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2018. 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document or elsewhere might not reflect actual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metropolitan areas through five commercial bank branches, five mortgage offices, two loan production offices, a limited service branch and three corporate and operations facilities located in key markets throughout our operating area. We serve businesses, not-for-profit associations and entrepreneurs throughout the region by partnering with them to design tailored financial solutions supported by customized technology and “client first” advice.</w:t>
      </w:r>
    </w:p>
    <w:p>
      <w:pPr>
        <w:spacing w:after="0" w:line="17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operate through three divisions: Commercial Banking; Capital Bank Home Loans (“CBHL”), formerly Church Street Mortgage, our residential mortgage banking arm; and OpenSky</w:t>
      </w:r>
      <w:r>
        <w:rPr>
          <w:rFonts w:ascii="Arial" w:cs="Arial" w:eastAsia="Arial" w:hAnsi="Arial"/>
          <w:sz w:val="21"/>
          <w:szCs w:val="21"/>
          <w:color w:val="auto"/>
          <w:vertAlign w:val="superscript"/>
        </w:rPr>
        <w:t>®</w:t>
      </w:r>
      <w:r>
        <w:rPr>
          <w:rFonts w:ascii="Arial" w:cs="Arial" w:eastAsia="Arial" w:hAnsi="Arial"/>
          <w:sz w:val="18"/>
          <w:szCs w:val="18"/>
          <w:color w:val="auto"/>
        </w:rPr>
        <w:t>, a secured, digitally-driven nationwide credit card platform. Our Commercial Banking division accounts for the majority of the Bank’s total assets. Our commercial bankers provide high quality service, customized solutions and tailored advice to commercial clients in our operating markets.</w:t>
      </w:r>
    </w:p>
    <w:p>
      <w:pPr>
        <w:spacing w:after="0" w:line="18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Capital Bank Home Loans division originates conventional and government-guaranteed residential mortgage loans on a nationwide basis primarily for sale into the secondary market and in certain, limited circumstances for the Bank’s loan portfolio.</w:t>
      </w:r>
    </w:p>
    <w:p>
      <w:pPr>
        <w:spacing w:after="0" w:line="14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Our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division provides secured credit cards on a nationwide basis to under-banked populations and those looking to rebuild their credit scores.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cards operate on a fully digital and mobile enabled platform with all marketing and application procedures conducted through website and mobile applications. A deposit equal to the full credit limit of the card is made into a noninterest-bearing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the Bank has recently begun to offer certain existing customers an unsecured line in excess of their secured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1100" w:type="dxa"/>
            <w:vAlign w:val="bottom"/>
            <w:tcBorders>
              <w:bottom w:val="single" w:sz="8" w:color="auto"/>
            </w:tcBorders>
          </w:tcPr>
          <w:p>
            <w:pPr>
              <w:spacing w:after="0"/>
              <w:rPr>
                <w:sz w:val="17"/>
                <w:szCs w:val="17"/>
                <w:color w:val="auto"/>
              </w:rPr>
            </w:pPr>
          </w:p>
        </w:tc>
      </w:tr>
      <w:tr>
        <w:trPr>
          <w:trHeight w:val="263"/>
        </w:trPr>
        <w:tc>
          <w:tcPr>
            <w:tcW w:w="63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3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6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20,289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16,767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2,645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42.1%</w:t>
            </w:r>
          </w:p>
        </w:tc>
      </w:tr>
      <w:tr>
        <w:trPr>
          <w:trHeight w:val="257"/>
        </w:trPr>
        <w:tc>
          <w:tcPr>
            <w:tcW w:w="63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16,531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7.5%</w:t>
            </w:r>
          </w:p>
        </w:tc>
      </w:tr>
      <w:tr>
        <w:trPr>
          <w:trHeight w:val="257"/>
        </w:trPr>
        <w:tc>
          <w:tcPr>
            <w:tcW w:w="63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 after provision</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15,854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62"/>
        </w:trPr>
        <w:tc>
          <w:tcPr>
            <w:tcW w:w="638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940" w:type="dxa"/>
            <w:vAlign w:val="bottom"/>
          </w:tcPr>
          <w:p>
            <w:pPr>
              <w:spacing w:after="0"/>
              <w:rPr>
                <w:sz w:val="22"/>
                <w:szCs w:val="22"/>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5,927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4,339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78"/>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expenses</w:t>
            </w:r>
          </w:p>
        </w:tc>
        <w:tc>
          <w:tcPr>
            <w:tcW w:w="9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16,210</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13,528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46"/>
        </w:trPr>
        <w:tc>
          <w:tcPr>
            <w:tcW w:w="6380" w:type="dxa"/>
            <w:vAlign w:val="bottom"/>
          </w:tcPr>
          <w:p>
            <w:pPr>
              <w:ind w:left="280"/>
              <w:spacing w:after="0"/>
              <w:rPr>
                <w:sz w:val="20"/>
                <w:szCs w:val="20"/>
                <w:color w:val="auto"/>
              </w:rPr>
            </w:pPr>
            <w:r>
              <w:rPr>
                <w:rFonts w:ascii="Arial" w:cs="Arial" w:eastAsia="Arial" w:hAnsi="Arial"/>
                <w:sz w:val="16"/>
                <w:szCs w:val="16"/>
                <w:b w:val="1"/>
                <w:bCs w:val="1"/>
                <w:color w:val="auto"/>
              </w:rPr>
              <w:t>Net income before income taxes</w:t>
            </w:r>
          </w:p>
        </w:tc>
        <w:tc>
          <w:tcPr>
            <w:tcW w:w="94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5,571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4,303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67"/>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9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43"/>
        </w:trPr>
        <w:tc>
          <w:tcPr>
            <w:tcW w:w="6380" w:type="dxa"/>
            <w:vAlign w:val="bottom"/>
          </w:tcPr>
          <w:p>
            <w:pPr>
              <w:ind w:left="280"/>
              <w:spacing w:after="0"/>
              <w:rPr>
                <w:sz w:val="20"/>
                <w:szCs w:val="20"/>
                <w:color w:val="auto"/>
              </w:rPr>
            </w:pPr>
            <w:r>
              <w:rPr>
                <w:rFonts w:ascii="Arial" w:cs="Arial" w:eastAsia="Arial" w:hAnsi="Arial"/>
                <w:sz w:val="16"/>
                <w:szCs w:val="16"/>
                <w:b w:val="1"/>
                <w:bCs w:val="1"/>
                <w:color w:val="auto"/>
              </w:rPr>
              <w:t>Net income</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4,023</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Net income for the three months ended June 30, 2019 was $4.0 million, an increase of approximately $878 thousand, or 28%, from net income for the three months ended June 30, 2018 of $3.1 million. The increase was primarily due to increased net interest income and noninterest income, offset by higher noninterest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Six Months Ended June 30,</w:t>
            </w:r>
          </w:p>
        </w:tc>
        <w:tc>
          <w:tcPr>
            <w:tcW w:w="1320" w:type="dxa"/>
            <w:vAlign w:val="bottom"/>
            <w:tcBorders>
              <w:bottom w:val="single" w:sz="8" w:color="auto"/>
            </w:tcBorders>
          </w:tcPr>
          <w:p>
            <w:pPr>
              <w:spacing w:after="0"/>
              <w:rPr>
                <w:sz w:val="17"/>
                <w:szCs w:val="17"/>
                <w:color w:val="auto"/>
              </w:rPr>
            </w:pPr>
          </w:p>
        </w:tc>
      </w:tr>
      <w:tr>
        <w:trPr>
          <w:trHeight w:val="263"/>
        </w:trPr>
        <w:tc>
          <w:tcPr>
            <w:tcW w:w="63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3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6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38,607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33,431</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7,332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4,924</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48.9 %</w:t>
            </w:r>
          </w:p>
        </w:tc>
      </w:tr>
      <w:tr>
        <w:trPr>
          <w:trHeight w:val="257"/>
        </w:trPr>
        <w:tc>
          <w:tcPr>
            <w:tcW w:w="636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w:t>
            </w:r>
          </w:p>
        </w:tc>
        <w:tc>
          <w:tcPr>
            <w:tcW w:w="9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31,275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28,507</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9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(30.3)%</w:t>
            </w:r>
          </w:p>
        </w:tc>
      </w:tr>
      <w:tr>
        <w:trPr>
          <w:trHeight w:val="257"/>
        </w:trPr>
        <w:tc>
          <w:tcPr>
            <w:tcW w:w="636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 after provision</w:t>
            </w:r>
          </w:p>
        </w:tc>
        <w:tc>
          <w:tcPr>
            <w:tcW w:w="9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30,477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27,362</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62"/>
        </w:trPr>
        <w:tc>
          <w:tcPr>
            <w:tcW w:w="636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920" w:type="dxa"/>
            <w:vAlign w:val="bottom"/>
          </w:tcPr>
          <w:p>
            <w:pPr>
              <w:spacing w:after="0"/>
              <w:rPr>
                <w:sz w:val="22"/>
                <w:szCs w:val="22"/>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10,019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8,417</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19.0 %</w:t>
            </w:r>
          </w:p>
        </w:tc>
      </w:tr>
      <w:tr>
        <w:trPr>
          <w:trHeight w:val="278"/>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expenses</w:t>
            </w:r>
          </w:p>
        </w:tc>
        <w:tc>
          <w:tcPr>
            <w:tcW w:w="9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30,540</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27,128</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46"/>
        </w:trPr>
        <w:tc>
          <w:tcPr>
            <w:tcW w:w="6360" w:type="dxa"/>
            <w:vAlign w:val="bottom"/>
          </w:tcPr>
          <w:p>
            <w:pPr>
              <w:ind w:left="280"/>
              <w:spacing w:after="0"/>
              <w:rPr>
                <w:sz w:val="20"/>
                <w:szCs w:val="20"/>
                <w:color w:val="auto"/>
              </w:rPr>
            </w:pPr>
            <w:r>
              <w:rPr>
                <w:rFonts w:ascii="Arial" w:cs="Arial" w:eastAsia="Arial" w:hAnsi="Arial"/>
                <w:sz w:val="16"/>
                <w:szCs w:val="16"/>
                <w:b w:val="1"/>
                <w:bCs w:val="1"/>
                <w:color w:val="auto"/>
              </w:rPr>
              <w:t>Net income before income taxes</w:t>
            </w:r>
          </w:p>
        </w:tc>
        <w:tc>
          <w:tcPr>
            <w:tcW w:w="92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9,956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15.1 %</w:t>
            </w:r>
          </w:p>
        </w:tc>
      </w:tr>
      <w:tr>
        <w:trPr>
          <w:trHeight w:val="267"/>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9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2,516</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43"/>
        </w:trPr>
        <w:tc>
          <w:tcPr>
            <w:tcW w:w="6360" w:type="dxa"/>
            <w:vAlign w:val="bottom"/>
          </w:tcPr>
          <w:p>
            <w:pPr>
              <w:ind w:left="280"/>
              <w:spacing w:after="0"/>
              <w:rPr>
                <w:sz w:val="20"/>
                <w:szCs w:val="20"/>
                <w:color w:val="auto"/>
              </w:rPr>
            </w:pPr>
            <w:r>
              <w:rPr>
                <w:rFonts w:ascii="Arial" w:cs="Arial" w:eastAsia="Arial" w:hAnsi="Arial"/>
                <w:sz w:val="16"/>
                <w:szCs w:val="16"/>
                <w:b w:val="1"/>
                <w:bCs w:val="1"/>
                <w:color w:val="auto"/>
              </w:rPr>
              <w:t>Net income</w:t>
            </w:r>
          </w:p>
        </w:tc>
        <w:tc>
          <w:tcPr>
            <w:tcW w:w="92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7,342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6,135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19.7 %</w:t>
            </w:r>
          </w:p>
        </w:tc>
      </w:tr>
      <w:tr>
        <w:trPr>
          <w:trHeight w:val="20"/>
        </w:trPr>
        <w:tc>
          <w:tcPr>
            <w:tcW w:w="6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Net income for the six months ended June 30, 2019 was $ 7.3 million, an increase of approximately $1.2 million, or 20%, from net income for the six months ended June 30, 2018 of $6.1 million. The increase was primarily due to increased net interest income and noninterest income as well as lower provision for loan losses, offset by higher noninterest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analyze our ability to generate income from interest earning assets and control the interest expenses of our liabilities, measured as net interest income, through our net interest margin and net interest spread. Net interest income is the difference between the interest and fees earned on interest earning assets, such as loans and securities, and the interest expense incurred in connection with interest bearing liabilities, such as deposits and borrowings, which are used to fund those assets.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17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types of interest earning assets, interest bearing and</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358" w:right="239" w:bottom="1440" w:gutter="0" w:footer="0" w:header="0"/>
          <w:type w:val="continuous"/>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0" w:right="239" w:bottom="1440" w:gutter="0" w:footer="0" w:header="0"/>
        </w:sectPr>
      </w:pPr>
    </w:p>
    <w:bookmarkStart w:id="43" w:name="page44"/>
    <w:bookmarkEnd w:id="43"/>
    <w:p>
      <w:pPr>
        <w:jc w:val="both"/>
        <w:ind w:firstLine="324"/>
        <w:spacing w:after="0" w:line="271" w:lineRule="auto"/>
        <w:rPr>
          <w:sz w:val="20"/>
          <w:szCs w:val="20"/>
          <w:color w:val="auto"/>
        </w:rPr>
      </w:pPr>
      <w:r>
        <w:rPr>
          <w:rFonts w:ascii="Arial" w:cs="Arial" w:eastAsia="Arial" w:hAnsi="Arial"/>
          <w:sz w:val="18"/>
          <w:szCs w:val="18"/>
          <w:color w:val="auto"/>
        </w:rPr>
        <w:t>The following table shows the average outstanding balance of each principal category of our assets, liabilities and stockholders’ equity, together with the average yields on our assets and the average costs of our liabilities for the periods indicated. Such yields and cost are calculated by dividing income or expense by the average daily balances of the corresponding assets or liabilities for the same period.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Interest Income/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Interest Income/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4"/>
        </w:trPr>
        <w:tc>
          <w:tcPr>
            <w:tcW w:w="3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Expense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17"/>
                <w:szCs w:val="17"/>
                <w:b w:val="1"/>
                <w:bCs w:val="1"/>
                <w:color w:val="auto"/>
                <w:w w:val="99"/>
                <w:vertAlign w:val="superscript"/>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Expense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44"/>
        </w:trPr>
        <w:tc>
          <w:tcPr>
            <w:tcW w:w="332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2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48,682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28"/>
                <w:szCs w:val="28"/>
                <w:color w:val="auto"/>
                <w:vertAlign w:val="subscript"/>
              </w:rPr>
              <w:t>Loans</w:t>
            </w:r>
            <w:r>
              <w:rPr>
                <w:rFonts w:ascii="Arial" w:cs="Arial" w:eastAsia="Arial" w:hAnsi="Arial"/>
                <w:sz w:val="9"/>
                <w:szCs w:val="9"/>
                <w:color w:val="auto"/>
              </w:rPr>
              <w:t>(2)(3)</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1,024,306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19,123</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904,149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15,834</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earning assets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1,146,084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20,289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1,024,823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16,767</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60"/>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17,233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11,179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1,163,317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1,036,002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320" w:type="dxa"/>
            <w:vAlign w:val="bottom"/>
          </w:tcPr>
          <w:p>
            <w:pPr>
              <w:ind w:left="40"/>
              <w:spacing w:after="0"/>
              <w:rPr>
                <w:sz w:val="20"/>
                <w:szCs w:val="20"/>
                <w:color w:val="auto"/>
              </w:rPr>
            </w:pPr>
            <w:r>
              <w:rPr>
                <w:rFonts w:ascii="Arial" w:cs="Arial" w:eastAsia="Arial" w:hAnsi="Arial"/>
                <w:sz w:val="14"/>
                <w:szCs w:val="14"/>
                <w:color w:val="auto"/>
              </w:rPr>
              <w:t>Interest bearing liabilities: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76,770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Savings</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3,577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3,602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Money market accounts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333,248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286,836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277,402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323,840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1,322</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63,083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774,012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3,758</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720,177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2,645</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68"/>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15,963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8,499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 bearing deposits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251,408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221,896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121,934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85,430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1,163,317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1,036,002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17"/>
                <w:szCs w:val="17"/>
                <w:color w:val="auto"/>
                <w:vertAlign w:val="superscript"/>
              </w:rPr>
              <w:t>(4)</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4"/>
                <w:szCs w:val="14"/>
                <w:color w:val="auto"/>
              </w:rPr>
              <w:t>Net interest income</w:t>
            </w: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16,531</w:t>
            </w: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14,122</w:t>
            </w: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320" w:type="dxa"/>
            <w:vAlign w:val="bottom"/>
            <w:tcBorders>
              <w:bottom w:val="single" w:sz="8" w:color="CCEEFF"/>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7"/>
                <w:szCs w:val="17"/>
                <w:color w:val="auto"/>
                <w:vertAlign w:val="superscript"/>
              </w:rPr>
              <w:t>(5)</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20" w:type="dxa"/>
            <w:vAlign w:val="bottom"/>
            <w:vMerge w:val="restart"/>
          </w:tcPr>
          <w:p>
            <w:pPr>
              <w:ind w:left="40"/>
              <w:spacing w:after="0"/>
              <w:rPr>
                <w:sz w:val="20"/>
                <w:szCs w:val="20"/>
                <w:color w:val="auto"/>
              </w:rPr>
            </w:pPr>
            <w:r>
              <w:rPr>
                <w:rFonts w:ascii="Arial" w:cs="Arial" w:eastAsia="Arial" w:hAnsi="Arial"/>
                <w:sz w:val="14"/>
                <w:szCs w:val="14"/>
                <w:color w:val="auto"/>
              </w:rPr>
              <w:t>Net interest margin excluding credit card portfolio</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68"/>
        </w:trPr>
        <w:tc>
          <w:tcPr>
            <w:tcW w:w="33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-2540</wp:posOffset>
            </wp:positionV>
            <wp:extent cx="7543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-2540</wp:posOffset>
            </wp:positionV>
            <wp:extent cx="7543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-125095</wp:posOffset>
            </wp:positionV>
            <wp:extent cx="7543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-125095</wp:posOffset>
            </wp:positionV>
            <wp:extent cx="7543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340" w:hanging="332"/>
        <w:spacing w:after="0" w:line="23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Annualized.</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Interest income includes amortization of deferred loan fees, net of deferred loan costs.</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interest spread is the difference between interest rates earned on interest earning assets and interest rates paid on interest bearing liabilities.</w:t>
      </w:r>
    </w:p>
    <w:p>
      <w:pPr>
        <w:ind w:left="340" w:hanging="332"/>
        <w:spacing w:after="0" w:line="204"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interest margin is a ratio calculated as annualized net interest income divided by average interest earning assets for the same period.</w:t>
      </w: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0" w:right="239" w:bottom="1440" w:gutter="0" w:footer="0" w:header="0"/>
        </w:sectPr>
      </w:pPr>
    </w:p>
    <w:bookmarkStart w:id="44" w:name="page45"/>
    <w:bookmarkEnd w:id="44"/>
    <w:p>
      <w:pPr>
        <w:jc w:val="both"/>
        <w:ind w:firstLine="324"/>
        <w:spacing w:after="0" w:line="264" w:lineRule="auto"/>
        <w:rPr>
          <w:sz w:val="20"/>
          <w:szCs w:val="20"/>
          <w:color w:val="auto"/>
        </w:rPr>
      </w:pPr>
      <w:r>
        <w:rPr>
          <w:rFonts w:ascii="Arial" w:cs="Arial" w:eastAsia="Arial" w:hAnsi="Arial"/>
          <w:sz w:val="18"/>
          <w:szCs w:val="18"/>
          <w:color w:val="auto"/>
        </w:rPr>
        <w:t>The following table presents information regarding the dollar amount of changes in interest income and interest expense for the periods indicated for each major component of interest earning assets and interest bearing liabilities and distinguishes between the changes attributable to changes in volume and changes attributable to changes in interest rates. For purposes of this table, changes attributable to both rate and volume that cannot be segregated have been proportionately allocated to both volume and rate.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900" w:type="dxa"/>
            <w:vAlign w:val="bottom"/>
            <w:gridSpan w:val="7"/>
          </w:tcPr>
          <w:p>
            <w:pPr>
              <w:jc w:val="center"/>
              <w:ind w:right="1028"/>
              <w:spacing w:after="0"/>
              <w:rPr>
                <w:sz w:val="20"/>
                <w:szCs w:val="20"/>
                <w:color w:val="auto"/>
              </w:rPr>
            </w:pPr>
            <w:r>
              <w:rPr>
                <w:rFonts w:ascii="Arial" w:cs="Arial" w:eastAsia="Arial" w:hAnsi="Arial"/>
                <w:sz w:val="14"/>
                <w:szCs w:val="14"/>
                <w:b w:val="1"/>
                <w:bCs w:val="1"/>
                <w:color w:val="auto"/>
              </w:rPr>
              <w:t>Three Months Ended June 30, 2019</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Compared to the</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900" w:type="dxa"/>
            <w:vAlign w:val="bottom"/>
            <w:gridSpan w:val="7"/>
          </w:tcPr>
          <w:p>
            <w:pPr>
              <w:jc w:val="center"/>
              <w:ind w:right="1028"/>
              <w:spacing w:after="0"/>
              <w:rPr>
                <w:sz w:val="20"/>
                <w:szCs w:val="20"/>
                <w:color w:val="auto"/>
              </w:rPr>
            </w:pPr>
            <w:r>
              <w:rPr>
                <w:rFonts w:ascii="Arial" w:cs="Arial" w:eastAsia="Arial" w:hAnsi="Arial"/>
                <w:sz w:val="14"/>
                <w:szCs w:val="14"/>
                <w:b w:val="1"/>
                <w:bCs w:val="1"/>
                <w:color w:val="auto"/>
              </w:rPr>
              <w:t>Three Months Ended June 30, 2018</w:t>
            </w:r>
          </w:p>
        </w:tc>
        <w:tc>
          <w:tcPr>
            <w:tcW w:w="0" w:type="dxa"/>
            <w:vAlign w:val="bottom"/>
          </w:tcPr>
          <w:p>
            <w:pPr>
              <w:spacing w:after="0"/>
              <w:rPr>
                <w:sz w:val="1"/>
                <w:szCs w:val="1"/>
                <w:color w:val="auto"/>
              </w:rPr>
            </w:pPr>
          </w:p>
        </w:tc>
      </w:tr>
      <w:tr>
        <w:trPr>
          <w:trHeight w:val="56"/>
        </w:trPr>
        <w:tc>
          <w:tcPr>
            <w:tcW w:w="64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Change Due To</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4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Volume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8"/>
                <w:szCs w:val="18"/>
                <w:color w:val="auto"/>
              </w:rPr>
            </w:pP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Interest Variance</w:t>
            </w:r>
          </w:p>
        </w:tc>
        <w:tc>
          <w:tcPr>
            <w:tcW w:w="0" w:type="dxa"/>
            <w:vAlign w:val="bottom"/>
          </w:tcPr>
          <w:p>
            <w:pPr>
              <w:spacing w:after="0"/>
              <w:rPr>
                <w:sz w:val="1"/>
                <w:szCs w:val="1"/>
                <w:color w:val="auto"/>
              </w:rPr>
            </w:pPr>
          </w:p>
        </w:tc>
      </w:tr>
      <w:tr>
        <w:trPr>
          <w:trHeight w:val="56"/>
        </w:trPr>
        <w:tc>
          <w:tcPr>
            <w:tcW w:w="640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(in thousands)</w:t>
            </w:r>
          </w:p>
        </w:tc>
        <w:tc>
          <w:tcPr>
            <w:tcW w:w="1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400" w:type="dxa"/>
            <w:vAlign w:val="bottom"/>
            <w:vMerge w:val="continue"/>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400" w:type="dxa"/>
            <w:vAlign w:val="bottom"/>
          </w:tcPr>
          <w:p>
            <w:pPr>
              <w:ind w:left="200"/>
              <w:spacing w:after="0"/>
              <w:rPr>
                <w:sz w:val="20"/>
                <w:szCs w:val="20"/>
                <w:color w:val="auto"/>
              </w:rPr>
            </w:pPr>
            <w:r>
              <w:rPr>
                <w:rFonts w:ascii="Arial" w:cs="Arial" w:eastAsia="Arial" w:hAnsi="Arial"/>
                <w:sz w:val="14"/>
                <w:szCs w:val="14"/>
                <w:color w:val="auto"/>
              </w:rPr>
              <w:t>Interest bearing deposits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Federal funds sold</w:t>
            </w:r>
          </w:p>
        </w:tc>
        <w:tc>
          <w:tcPr>
            <w:tcW w:w="1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6"/>
        </w:trPr>
        <w:tc>
          <w:tcPr>
            <w:tcW w:w="6400" w:type="dxa"/>
            <w:vAlign w:val="bottom"/>
          </w:tcPr>
          <w:p>
            <w:pPr>
              <w:ind w:left="260"/>
              <w:spacing w:after="0"/>
              <w:rPr>
                <w:sz w:val="20"/>
                <w:szCs w:val="20"/>
                <w:color w:val="auto"/>
              </w:rPr>
            </w:pPr>
            <w:r>
              <w:rPr>
                <w:rFonts w:ascii="Arial" w:cs="Arial" w:eastAsia="Arial" w:hAnsi="Arial"/>
                <w:sz w:val="14"/>
                <w:szCs w:val="14"/>
                <w:color w:val="auto"/>
              </w:rPr>
              <w:t>Investment securities</w:t>
            </w:r>
          </w:p>
        </w:tc>
        <w:tc>
          <w:tcPr>
            <w:tcW w:w="110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w:t>
            </w:r>
          </w:p>
        </w:tc>
        <w:tc>
          <w:tcPr>
            <w:tcW w:w="1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6"/>
        </w:trPr>
        <w:tc>
          <w:tcPr>
            <w:tcW w:w="6400" w:type="dxa"/>
            <w:vAlign w:val="bottom"/>
          </w:tcPr>
          <w:p>
            <w:pPr>
              <w:ind w:left="220"/>
              <w:spacing w:after="0"/>
              <w:rPr>
                <w:sz w:val="20"/>
                <w:szCs w:val="20"/>
                <w:color w:val="auto"/>
              </w:rPr>
            </w:pPr>
            <w:r>
              <w:rPr>
                <w:rFonts w:ascii="Arial" w:cs="Arial" w:eastAsia="Arial" w:hAnsi="Arial"/>
                <w:sz w:val="14"/>
                <w:szCs w:val="14"/>
                <w:color w:val="auto"/>
              </w:rPr>
              <w:t>Loans held for sale</w:t>
            </w:r>
          </w:p>
        </w:tc>
        <w:tc>
          <w:tcPr>
            <w:tcW w:w="110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Loans</w:t>
            </w:r>
          </w:p>
        </w:tc>
        <w:tc>
          <w:tcPr>
            <w:tcW w:w="1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3,289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income</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268"/>
        </w:trPr>
        <w:tc>
          <w:tcPr>
            <w:tcW w:w="6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Interest Expense:</w:t>
            </w: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demand accounts</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6"/>
        </w:trPr>
        <w:tc>
          <w:tcPr>
            <w:tcW w:w="6400" w:type="dxa"/>
            <w:vAlign w:val="bottom"/>
          </w:tcPr>
          <w:p>
            <w:pPr>
              <w:ind w:left="200"/>
              <w:spacing w:after="0"/>
              <w:rPr>
                <w:sz w:val="20"/>
                <w:szCs w:val="20"/>
                <w:color w:val="auto"/>
              </w:rPr>
            </w:pPr>
            <w:r>
              <w:rPr>
                <w:rFonts w:ascii="Arial" w:cs="Arial" w:eastAsia="Arial" w:hAnsi="Arial"/>
                <w:sz w:val="14"/>
                <w:szCs w:val="14"/>
                <w:color w:val="auto"/>
              </w:rPr>
              <w:t>Savings</w:t>
            </w:r>
          </w:p>
        </w:tc>
        <w:tc>
          <w:tcPr>
            <w:tcW w:w="110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Money market accounts</w:t>
            </w:r>
          </w:p>
        </w:tc>
        <w:tc>
          <w:tcPr>
            <w:tcW w:w="1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66"/>
        </w:trPr>
        <w:tc>
          <w:tcPr>
            <w:tcW w:w="640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110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Borrowed funds</w:t>
            </w:r>
          </w:p>
        </w:tc>
        <w:tc>
          <w:tcPr>
            <w:tcW w:w="1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expense</w:t>
            </w:r>
          </w:p>
        </w:tc>
        <w:tc>
          <w:tcPr>
            <w:tcW w:w="1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income increased by $2.4 million to $16.5 million for the second quarter of 2019 compared to the second quarter of 2018. The Company’s annualized net interest margin excluding credit cards was 4.37% for the three months ended June 30, 2019, up 8 basis points from 4.29% for the three months ended June 30, 2018. Average total interest earning assets were $1.15 billion for the second quarter of 2019 compared with $1.02 billion for the second quarter of 2018. The annualized yield on those interest earning assets increased 54 basis points from 6.56% for the three months ended June 30, 2018 to 7.10% for the three months ended June 30, 2019. The increases in annualized average interest rates reflect four market interest rate increases during 2018. The increase in the average balance of interest earning assets was driven almost entirely by growth in the average balance of the loan portfolio of $120.2 million, or 13%, to $1.02 billion for the three months ended June 30, 2019 compared to $904.1 million for the three months ended June 30, 2018.</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Average interest bearing liabilities increased by $53.8 million from $720.2 million for the second quarter of 2018 to $774.0 million for the second quarter of 2019. The increase was due to an increase in the average balance of interest bearing deposits of $19.9 million, or 3%, and an increase in the average balance of borrowed funds of $34.0 million, or 117%. Deposits are our primary funding source. The annualized average interest rate paid on interest bearing liabilities increased to 1.95% for the second quarter of 2019 compared to 1.47% for the second quarter of 2018, with the annualized average interest rate paid on interest bearing deposits increasing 46 basis points, offset by the decrease in annualized average interest rate paid on borrowed funds of 105 basis points. The increases in annualized average interest rates reflect four market interest rate increases during 2018.</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the three months ended June 30, 2019, the Company’s annualized net interest margin was 5.79% and net interest spread was 5.15%. For the three months ended June 30, 2018, annualized net interest margin was 5.53% and net interest spread was 5.09%. The year over year net interest margin increase of</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360"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26 basis points was primarily due to increased volume of interest earning assets offset by the increased rate on interest bearing liabilities.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Interest Income/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Interest Income/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4"/>
        </w:trPr>
        <w:tc>
          <w:tcPr>
            <w:tcW w:w="3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Expense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17"/>
                <w:szCs w:val="17"/>
                <w:b w:val="1"/>
                <w:bCs w:val="1"/>
                <w:color w:val="auto"/>
                <w:w w:val="99"/>
                <w:vertAlign w:val="superscript"/>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Expense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44"/>
        </w:trPr>
        <w:tc>
          <w:tcPr>
            <w:tcW w:w="332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2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34,879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44,259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3,588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28"/>
                <w:szCs w:val="28"/>
                <w:color w:val="auto"/>
                <w:vertAlign w:val="subscript"/>
              </w:rPr>
              <w:t>Loans</w:t>
            </w:r>
            <w:r>
              <w:rPr>
                <w:rFonts w:ascii="Arial" w:cs="Arial" w:eastAsia="Arial" w:hAnsi="Arial"/>
                <w:sz w:val="9"/>
                <w:szCs w:val="9"/>
                <w:color w:val="auto"/>
              </w:rPr>
              <w:t>(2)(3)</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1,011,971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36,616</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897,193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31,729</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earning assets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1,121,085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38,607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1,016,446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33,431</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60"/>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1,135,797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1,026,770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320" w:type="dxa"/>
            <w:vAlign w:val="bottom"/>
          </w:tcPr>
          <w:p>
            <w:pPr>
              <w:ind w:left="40"/>
              <w:spacing w:after="0"/>
              <w:rPr>
                <w:sz w:val="20"/>
                <w:szCs w:val="20"/>
                <w:color w:val="auto"/>
              </w:rPr>
            </w:pPr>
            <w:r>
              <w:rPr>
                <w:rFonts w:ascii="Arial" w:cs="Arial" w:eastAsia="Arial" w:hAnsi="Arial"/>
                <w:sz w:val="14"/>
                <w:szCs w:val="14"/>
                <w:color w:val="auto"/>
              </w:rPr>
              <w:t>Interest bearing liabilities: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Savings</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Money market accounts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325,173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2,748</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294,305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298,805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3,517</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323,124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2,450</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44,603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31,005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759,457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7,332</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724,187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4,924</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68"/>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20" w:type="dxa"/>
            <w:vAlign w:val="bottom"/>
          </w:tcPr>
          <w:p>
            <w:pPr>
              <w:ind w:left="20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13,856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9,558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 bearing deposits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242,443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210,081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120,041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82,944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3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1,135,797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1,026,770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17"/>
                <w:szCs w:val="17"/>
                <w:color w:val="auto"/>
                <w:vertAlign w:val="superscript"/>
              </w:rPr>
              <w:t>(4)</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4"/>
                <w:szCs w:val="14"/>
                <w:color w:val="auto"/>
              </w:rPr>
              <w:t>Net interest income</w:t>
            </w: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28,507</w:t>
            </w: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320" w:type="dxa"/>
            <w:vAlign w:val="bottom"/>
            <w:tcBorders>
              <w:bottom w:val="single" w:sz="8" w:color="CCEEFF"/>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7"/>
                <w:szCs w:val="17"/>
                <w:color w:val="auto"/>
                <w:vertAlign w:val="superscript"/>
              </w:rPr>
              <w:t>(5)</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20" w:type="dxa"/>
            <w:vAlign w:val="bottom"/>
            <w:vMerge w:val="restart"/>
          </w:tcPr>
          <w:p>
            <w:pPr>
              <w:ind w:left="40"/>
              <w:spacing w:after="0"/>
              <w:rPr>
                <w:sz w:val="20"/>
                <w:szCs w:val="20"/>
                <w:color w:val="auto"/>
              </w:rPr>
            </w:pPr>
            <w:r>
              <w:rPr>
                <w:rFonts w:ascii="Arial" w:cs="Arial" w:eastAsia="Arial" w:hAnsi="Arial"/>
                <w:sz w:val="14"/>
                <w:szCs w:val="14"/>
                <w:color w:val="auto"/>
              </w:rPr>
              <w:t>Net interest margin excluding credit card portfolio</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68"/>
        </w:trPr>
        <w:tc>
          <w:tcPr>
            <w:tcW w:w="33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-2540</wp:posOffset>
            </wp:positionV>
            <wp:extent cx="7543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-2540</wp:posOffset>
            </wp:positionV>
            <wp:extent cx="7543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-125095</wp:posOffset>
            </wp:positionV>
            <wp:extent cx="7543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-125095</wp:posOffset>
            </wp:positionV>
            <wp:extent cx="7543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340" w:hanging="332"/>
        <w:spacing w:after="0" w:line="230"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Annualized.</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Interest income includes amortization of deferred loan fees, net of deferred loan costs.</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interest spread is the difference between interest rates earned on interest earning assets and interest rates paid on interest bearing liabilities.</w:t>
      </w:r>
    </w:p>
    <w:p>
      <w:pPr>
        <w:ind w:left="340" w:hanging="332"/>
        <w:spacing w:after="0" w:line="204"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interest margin is a ratio calculated as annualized net interest income divided by average interest earning assets for the same period.</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360"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60" w:type="dxa"/>
            <w:vAlign w:val="bottom"/>
            <w:gridSpan w:val="6"/>
          </w:tcPr>
          <w:p>
            <w:pPr>
              <w:jc w:val="center"/>
              <w:ind w:left="241"/>
              <w:spacing w:after="0"/>
              <w:rPr>
                <w:sz w:val="20"/>
                <w:szCs w:val="20"/>
                <w:color w:val="auto"/>
              </w:rPr>
            </w:pPr>
            <w:r>
              <w:rPr>
                <w:rFonts w:ascii="Arial" w:cs="Arial" w:eastAsia="Arial" w:hAnsi="Arial"/>
                <w:sz w:val="14"/>
                <w:szCs w:val="14"/>
                <w:b w:val="1"/>
                <w:bCs w:val="1"/>
                <w:color w:val="auto"/>
              </w:rPr>
              <w:t>Six Months Ended June 30, 2019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Compared to the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6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14"/>
                <w:szCs w:val="14"/>
                <w:b w:val="1"/>
                <w:bCs w:val="1"/>
                <w:color w:val="auto"/>
              </w:rPr>
              <w:t>Six Months Ended June 30, 2018</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Change Due To</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3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Volume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Pr>
          <w:p>
            <w:pPr>
              <w:spacing w:after="0"/>
              <w:rPr>
                <w:sz w:val="18"/>
                <w:szCs w:val="18"/>
                <w:color w:val="auto"/>
              </w:rPr>
            </w:pPr>
          </w:p>
        </w:tc>
        <w:tc>
          <w:tcPr>
            <w:tcW w:w="1360" w:type="dxa"/>
            <w:vAlign w:val="bottom"/>
          </w:tcPr>
          <w:p>
            <w:pPr>
              <w:jc w:val="right"/>
              <w:ind w:right="140"/>
              <w:spacing w:after="0"/>
              <w:rPr>
                <w:sz w:val="20"/>
                <w:szCs w:val="20"/>
                <w:color w:val="auto"/>
              </w:rPr>
            </w:pPr>
            <w:r>
              <w:rPr>
                <w:rFonts w:ascii="Arial" w:cs="Arial" w:eastAsia="Arial" w:hAnsi="Arial"/>
                <w:sz w:val="14"/>
                <w:szCs w:val="14"/>
                <w:b w:val="1"/>
                <w:bCs w:val="1"/>
                <w:color w:val="auto"/>
                <w:w w:val="99"/>
              </w:rPr>
              <w:t>Interest Variance</w:t>
            </w:r>
          </w:p>
        </w:tc>
        <w:tc>
          <w:tcPr>
            <w:tcW w:w="0" w:type="dxa"/>
            <w:vAlign w:val="bottom"/>
          </w:tcPr>
          <w:p>
            <w:pPr>
              <w:spacing w:after="0"/>
              <w:rPr>
                <w:sz w:val="1"/>
                <w:szCs w:val="1"/>
                <w:color w:val="auto"/>
              </w:rPr>
            </w:pPr>
          </w:p>
        </w:tc>
      </w:tr>
      <w:tr>
        <w:trPr>
          <w:trHeight w:val="56"/>
        </w:trPr>
        <w:tc>
          <w:tcPr>
            <w:tcW w:w="63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380" w:type="dxa"/>
            <w:vAlign w:val="bottom"/>
            <w:vMerge w:val="continue"/>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 Income:</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380" w:type="dxa"/>
            <w:vAlign w:val="bottom"/>
          </w:tcPr>
          <w:p>
            <w:pPr>
              <w:ind w:left="200"/>
              <w:spacing w:after="0"/>
              <w:rPr>
                <w:sz w:val="20"/>
                <w:szCs w:val="20"/>
                <w:color w:val="auto"/>
              </w:rPr>
            </w:pPr>
            <w:r>
              <w:rPr>
                <w:rFonts w:ascii="Arial" w:cs="Arial" w:eastAsia="Arial" w:hAnsi="Arial"/>
                <w:sz w:val="16"/>
                <w:szCs w:val="16"/>
                <w:color w:val="auto"/>
              </w:rPr>
              <w:t>Interest bearing deposits</w:t>
            </w:r>
          </w:p>
        </w:tc>
        <w:tc>
          <w:tcPr>
            <w:tcW w:w="1080" w:type="dxa"/>
            <w:vAlign w:val="bottom"/>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8"/>
        </w:trPr>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 funds sold</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2"/>
        </w:trPr>
        <w:tc>
          <w:tcPr>
            <w:tcW w:w="6380" w:type="dxa"/>
            <w:vAlign w:val="bottom"/>
          </w:tcPr>
          <w:p>
            <w:pPr>
              <w:ind w:left="200"/>
              <w:spacing w:after="0"/>
              <w:rPr>
                <w:sz w:val="20"/>
                <w:szCs w:val="20"/>
                <w:color w:val="auto"/>
              </w:rPr>
            </w:pPr>
            <w:r>
              <w:rPr>
                <w:rFonts w:ascii="Arial" w:cs="Arial" w:eastAsia="Arial" w:hAnsi="Arial"/>
                <w:sz w:val="16"/>
                <w:szCs w:val="16"/>
                <w:color w:val="auto"/>
              </w:rPr>
              <w:t>Investment securities</w:t>
            </w:r>
          </w:p>
        </w:tc>
        <w:tc>
          <w:tcPr>
            <w:tcW w:w="10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8"/>
        </w:trPr>
        <w:tc>
          <w:tcPr>
            <w:tcW w:w="6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2"/>
        </w:trPr>
        <w:tc>
          <w:tcPr>
            <w:tcW w:w="6380" w:type="dxa"/>
            <w:vAlign w:val="bottom"/>
          </w:tcPr>
          <w:p>
            <w:pPr>
              <w:ind w:left="240"/>
              <w:spacing w:after="0"/>
              <w:rPr>
                <w:sz w:val="20"/>
                <w:szCs w:val="20"/>
                <w:color w:val="auto"/>
              </w:rPr>
            </w:pPr>
            <w:r>
              <w:rPr>
                <w:rFonts w:ascii="Arial" w:cs="Arial" w:eastAsia="Arial" w:hAnsi="Arial"/>
                <w:sz w:val="16"/>
                <w:szCs w:val="16"/>
                <w:color w:val="auto"/>
              </w:rPr>
              <w:t>Loans held for sale</w:t>
            </w:r>
          </w:p>
        </w:tc>
        <w:tc>
          <w:tcPr>
            <w:tcW w:w="1080" w:type="dxa"/>
            <w:vAlign w:val="bottom"/>
          </w:tcPr>
          <w:p>
            <w:pPr>
              <w:spacing w:after="0"/>
              <w:rPr>
                <w:sz w:val="22"/>
                <w:szCs w:val="22"/>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Loans</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4,138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4,887</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interest income</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4,291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Interest Expense:</w:t>
            </w: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bearing demand accounts</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62"/>
        </w:trPr>
        <w:tc>
          <w:tcPr>
            <w:tcW w:w="6380" w:type="dxa"/>
            <w:vAlign w:val="bottom"/>
          </w:tcPr>
          <w:p>
            <w:pPr>
              <w:ind w:left="200"/>
              <w:spacing w:after="0"/>
              <w:rPr>
                <w:sz w:val="20"/>
                <w:szCs w:val="20"/>
                <w:color w:val="auto"/>
              </w:rPr>
            </w:pPr>
            <w:r>
              <w:rPr>
                <w:rFonts w:ascii="Arial" w:cs="Arial" w:eastAsia="Arial" w:hAnsi="Arial"/>
                <w:sz w:val="16"/>
                <w:szCs w:val="16"/>
                <w:color w:val="auto"/>
              </w:rPr>
              <w:t>Savings</w:t>
            </w:r>
          </w:p>
        </w:tc>
        <w:tc>
          <w:tcPr>
            <w:tcW w:w="10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8"/>
        </w:trPr>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Money market accounts</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62"/>
        </w:trPr>
        <w:tc>
          <w:tcPr>
            <w:tcW w:w="638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10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Borrowed funds</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interest expense</w:t>
            </w: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2,090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2,408</w:t>
            </w:r>
          </w:p>
        </w:tc>
        <w:tc>
          <w:tcPr>
            <w:tcW w:w="0" w:type="dxa"/>
            <w:vAlign w:val="bottom"/>
          </w:tcPr>
          <w:p>
            <w:pPr>
              <w:spacing w:after="0"/>
              <w:rPr>
                <w:sz w:val="1"/>
                <w:szCs w:val="1"/>
                <w:color w:val="auto"/>
              </w:rPr>
            </w:pPr>
          </w:p>
        </w:tc>
      </w:tr>
      <w:tr>
        <w:trPr>
          <w:trHeight w:val="24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3,973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income increased by $2.8 million to $31.3 million million for the six months ended June 30, 2019 compared to the same period in 2018. The Company’s annualized net interest margin excluding credit cards was 4.34% for the six months ended June 30, 2019, up 7 basis points from 4.27% for the six months ended June 30, 2018. Average total interest earning assets were $1.12 billion for the six months ended June 30, 2019 compared with $1.02 billion for the same period of the prior year. The annualized yield on those interest earning assets increased 31 basis points from 6.63% for the six months ended June 30, 2018 to 6.94% for the six months ended June 30, 2019. The increases in annualized average interest rates reflect four market interest rate increases during 2018. The increase in the average balance of interest earning assets was driven almost entirely by growth in the average balance of the loan portfolio of $114.8 million, or 13%, to $1.01 billion for the six months ended June 30, 2019 compared to $897.2 million for the six months ended June 30, 2018.</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Average interest bearing liabilities increased by $35.3 million from $ 724.2 million for the six months ended June 30, 2018 to $759.5 million for the six months ended June 30, 2019. The increase was due to an increase in the average balance of interest bearing deposits of $ 21.7 million and an increase in the average balance of borrowed funds of $13.6 million, or 44%. Deposits are our primary funding source. The annualized average interest rate paid on interest bearing liabilities increased to 1.95% for the six months ended June 30, 2019 compared to 1.37% for the six months ended June 30, 2018</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annualized average interest rate paid on interest bearing deposits increased 56 basis points while the annualized average interest rate paid on borrowed funds decreased by 36 basis points for these six month periods. The increases in annualized average interest rates reflect four market interest rate increases during 2018.</w:t>
      </w:r>
    </w:p>
    <w:p>
      <w:pPr>
        <w:spacing w:after="0" w:line="1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six months ended June 30, 2019, the Company’s annualized net interest margin was 5.63% and net interest spread was 4.99%. For the six months ended June 30, 2018, annualized net interest margin was 5.66% and net interest spread was 5.26%. The year over year net interest spread decrease of 27 basis points was primarily due to a more rapid adjustment to market rate increases of our interest bearing liabilities relative to our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5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Provision for Loan Losses</w:t>
      </w:r>
    </w:p>
    <w:p>
      <w:pPr>
        <w:spacing w:after="0" w:line="2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16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provision for loan losses amounted to $677 thousand for the three months ended June 30, 2019, and $630 thousand for the three months ended June 30, 2018. The provision for loan losses was $798 thousand and $ 1.1 million for the six months ended June 30, 2019 and 2018, respectively. The decrease for the six month period in 2019 compared to the same period in 2018 was primarily due to decreased charge-offs in the 2019 period. Our allowance for loan losses as a percent of total loans was 1.13% at both June 30, 2019 and December 31, 2018. Charge-offs amounted to $211 thousand for the six months ended June 30, 2019, compared to $827 thousand for the six months ended June 30,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primary sources of recurring noninterest income are service charges on deposit accounts, certain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1320" w:type="dxa"/>
            <w:vAlign w:val="bottom"/>
            <w:tcBorders>
              <w:bottom w:val="single" w:sz="8" w:color="auto"/>
            </w:tcBorders>
          </w:tcPr>
          <w:p>
            <w:pPr>
              <w:spacing w:after="0"/>
              <w:rPr>
                <w:sz w:val="20"/>
                <w:szCs w:val="20"/>
                <w:color w:val="auto"/>
              </w:rPr>
            </w:pPr>
          </w:p>
        </w:tc>
      </w:tr>
      <w:tr>
        <w:trPr>
          <w:trHeight w:val="261"/>
        </w:trPr>
        <w:tc>
          <w:tcPr>
            <w:tcW w:w="63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632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6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Service charges on deposit accounts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17.9 %</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Credit card fees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Mortgage banking revenue</w:t>
            </w:r>
          </w:p>
        </w:tc>
        <w:tc>
          <w:tcPr>
            <w:tcW w:w="102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3,715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48.7 %</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sale of securities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2,500.0 %</w:t>
            </w:r>
          </w:p>
        </w:tc>
      </w:tr>
      <w:tr>
        <w:trPr>
          <w:trHeight w:val="264"/>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fees and charges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42"/>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noninterest income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36.6 %</w:t>
            </w:r>
          </w:p>
        </w:tc>
      </w:tr>
      <w:tr>
        <w:trPr>
          <w:trHeight w:val="20"/>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Noninterest income increased $1.6 million, or 37%, to $5.9 million for the three months ended June 30, 2019 compared to $4.3 million for the three months ended June 30, 2018. The primary increase was due to mortgage banking revenue, which increased by $1.2 million, or 49%, during the second quarter of 2019 compared to the second quarter of 2018. Our focus for the Capital Bank Home Loans division continues to be purchase transactions over refinances, which have slightly higher rates and prices. Proceeds from the sale of loans held for sale amounted to $105.4 million for the three months ended June 30, 2019 compared to $92.2 million for the three months ended June 30, 2018.</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credit card issuances set a quarterly high for the second consecutive time this year, totaling 37 thousand for the three months ended June 30, 2019, compared to 21 thousand for the three months ended June 30, 2018. Credit card fees correspondingly increased $408 thousand from the three months ended June 30, 2018.</w:t>
      </w: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2"/>
        </w:trPr>
        <w:tc>
          <w:tcPr>
            <w:tcW w:w="6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360" w:type="dxa"/>
            <w:vAlign w:val="bottom"/>
            <w:tcBorders>
              <w:bottom w:val="single" w:sz="8" w:color="auto"/>
            </w:tcBorders>
          </w:tcPr>
          <w:p>
            <w:pPr>
              <w:spacing w:after="0"/>
              <w:rPr>
                <w:sz w:val="20"/>
                <w:szCs w:val="20"/>
                <w:color w:val="auto"/>
              </w:rPr>
            </w:pPr>
          </w:p>
        </w:tc>
      </w:tr>
      <w:tr>
        <w:trPr>
          <w:trHeight w:val="261"/>
        </w:trPr>
        <w:tc>
          <w:tcPr>
            <w:tcW w:w="63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632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0"/>
        </w:trPr>
        <w:tc>
          <w:tcPr>
            <w:tcW w:w="6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Service charges on deposit accounts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236</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Credit card fees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Mortgage banking revenue</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6,091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23.6 %</w:t>
            </w:r>
          </w:p>
        </w:tc>
      </w:tr>
      <w:tr>
        <w:trPr>
          <w:trHeight w:val="278"/>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sale of securities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r>
      <w:tr>
        <w:trPr>
          <w:trHeight w:val="264"/>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fees and charges</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42"/>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noninterest income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10,019</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Noninterest income increased $1.6 million, or 19%, to $10.0 million for the six months ended June 30, 2019 compared to $8.4 million for the six months ended June 30, 2018. The increase was primarily due to mortgage banking revenue, which increased by $1.2 million, or 24%, during the six months ended June 30, 2019 compared to the six months ended June 30, 2018.</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credit card fees increased $445 thousand from the three months ended June 30, 2018 primarily due to an increase in credit card accounts.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EXPENSE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tcBorders>
              <w:bottom w:val="single" w:sz="8" w:color="auto"/>
            </w:tcBorders>
          </w:tcPr>
          <w:p>
            <w:pPr>
              <w:spacing w:after="0"/>
              <w:rPr>
                <w:sz w:val="17"/>
                <w:szCs w:val="17"/>
                <w:color w:val="auto"/>
              </w:rPr>
            </w:pPr>
          </w:p>
        </w:tc>
      </w:tr>
      <w:tr>
        <w:trPr>
          <w:trHeight w:val="263"/>
        </w:trPr>
        <w:tc>
          <w:tcPr>
            <w:tcW w:w="63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3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2"/>
        </w:trPr>
        <w:tc>
          <w:tcPr>
            <w:tcW w:w="632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Salaries and employee benefits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Occupancy and equipment</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1,102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Data processing</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3,716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Advertising</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Loan processing</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real estate expense, net</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r>
      <w:tr>
        <w:trPr>
          <w:trHeight w:val="264"/>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15.7 %</w:t>
            </w:r>
          </w:p>
        </w:tc>
      </w:tr>
      <w:tr>
        <w:trPr>
          <w:trHeight w:val="242"/>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noninterest expense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16,210</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13,528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Noninterest expense amounted to $16.2 million for the three months ended June 30, 2019, an increase of $2.7 million, or 20%, compared to $13.5 million for the three months ended June 30, 2018. The increase was primarily due to increases in salaries and employee benefits, which include commissions paid on mortgage originations, data processing expenses, advertising, and other expenses.</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400" w:type="dxa"/>
            <w:vAlign w:val="bottom"/>
            <w:tcBorders>
              <w:bottom w:val="single" w:sz="8" w:color="auto"/>
            </w:tcBorders>
          </w:tcPr>
          <w:p>
            <w:pPr>
              <w:spacing w:after="0"/>
              <w:rPr>
                <w:sz w:val="17"/>
                <w:szCs w:val="17"/>
                <w:color w:val="auto"/>
              </w:rPr>
            </w:pPr>
          </w:p>
        </w:tc>
      </w:tr>
      <w:tr>
        <w:trPr>
          <w:trHeight w:val="263"/>
        </w:trPr>
        <w:tc>
          <w:tcPr>
            <w:tcW w:w="63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3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2"/>
        </w:trPr>
        <w:tc>
          <w:tcPr>
            <w:tcW w:w="632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Salaries and employee benefits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14,898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Occupancy and equipment</w:t>
            </w:r>
          </w:p>
        </w:tc>
        <w:tc>
          <w:tcPr>
            <w:tcW w:w="96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Data processing</w:t>
            </w:r>
          </w:p>
        </w:tc>
        <w:tc>
          <w:tcPr>
            <w:tcW w:w="96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7,029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Advertising</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28.9 %</w:t>
            </w:r>
          </w:p>
        </w:tc>
      </w:tr>
      <w:tr>
        <w:trPr>
          <w:trHeight w:val="262"/>
        </w:trPr>
        <w:tc>
          <w:tcPr>
            <w:tcW w:w="6320" w:type="dxa"/>
            <w:vAlign w:val="bottom"/>
          </w:tcPr>
          <w:p>
            <w:pPr>
              <w:ind w:left="200"/>
              <w:spacing w:after="0"/>
              <w:rPr>
                <w:sz w:val="20"/>
                <w:szCs w:val="20"/>
                <w:color w:val="auto"/>
              </w:rPr>
            </w:pPr>
            <w:r>
              <w:rPr>
                <w:rFonts w:ascii="Arial" w:cs="Arial" w:eastAsia="Arial" w:hAnsi="Arial"/>
                <w:sz w:val="16"/>
                <w:szCs w:val="16"/>
                <w:color w:val="auto"/>
              </w:rPr>
              <w:t>Loan processing</w:t>
            </w:r>
          </w:p>
        </w:tc>
        <w:tc>
          <w:tcPr>
            <w:tcW w:w="96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78"/>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real estate expense, net</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61.3 %</w:t>
            </w:r>
          </w:p>
        </w:tc>
      </w:tr>
      <w:tr>
        <w:trPr>
          <w:trHeight w:val="264"/>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2,983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18.0 %</w:t>
            </w:r>
          </w:p>
        </w:tc>
      </w:tr>
      <w:tr>
        <w:trPr>
          <w:trHeight w:val="242"/>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noninterest expense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30,540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27,128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Noninterest expense amounted to $30.5 million for the six months ended June 30, 2019, an increase of $3.4 million, or 13%, compared to $27.1 million for the six months ended June 30, 2018. The increase was primarily due to increases in salaries and employee benefits, which include commissions paid on mortgage originations, advertising, and other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amount of income tax expense we incur is influenced by our pre-tax income and our other nondeductible expenses. Deferred tax assets and liabilities are reflected at current income tax rates in effect for the period in which the deferred tax assets and liabilities are expected to be realized or settled. As changes in tax laws or rates are enacted, deferred tax assets and liabilities are adjusted through the provision for income taxes. Valuation allowances are established when necessary to reduce deferred tax assets to the amount expected to be realized.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Income tax expense was $1.5 million for the three months ended June 30, 2019 compared to $ 1.2 million for the three months ended June 30, 2018. Our effective tax rates for those periods were approximately 28%. Income tax expense was $2.6 million for the six months ended June 30, 2019 compared to $2.5 million for the six months ended June 30, 2018</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 effective tax rates of 26.3% and 29.1% for 2019 and 2018, respectively. The decrease in the effective tax rate was primarily due to overall lower blended state and federal tax rates.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June 30, 2019, our total assets increased $ 129.1 million from December 31, 2018 to approximately $1.2 billion. Loans receivable, interest bearing deposits at other financial institutions, loans held for sale, and premises and equipment increased while investment securities decreased over that period. Both noninterest bearing and interest bearing deposits increased. Securities sold under repurchase agreements and federal funds purchased decreased, while Federal Home Loan Bank advances increased. Stockholders’ equity increased $8.6 million, or 7%, to $123.1 million at June 30, 2019, primarily due to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of June 30, 2019, interest bearing deposits at other financial institutions increased $43.3 million, or 197%, to $65.3 million from $22.0 million at December 31, 2018. The increase was primarily due to increased deposits from fiduciary accounts.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classifies investment securities as either held to maturity or available for sale based 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3"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shareholders’ equity on an after-tax basis. For the years presented, all securities were classified as available for sale.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investment portfolio decreased 17%, or approximately $7.8 million, from $46.9 million at December 31, 2018, to $ 39.2 million at June 30, 2019 due to $13.4 million of paydowns received on mortgage-backed securities and $3.3 million in sales offset by $8.2 million in investment purchases. To supplement interest income earned on our loan portfolio, we invest in high quality mortgage-backed securities, government agency bonds, and high quality municipal and corporate bonds.</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June 30, 2019 and the amortized cost and carrying value of those securities as of the indicated 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One Year or Less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ind w:left="160"/>
              <w:spacing w:after="0"/>
              <w:rPr>
                <w:sz w:val="20"/>
                <w:szCs w:val="20"/>
                <w:color w:val="auto"/>
              </w:rPr>
            </w:pPr>
            <w:r>
              <w:rPr>
                <w:rFonts w:ascii="Arial" w:cs="Arial" w:eastAsia="Arial" w:hAnsi="Arial"/>
                <w:sz w:val="13"/>
                <w:szCs w:val="13"/>
                <w:b w:val="1"/>
                <w:bCs w:val="1"/>
                <w:color w:val="auto"/>
              </w:rPr>
              <w:t>More Than One Year</w:t>
            </w:r>
          </w:p>
        </w:tc>
        <w:tc>
          <w:tcPr>
            <w:tcW w:w="100" w:type="dxa"/>
            <w:vAlign w:val="bottom"/>
          </w:tcPr>
          <w:p>
            <w:pPr>
              <w:spacing w:after="0"/>
              <w:rPr>
                <w:sz w:val="13"/>
                <w:szCs w:val="13"/>
                <w:color w:val="auto"/>
              </w:rPr>
            </w:pPr>
          </w:p>
        </w:tc>
        <w:tc>
          <w:tcPr>
            <w:tcW w:w="1740" w:type="dxa"/>
            <w:vAlign w:val="bottom"/>
            <w:gridSpan w:val="4"/>
          </w:tcPr>
          <w:p>
            <w:pPr>
              <w:ind w:left="140"/>
              <w:spacing w:after="0"/>
              <w:rPr>
                <w:sz w:val="20"/>
                <w:szCs w:val="20"/>
                <w:color w:val="auto"/>
              </w:rPr>
            </w:pPr>
            <w:r>
              <w:rPr>
                <w:rFonts w:ascii="Arial" w:cs="Arial" w:eastAsia="Arial" w:hAnsi="Arial"/>
                <w:sz w:val="13"/>
                <w:szCs w:val="13"/>
                <w:b w:val="1"/>
                <w:bCs w:val="1"/>
                <w:color w:val="auto"/>
              </w:rPr>
              <w:t>More Than Five Years</w:t>
            </w:r>
          </w:p>
        </w:tc>
        <w:tc>
          <w:tcPr>
            <w:tcW w:w="80" w:type="dxa"/>
            <w:vAlign w:val="bottom"/>
          </w:tcPr>
          <w:p>
            <w:pPr>
              <w:spacing w:after="0"/>
              <w:rPr>
                <w:sz w:val="13"/>
                <w:szCs w:val="13"/>
                <w:color w:val="auto"/>
              </w:rPr>
            </w:pPr>
          </w:p>
        </w:tc>
        <w:tc>
          <w:tcPr>
            <w:tcW w:w="1620" w:type="dxa"/>
            <w:vAlign w:val="bottom"/>
            <w:gridSpan w:val="3"/>
            <w:vMerge w:val="restart"/>
          </w:tcPr>
          <w:p>
            <w:pPr>
              <w:jc w:val="right"/>
              <w:ind w:right="183"/>
              <w:spacing w:after="0"/>
              <w:rPr>
                <w:sz w:val="20"/>
                <w:szCs w:val="20"/>
                <w:color w:val="auto"/>
              </w:rPr>
            </w:pPr>
            <w:r>
              <w:rPr>
                <w:rFonts w:ascii="Arial" w:cs="Arial" w:eastAsia="Arial" w:hAnsi="Arial"/>
                <w:sz w:val="13"/>
                <w:szCs w:val="13"/>
                <w:b w:val="1"/>
                <w:bCs w:val="1"/>
                <w:color w:val="auto"/>
              </w:rPr>
              <w:t>More Than 10 Years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6"/>
              </w:rPr>
              <w:t>Total</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Through Five Years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3"/>
                <w:szCs w:val="13"/>
                <w:b w:val="1"/>
                <w:bCs w:val="1"/>
                <w:color w:val="auto"/>
              </w:rPr>
              <w:t>Through 10 Years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0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64"/>
        </w:trPr>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Book Value</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Book Value</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Average Yield</w:t>
            </w:r>
          </w:p>
        </w:tc>
        <w:tc>
          <w:tcPr>
            <w:tcW w:w="10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Arial" w:cs="Arial" w:eastAsia="Arial" w:hAnsi="Arial"/>
                <w:sz w:val="11"/>
                <w:szCs w:val="11"/>
                <w:b w:val="1"/>
                <w:bCs w:val="1"/>
                <w:color w:val="auto"/>
                <w:w w:val="93"/>
              </w:rPr>
              <w:t>Book Value</w:t>
            </w: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8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Arial" w:cs="Arial" w:eastAsia="Arial" w:hAnsi="Arial"/>
                <w:sz w:val="11"/>
                <w:szCs w:val="11"/>
                <w:b w:val="1"/>
                <w:bCs w:val="1"/>
                <w:color w:val="auto"/>
                <w:w w:val="96"/>
              </w:rPr>
              <w:t>Book Value</w:t>
            </w: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w w:val="93"/>
              </w:rPr>
              <w:t>Book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8"/>
              <w:spacing w:after="0"/>
              <w:rPr>
                <w:sz w:val="20"/>
                <w:szCs w:val="20"/>
                <w:color w:val="auto"/>
              </w:rPr>
            </w:pPr>
            <w:r>
              <w:rPr>
                <w:rFonts w:ascii="Arial" w:cs="Arial" w:eastAsia="Arial" w:hAnsi="Arial"/>
                <w:sz w:val="11"/>
                <w:szCs w:val="11"/>
                <w:b w:val="1"/>
                <w:bCs w:val="1"/>
                <w:color w:val="auto"/>
                <w:w w:val="98"/>
              </w:rPr>
              <w:t>Fair Value</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246"/>
        </w:trPr>
        <w:tc>
          <w:tcPr>
            <w:tcW w:w="15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50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Securities Available for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500" w:type="dxa"/>
            <w:vAlign w:val="bottom"/>
          </w:tcPr>
          <w:p>
            <w:pPr>
              <w:ind w:left="40"/>
              <w:spacing w:after="0" w:line="140" w:lineRule="exact"/>
              <w:rPr>
                <w:sz w:val="20"/>
                <w:szCs w:val="20"/>
                <w:color w:val="auto"/>
              </w:rPr>
            </w:pPr>
            <w:r>
              <w:rPr>
                <w:rFonts w:ascii="Arial" w:cs="Arial" w:eastAsia="Arial" w:hAnsi="Arial"/>
                <w:sz w:val="13"/>
                <w:szCs w:val="13"/>
                <w:color w:val="auto"/>
              </w:rPr>
              <w:t>U.S. government-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38"/>
              <w:spacing w:after="0"/>
              <w:rPr>
                <w:sz w:val="20"/>
                <w:szCs w:val="20"/>
                <w:color w:val="auto"/>
              </w:rPr>
            </w:pPr>
            <w:r>
              <w:rPr>
                <w:rFonts w:ascii="Arial" w:cs="Arial" w:eastAsia="Arial" w:hAnsi="Arial"/>
                <w:sz w:val="13"/>
                <w:szCs w:val="13"/>
                <w:color w:val="auto"/>
              </w:rPr>
              <w:t>6,499</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6,499</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6,477</w:t>
            </w: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77"/>
        </w:trPr>
        <w:tc>
          <w:tcPr>
            <w:tcW w:w="1500" w:type="dxa"/>
            <w:vAlign w:val="bottom"/>
          </w:tcPr>
          <w:p>
            <w:pPr>
              <w:ind w:left="40"/>
              <w:spacing w:after="0"/>
              <w:rPr>
                <w:sz w:val="20"/>
                <w:szCs w:val="20"/>
                <w:color w:val="auto"/>
              </w:rPr>
            </w:pPr>
            <w:r>
              <w:rPr>
                <w:rFonts w:ascii="Arial" w:cs="Arial" w:eastAsia="Arial" w:hAnsi="Arial"/>
                <w:sz w:val="13"/>
                <w:szCs w:val="13"/>
                <w:color w:val="auto"/>
              </w:rPr>
              <w:t>sponsored agencies</w:t>
            </w: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63"/>
        </w:trPr>
        <w:tc>
          <w:tcPr>
            <w:tcW w:w="1500" w:type="dxa"/>
            <w:vAlign w:val="bottom"/>
          </w:tcPr>
          <w:p>
            <w:pPr>
              <w:ind w:left="40"/>
              <w:spacing w:after="0"/>
              <w:rPr>
                <w:sz w:val="20"/>
                <w:szCs w:val="20"/>
                <w:color w:val="auto"/>
              </w:rPr>
            </w:pPr>
            <w:r>
              <w:rPr>
                <w:rFonts w:ascii="Arial" w:cs="Arial" w:eastAsia="Arial" w:hAnsi="Arial"/>
                <w:sz w:val="13"/>
                <w:szCs w:val="13"/>
                <w:color w:val="auto"/>
              </w:rPr>
              <w:t>Corporate bonds</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2,000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907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2,890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Mortgage-backed</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9,433</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19,842</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29,276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29,269</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78"/>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securities</w:t>
            </w: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6,500</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11,433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4.39%</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21,265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39,198</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39,157</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primary source of income is derived from interest earned on loans. Our loan portfolio consists of loans secured by real estate as well as commercial business loans,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and investment commercial real estate loans, residential construction loans and commercial business loans provide us with higher risk-adjusted returns, shorter maturities and more sensitivity to interest rate fluctuations, and are complemented by our relatively lower risk residential real estate loans to individuals. To a lesser extent, our credit card portfolio supplements our traditional lending products with enhanced yields. Our lending activities are principally directed to our market area consisting of the Washington, D.C. and Baltimore metropolitan areas.</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0"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color w:val="auto"/>
        </w:rPr>
        <w:t>The following table summarizes our loan portfolio by type of loan as of the dates indicated: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LOAN PORTFOLIO</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June 30, 2019</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December 31, 2018</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8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80" w:type="dxa"/>
            <w:vAlign w:val="bottom"/>
          </w:tcPr>
          <w:p>
            <w:pPr>
              <w:spacing w:after="0"/>
              <w:rPr>
                <w:sz w:val="11"/>
                <w:szCs w:val="11"/>
                <w:color w:val="auto"/>
              </w:rPr>
            </w:pPr>
          </w:p>
        </w:tc>
        <w:tc>
          <w:tcPr>
            <w:tcW w:w="18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1"/>
                <w:szCs w:val="11"/>
                <w:color w:val="auto"/>
              </w:rPr>
            </w:pPr>
          </w:p>
        </w:tc>
        <w:tc>
          <w:tcPr>
            <w:tcW w:w="19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84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3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426,887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407,844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2"/>
        </w:trPr>
        <w:tc>
          <w:tcPr>
            <w:tcW w:w="484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3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297,891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278,691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8"/>
        </w:trPr>
        <w:tc>
          <w:tcPr>
            <w:tcW w:w="4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169,225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2"/>
        </w:trPr>
        <w:tc>
          <w:tcPr>
            <w:tcW w:w="48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124,436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122,264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8"/>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40,141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6"/>
                <w:szCs w:val="16"/>
                <w:color w:val="auto"/>
              </w:rPr>
              <w:t>Other consumer</w:t>
            </w:r>
          </w:p>
        </w:tc>
        <w:tc>
          <w:tcPr>
            <w:tcW w:w="380" w:type="dxa"/>
            <w:vAlign w:val="bottom"/>
          </w:tcPr>
          <w:p>
            <w:pPr>
              <w:spacing w:after="0"/>
              <w:rPr>
                <w:sz w:val="22"/>
                <w:szCs w:val="22"/>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8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gross loans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1,059,595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1,002,260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Unearned income</w:t>
            </w:r>
          </w:p>
        </w:tc>
        <w:tc>
          <w:tcPr>
            <w:tcW w:w="3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40" w:type="dxa"/>
            <w:vAlign w:val="bottom"/>
            <w:tcBorders>
              <w:bottom w:val="single" w:sz="8" w:color="CCEEFF"/>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loans, net of unearned income</w:t>
            </w: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1,056,290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1,000,268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Allowance for loan losses</w:t>
            </w: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net loans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1,044,377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988,960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repayment of loans is a source of additional liquidity for us. The following table details maturities and sensitivity to interest rate changes for our loan portfolio at June 30,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As of June 30, 2019</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68"/>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Due in One Year</w:t>
            </w: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Due in One to</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Due After</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7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Less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Five Years</w:t>
            </w: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Five Years</w:t>
            </w:r>
          </w:p>
        </w:tc>
        <w:tc>
          <w:tcPr>
            <w:tcW w:w="380" w:type="dxa"/>
            <w:vAlign w:val="bottom"/>
          </w:tcPr>
          <w:p>
            <w:pPr>
              <w:spacing w:after="0"/>
              <w:rPr>
                <w:sz w:val="17"/>
                <w:szCs w:val="17"/>
                <w:color w:val="auto"/>
              </w:rPr>
            </w:pPr>
          </w:p>
        </w:tc>
        <w:tc>
          <w:tcPr>
            <w:tcW w:w="1220" w:type="dxa"/>
            <w:vAlign w:val="bottom"/>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58"/>
        </w:trPr>
        <w:tc>
          <w:tcPr>
            <w:tcW w:w="470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78"/>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101,413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125,797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199,677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426,887</w:t>
            </w:r>
          </w:p>
        </w:tc>
      </w:tr>
      <w:tr>
        <w:trPr>
          <w:trHeight w:val="262"/>
        </w:trPr>
        <w:tc>
          <w:tcPr>
            <w:tcW w:w="470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61,383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162,308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74,200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297,891</w:t>
            </w:r>
          </w:p>
        </w:tc>
      </w:tr>
      <w:tr>
        <w:trPr>
          <w:trHeight w:val="278"/>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152,012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17,213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169,225</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52,258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60,538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11,640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124,436</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40,141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40,141</w:t>
            </w:r>
          </w:p>
        </w:tc>
      </w:tr>
      <w:tr>
        <w:trPr>
          <w:trHeight w:val="264"/>
        </w:trPr>
        <w:tc>
          <w:tcPr>
            <w:tcW w:w="4700" w:type="dxa"/>
            <w:vAlign w:val="bottom"/>
          </w:tcPr>
          <w:p>
            <w:pPr>
              <w:ind w:left="40"/>
              <w:spacing w:after="0"/>
              <w:rPr>
                <w:sz w:val="20"/>
                <w:szCs w:val="20"/>
                <w:color w:val="auto"/>
              </w:rPr>
            </w:pPr>
            <w:r>
              <w:rPr>
                <w:rFonts w:ascii="Arial" w:cs="Arial" w:eastAsia="Arial" w:hAnsi="Arial"/>
                <w:sz w:val="16"/>
                <w:szCs w:val="16"/>
                <w:color w:val="auto"/>
              </w:rPr>
              <w:t>Other consumer</w:t>
            </w:r>
          </w:p>
        </w:tc>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1,015</w:t>
            </w:r>
          </w:p>
        </w:tc>
      </w:tr>
      <w:tr>
        <w:trPr>
          <w:trHeight w:val="242"/>
        </w:trPr>
        <w:tc>
          <w:tcPr>
            <w:tcW w:w="47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407,872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366,206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285,517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1,059,595</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Amounts with fixed rates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105,143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251,992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402,154</w:t>
            </w:r>
          </w:p>
        </w:tc>
      </w:tr>
      <w:tr>
        <w:trPr>
          <w:trHeight w:val="224"/>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with floating rates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302,729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114,214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240,498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657,441</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Nonperforming loans increased to $6.8 million, or 0.65% of total loans, at June 30, 2019 compared to $4.7 million, or 0.47% of total loans, at December 31, 2018. The $2.2 million, or 46%, increase during the six months ended June 30, 2019 was primarily due to an increase of $ 2.1 million in nonperforming construction loans. The increase is attributable to a single borrower relationship that is well secured, on which no impairment is expected. As such, there have been no losses related to the increase in non-performing assets. Foreclosed real estate increased to $149 thousand as of June 30, 2019 compared to $142 thousand as of December 31, 2018 due to the foreclosure of a residential loan.</w:t>
      </w:r>
    </w:p>
    <w:p>
      <w:pPr>
        <w:spacing w:after="0" w:line="17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Total nonperforming assets were $7.0 million at June 30, 2019 compared to $4.8 million at December 31, 2018, or 0.57% and 0.44%, respectively, of corresponding total assets.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360" w:right="239" w:bottom="1440" w:gutter="0" w:footer="0" w:header="0"/>
          <w:type w:val="continuous"/>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December 31, 2018</w:t>
            </w:r>
          </w:p>
        </w:tc>
      </w:tr>
      <w:tr>
        <w:trPr>
          <w:trHeight w:val="138"/>
        </w:trPr>
        <w:tc>
          <w:tcPr>
            <w:tcW w:w="66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390"/>
        </w:trPr>
        <w:tc>
          <w:tcPr>
            <w:tcW w:w="6680" w:type="dxa"/>
            <w:vAlign w:val="bottom"/>
          </w:tcPr>
          <w:p>
            <w:pPr>
              <w:ind w:left="40"/>
              <w:spacing w:after="0"/>
              <w:rPr>
                <w:sz w:val="20"/>
                <w:szCs w:val="20"/>
                <w:color w:val="auto"/>
              </w:rPr>
            </w:pPr>
            <w:r>
              <w:rPr>
                <w:rFonts w:ascii="Arial" w:cs="Arial" w:eastAsia="Arial" w:hAnsi="Arial"/>
                <w:sz w:val="16"/>
                <w:szCs w:val="16"/>
                <w:color w:val="auto"/>
              </w:rPr>
              <w:t>Nonaccrual loans</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8"/>
        </w:trPr>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Real Estate:</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62"/>
        </w:trPr>
        <w:tc>
          <w:tcPr>
            <w:tcW w:w="6680" w:type="dxa"/>
            <w:vAlign w:val="bottom"/>
          </w:tcPr>
          <w:p>
            <w:pPr>
              <w:ind w:left="360"/>
              <w:spacing w:after="0"/>
              <w:rPr>
                <w:sz w:val="20"/>
                <w:szCs w:val="20"/>
                <w:color w:val="auto"/>
              </w:rPr>
            </w:pPr>
            <w:r>
              <w:rPr>
                <w:rFonts w:ascii="Arial" w:cs="Arial" w:eastAsia="Arial" w:hAnsi="Arial"/>
                <w:sz w:val="16"/>
                <w:szCs w:val="16"/>
                <w:color w:val="auto"/>
              </w:rPr>
              <w:t>Residential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80"/>
              <w:spacing w:after="0"/>
              <w:rPr>
                <w:sz w:val="20"/>
                <w:szCs w:val="20"/>
                <w:color w:val="auto"/>
              </w:rPr>
            </w:pPr>
            <w:r>
              <w:rPr>
                <w:rFonts w:ascii="Arial" w:cs="Arial" w:eastAsia="Arial" w:hAnsi="Arial"/>
                <w:sz w:val="16"/>
                <w:szCs w:val="16"/>
                <w:color w:val="auto"/>
              </w:rPr>
              <w:t>2,187</w:t>
            </w:r>
          </w:p>
        </w:tc>
        <w:tc>
          <w:tcPr>
            <w:tcW w:w="2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2,207</w:t>
            </w:r>
          </w:p>
        </w:tc>
      </w:tr>
      <w:tr>
        <w:trPr>
          <w:trHeight w:val="278"/>
        </w:trPr>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Commercial</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1,465</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1,486</w:t>
            </w:r>
          </w:p>
        </w:tc>
      </w:tr>
      <w:tr>
        <w:trPr>
          <w:trHeight w:val="262"/>
        </w:trPr>
        <w:tc>
          <w:tcPr>
            <w:tcW w:w="6680" w:type="dxa"/>
            <w:vAlign w:val="bottom"/>
          </w:tcPr>
          <w:p>
            <w:pPr>
              <w:ind w:left="360"/>
              <w:spacing w:after="0"/>
              <w:rPr>
                <w:sz w:val="20"/>
                <w:szCs w:val="20"/>
                <w:color w:val="auto"/>
              </w:rPr>
            </w:pPr>
            <w:r>
              <w:rPr>
                <w:rFonts w:ascii="Arial" w:cs="Arial" w:eastAsia="Arial" w:hAnsi="Arial"/>
                <w:sz w:val="16"/>
                <w:szCs w:val="16"/>
                <w:color w:val="auto"/>
              </w:rPr>
              <w:t>Construction</w:t>
            </w:r>
          </w:p>
        </w:tc>
        <w:tc>
          <w:tcPr>
            <w:tcW w:w="340" w:type="dxa"/>
            <w:vAlign w:val="bottom"/>
          </w:tcPr>
          <w:p>
            <w:pPr>
              <w:spacing w:after="0"/>
              <w:rPr>
                <w:sz w:val="22"/>
                <w:szCs w:val="22"/>
                <w:color w:val="auto"/>
              </w:rPr>
            </w:pPr>
          </w:p>
        </w:tc>
        <w:tc>
          <w:tcPr>
            <w:tcW w:w="1680" w:type="dxa"/>
            <w:vAlign w:val="bottom"/>
          </w:tcPr>
          <w:p>
            <w:pPr>
              <w:jc w:val="right"/>
              <w:ind w:right="80"/>
              <w:spacing w:after="0"/>
              <w:rPr>
                <w:sz w:val="20"/>
                <w:szCs w:val="20"/>
                <w:color w:val="auto"/>
              </w:rPr>
            </w:pPr>
            <w:r>
              <w:rPr>
                <w:rFonts w:ascii="Arial" w:cs="Arial" w:eastAsia="Arial" w:hAnsi="Arial"/>
                <w:sz w:val="16"/>
                <w:szCs w:val="16"/>
                <w:color w:val="auto"/>
              </w:rPr>
              <w:t>2,143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78"/>
        </w:trPr>
        <w:tc>
          <w:tcPr>
            <w:tcW w:w="6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1,002</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749</w:t>
            </w:r>
          </w:p>
        </w:tc>
      </w:tr>
      <w:tr>
        <w:trPr>
          <w:trHeight w:val="264"/>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Accruing loans 90 or more days past due</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237</w:t>
            </w:r>
          </w:p>
        </w:tc>
      </w:tr>
      <w:tr>
        <w:trPr>
          <w:trHeight w:val="257"/>
        </w:trPr>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nonperforming loans</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6,845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4,679</w:t>
            </w:r>
          </w:p>
        </w:tc>
      </w:tr>
      <w:tr>
        <w:trPr>
          <w:trHeight w:val="264"/>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real estate owned</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149</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142</w:t>
            </w:r>
          </w:p>
        </w:tc>
      </w:tr>
      <w:tr>
        <w:trPr>
          <w:trHeight w:val="237"/>
        </w:trPr>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nonperforming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6,994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4,821</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7"/>
        </w:trPr>
        <w:tc>
          <w:tcPr>
            <w:tcW w:w="6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70"/>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Restructured loans-nonaccrual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473</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284</w:t>
            </w:r>
          </w:p>
        </w:tc>
      </w:tr>
      <w:tr>
        <w:trPr>
          <w:trHeight w:val="262"/>
        </w:trPr>
        <w:tc>
          <w:tcPr>
            <w:tcW w:w="6680" w:type="dxa"/>
            <w:vAlign w:val="bottom"/>
          </w:tcPr>
          <w:p>
            <w:pPr>
              <w:ind w:left="40"/>
              <w:spacing w:after="0"/>
              <w:rPr>
                <w:sz w:val="20"/>
                <w:szCs w:val="20"/>
                <w:color w:val="auto"/>
              </w:rPr>
            </w:pPr>
            <w:r>
              <w:rPr>
                <w:rFonts w:ascii="Arial" w:cs="Arial" w:eastAsia="Arial" w:hAnsi="Arial"/>
                <w:sz w:val="16"/>
                <w:szCs w:val="16"/>
                <w:color w:val="auto"/>
              </w:rPr>
              <w:t>Restructured loans-accruing</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78"/>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loans to total loans</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r>
      <w:tr>
        <w:trPr>
          <w:trHeight w:val="282"/>
        </w:trPr>
        <w:tc>
          <w:tcPr>
            <w:tcW w:w="6680" w:type="dxa"/>
            <w:vAlign w:val="bottom"/>
          </w:tcPr>
          <w:p>
            <w:pPr>
              <w:ind w:left="40"/>
              <w:spacing w:after="0"/>
              <w:rPr>
                <w:sz w:val="20"/>
                <w:szCs w:val="20"/>
                <w:color w:val="auto"/>
              </w:rPr>
            </w:pPr>
            <w:r>
              <w:rPr>
                <w:rFonts w:ascii="Arial" w:cs="Arial" w:eastAsia="Arial" w:hAnsi="Arial"/>
                <w:sz w:val="16"/>
                <w:szCs w:val="16"/>
                <w:color w:val="auto"/>
              </w:rPr>
              <w:t>Ratio of nonperforming assets to total assets</w:t>
            </w:r>
          </w:p>
        </w:tc>
        <w:tc>
          <w:tcPr>
            <w:tcW w:w="3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0.57%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0.44%</w:t>
            </w:r>
          </w:p>
        </w:tc>
      </w:tr>
    </w:tbl>
    <w:p>
      <w:pPr>
        <w:spacing w:after="0" w:line="209"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presents the loan balances by category as well as risk rating at the dates indicated. No assets were classified as loss during the periods presented.</w:t>
      </w:r>
    </w:p>
    <w:p>
      <w:pPr>
        <w:spacing w:after="0" w:line="14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LOAN CLASSIFICATION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540" w:type="dxa"/>
            <w:vAlign w:val="bottom"/>
            <w:gridSpan w:val="4"/>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Real estate: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424,626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426,887</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50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292,342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297,891</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167,082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169,225</w:t>
            </w:r>
          </w:p>
        </w:tc>
        <w:tc>
          <w:tcPr>
            <w:tcW w:w="0" w:type="dxa"/>
            <w:vAlign w:val="bottom"/>
          </w:tcPr>
          <w:p>
            <w:pPr>
              <w:spacing w:after="0"/>
              <w:rPr>
                <w:sz w:val="1"/>
                <w:szCs w:val="1"/>
                <w:color w:val="auto"/>
              </w:rPr>
            </w:pPr>
          </w:p>
        </w:tc>
      </w:tr>
      <w:tr>
        <w:trPr>
          <w:trHeight w:val="262"/>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119,494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3,839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124,436</w:t>
            </w:r>
          </w:p>
        </w:tc>
        <w:tc>
          <w:tcPr>
            <w:tcW w:w="0" w:type="dxa"/>
            <w:vAlign w:val="bottom"/>
          </w:tcPr>
          <w:p>
            <w:pPr>
              <w:spacing w:after="0"/>
              <w:rPr>
                <w:sz w:val="1"/>
                <w:szCs w:val="1"/>
                <w:color w:val="auto"/>
              </w:rPr>
            </w:pPr>
          </w:p>
        </w:tc>
      </w:tr>
      <w:tr>
        <w:trPr>
          <w:trHeight w:val="278"/>
        </w:trPr>
        <w:tc>
          <w:tcPr>
            <w:tcW w:w="35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40,141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40,141</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Other consumer</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42"/>
        </w:trPr>
        <w:tc>
          <w:tcPr>
            <w:tcW w:w="40" w:type="dxa"/>
            <w:vAlign w:val="bottom"/>
            <w:shd w:val="clear" w:color="auto" w:fill="CCEEFF"/>
          </w:tcPr>
          <w:p>
            <w:pPr>
              <w:spacing w:after="0"/>
              <w:rPr>
                <w:sz w:val="21"/>
                <w:szCs w:val="21"/>
                <w:color w:val="auto"/>
              </w:rPr>
            </w:pPr>
          </w:p>
        </w:tc>
        <w:tc>
          <w:tcPr>
            <w:tcW w:w="3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1,044,700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1,059,595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Real estate: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405,532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407,844</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50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274,247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278,691</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154,643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c>
          <w:tcPr>
            <w:tcW w:w="0" w:type="dxa"/>
            <w:vAlign w:val="bottom"/>
          </w:tcPr>
          <w:p>
            <w:pPr>
              <w:spacing w:after="0"/>
              <w:rPr>
                <w:sz w:val="1"/>
                <w:szCs w:val="1"/>
                <w:color w:val="auto"/>
              </w:rPr>
            </w:pPr>
          </w:p>
        </w:tc>
      </w:tr>
      <w:tr>
        <w:trPr>
          <w:trHeight w:val="262"/>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117,670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3,844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122,264</w:t>
            </w:r>
          </w:p>
        </w:tc>
        <w:tc>
          <w:tcPr>
            <w:tcW w:w="0" w:type="dxa"/>
            <w:vAlign w:val="bottom"/>
          </w:tcPr>
          <w:p>
            <w:pPr>
              <w:spacing w:after="0"/>
              <w:rPr>
                <w:sz w:val="1"/>
                <w:szCs w:val="1"/>
                <w:color w:val="auto"/>
              </w:rPr>
            </w:pPr>
          </w:p>
        </w:tc>
      </w:tr>
      <w:tr>
        <w:trPr>
          <w:trHeight w:val="278"/>
        </w:trPr>
        <w:tc>
          <w:tcPr>
            <w:tcW w:w="35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34,673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Other consumer</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42"/>
        </w:trPr>
        <w:tc>
          <w:tcPr>
            <w:tcW w:w="40" w:type="dxa"/>
            <w:vAlign w:val="bottom"/>
            <w:shd w:val="clear" w:color="auto" w:fill="CCEEFF"/>
          </w:tcPr>
          <w:p>
            <w:pPr>
              <w:spacing w:after="0"/>
              <w:rPr>
                <w:sz w:val="21"/>
                <w:szCs w:val="21"/>
                <w:color w:val="auto"/>
              </w:rPr>
            </w:pPr>
          </w:p>
        </w:tc>
        <w:tc>
          <w:tcPr>
            <w:tcW w:w="3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987,967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1,002,260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4"/>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10"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Category includes loans graded exceptional, very good, good, satisfactory and pass / watch.</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360" w:right="239" w:bottom="1440" w:gutter="0" w:footer="0" w:header="0"/>
          <w:type w:val="continuous"/>
        </w:sectPr>
      </w:pPr>
    </w:p>
    <w:bookmarkStart w:id="53" w:name="page54"/>
    <w:bookmarkEnd w:id="53"/>
    <w:p>
      <w:pPr>
        <w:jc w:val="both"/>
        <w:ind w:firstLine="324"/>
        <w:spacing w:after="0" w:line="264" w:lineRule="auto"/>
        <w:rPr>
          <w:sz w:val="20"/>
          <w:szCs w:val="20"/>
          <w:color w:val="auto"/>
        </w:rPr>
      </w:pPr>
      <w:r>
        <w:rPr>
          <w:rFonts w:ascii="Arial" w:cs="Arial" w:eastAsia="Arial" w:hAnsi="Arial"/>
          <w:sz w:val="18"/>
          <w:szCs w:val="18"/>
          <w:color w:val="auto"/>
        </w:rPr>
        <w:t>At June 30, 2019, the recorded investment in impaired loans was $6.8 million, of which $688 thousand required a specific reserve of $376 thousand. This compares to a recorded investment in impaired loans of $4.4 million at December 31, 2018, including $386 thousand which required a specific reserve of $262 thousand. Impaired loans at both dates presented included one borrower relationship totaling $2.1 million that is well secured, on which no impairment is expected.</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Impaired loans also include certain loans that have been modified as TDR’s. The Company had five loans amounting to $473 thousand at June 30, 2019, and four loans totaling $284 thousand at December 31, 2018 that were considered to be TDRs.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 The following table presents a summary of changes in the allowance for loan losses for the periods and dates indicated: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400" w:type="dxa"/>
            <w:vAlign w:val="bottom"/>
            <w:gridSpan w:val="3"/>
          </w:tcPr>
          <w:p>
            <w:pPr>
              <w:ind w:left="60"/>
              <w:spacing w:after="0"/>
              <w:rPr>
                <w:sz w:val="20"/>
                <w:szCs w:val="20"/>
                <w:color w:val="auto"/>
              </w:rPr>
            </w:pPr>
            <w:r>
              <w:rPr>
                <w:rFonts w:ascii="Arial" w:cs="Arial" w:eastAsia="Arial" w:hAnsi="Arial"/>
                <w:sz w:val="14"/>
                <w:szCs w:val="14"/>
                <w:b w:val="1"/>
                <w:bCs w:val="1"/>
                <w:color w:val="auto"/>
              </w:rPr>
              <w:t>For the Six Months Ended June</w:t>
            </w:r>
          </w:p>
        </w:tc>
        <w:tc>
          <w:tcPr>
            <w:tcW w:w="22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For the Year Ended December</w:t>
            </w:r>
          </w:p>
        </w:tc>
      </w:tr>
      <w:tr>
        <w:trPr>
          <w:trHeight w:val="202"/>
        </w:trPr>
        <w:tc>
          <w:tcPr>
            <w:tcW w:w="67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30, 2019</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31, 2018</w:t>
            </w:r>
          </w:p>
        </w:tc>
      </w:tr>
      <w:tr>
        <w:trPr>
          <w:trHeight w:val="246"/>
        </w:trPr>
        <w:tc>
          <w:tcPr>
            <w:tcW w:w="67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0"/>
        </w:trPr>
        <w:tc>
          <w:tcPr>
            <w:tcW w:w="6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loan losses at beginning of period</w:t>
            </w: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11,308</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10,033</w:t>
            </w:r>
          </w:p>
        </w:tc>
      </w:tr>
      <w:tr>
        <w:trPr>
          <w:trHeight w:val="262"/>
        </w:trPr>
        <w:tc>
          <w:tcPr>
            <w:tcW w:w="676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4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78"/>
        </w:trPr>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Real estate:</w:t>
            </w:r>
          </w:p>
        </w:tc>
        <w:tc>
          <w:tcPr>
            <w:tcW w:w="4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62"/>
        </w:trPr>
        <w:tc>
          <w:tcPr>
            <w:tcW w:w="676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480" w:type="dxa"/>
            <w:vAlign w:val="bottom"/>
          </w:tcPr>
          <w:p>
            <w:pPr>
              <w:spacing w:after="0"/>
              <w:rPr>
                <w:sz w:val="22"/>
                <w:szCs w:val="22"/>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(121)</w:t>
            </w:r>
          </w:p>
        </w:tc>
      </w:tr>
      <w:tr>
        <w:trPr>
          <w:trHeight w:val="278"/>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w:t>
            </w:r>
          </w:p>
        </w:tc>
        <w:tc>
          <w:tcPr>
            <w:tcW w:w="48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r>
      <w:tr>
        <w:trPr>
          <w:trHeight w:val="262"/>
        </w:trPr>
        <w:tc>
          <w:tcPr>
            <w:tcW w:w="6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480" w:type="dxa"/>
            <w:vAlign w:val="bottom"/>
          </w:tcPr>
          <w:p>
            <w:pPr>
              <w:spacing w:after="0"/>
              <w:rPr>
                <w:sz w:val="22"/>
                <w:szCs w:val="22"/>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(147)</w:t>
            </w:r>
          </w:p>
        </w:tc>
      </w:tr>
      <w:tr>
        <w:trPr>
          <w:trHeight w:val="271"/>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w:t>
            </w:r>
          </w:p>
        </w:tc>
        <w:tc>
          <w:tcPr>
            <w:tcW w:w="4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(806)</w:t>
            </w:r>
          </w:p>
        </w:tc>
      </w:tr>
      <w:tr>
        <w:trPr>
          <w:trHeight w:val="250"/>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charge-offs</w:t>
            </w:r>
          </w:p>
        </w:tc>
        <w:tc>
          <w:tcPr>
            <w:tcW w:w="4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(1,096)</w:t>
            </w:r>
          </w:p>
        </w:tc>
      </w:tr>
      <w:tr>
        <w:trPr>
          <w:trHeight w:val="270"/>
        </w:trPr>
        <w:tc>
          <w:tcPr>
            <w:tcW w:w="6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62"/>
        </w:trPr>
        <w:tc>
          <w:tcPr>
            <w:tcW w:w="676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4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4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62"/>
        </w:trPr>
        <w:tc>
          <w:tcPr>
            <w:tcW w:w="676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480" w:type="dxa"/>
            <w:vAlign w:val="bottom"/>
          </w:tcPr>
          <w:p>
            <w:pPr>
              <w:spacing w:after="0"/>
              <w:rPr>
                <w:sz w:val="22"/>
                <w:szCs w:val="22"/>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780" w:type="dxa"/>
            <w:vAlign w:val="bottom"/>
          </w:tcPr>
          <w:p>
            <w:pPr>
              <w:jc w:val="right"/>
              <w:ind w:right="99"/>
              <w:spacing w:after="0"/>
              <w:rPr>
                <w:sz w:val="20"/>
                <w:szCs w:val="20"/>
                <w:color w:val="auto"/>
              </w:rPr>
            </w:pPr>
            <w:r>
              <w:rPr>
                <w:rFonts w:ascii="Arial" w:cs="Arial" w:eastAsia="Arial" w:hAnsi="Arial"/>
                <w:sz w:val="16"/>
                <w:szCs w:val="16"/>
                <w:color w:val="auto"/>
              </w:rPr>
              <w:t>3</w:t>
            </w:r>
          </w:p>
        </w:tc>
      </w:tr>
      <w:tr>
        <w:trPr>
          <w:trHeight w:val="278"/>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w:t>
            </w:r>
          </w:p>
        </w:tc>
        <w:tc>
          <w:tcPr>
            <w:tcW w:w="4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152</w:t>
            </w:r>
          </w:p>
        </w:tc>
      </w:tr>
      <w:tr>
        <w:trPr>
          <w:trHeight w:val="262"/>
        </w:trPr>
        <w:tc>
          <w:tcPr>
            <w:tcW w:w="6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480" w:type="dxa"/>
            <w:vAlign w:val="bottom"/>
          </w:tcPr>
          <w:p>
            <w:pPr>
              <w:spacing w:after="0"/>
              <w:rPr>
                <w:sz w:val="22"/>
                <w:szCs w:val="22"/>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780" w:type="dxa"/>
            <w:vAlign w:val="bottom"/>
          </w:tcPr>
          <w:p>
            <w:pPr>
              <w:jc w:val="right"/>
              <w:ind w:right="99"/>
              <w:spacing w:after="0"/>
              <w:rPr>
                <w:sz w:val="20"/>
                <w:szCs w:val="20"/>
                <w:color w:val="auto"/>
              </w:rPr>
            </w:pPr>
            <w:r>
              <w:rPr>
                <w:rFonts w:ascii="Arial" w:cs="Arial" w:eastAsia="Arial" w:hAnsi="Arial"/>
                <w:sz w:val="16"/>
                <w:szCs w:val="16"/>
                <w:color w:val="auto"/>
              </w:rPr>
              <w:t>34</w:t>
            </w:r>
          </w:p>
        </w:tc>
      </w:tr>
      <w:tr>
        <w:trPr>
          <w:trHeight w:val="271"/>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w:t>
            </w:r>
          </w:p>
        </w:tc>
        <w:tc>
          <w:tcPr>
            <w:tcW w:w="4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r>
      <w:tr>
        <w:trPr>
          <w:trHeight w:val="250"/>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recoveries</w:t>
            </w:r>
          </w:p>
        </w:tc>
        <w:tc>
          <w:tcPr>
            <w:tcW w:w="4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231</w:t>
            </w:r>
          </w:p>
        </w:tc>
      </w:tr>
      <w:tr>
        <w:trPr>
          <w:trHeight w:val="257"/>
        </w:trPr>
        <w:tc>
          <w:tcPr>
            <w:tcW w:w="6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charge-offs</w:t>
            </w:r>
          </w:p>
        </w:tc>
        <w:tc>
          <w:tcPr>
            <w:tcW w:w="48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(865)</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4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2,140</w:t>
            </w:r>
          </w:p>
        </w:tc>
      </w:tr>
      <w:tr>
        <w:trPr>
          <w:trHeight w:val="242"/>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losses at period end</w:t>
            </w: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11,913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11,308</w:t>
            </w: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2"/>
        </w:trPr>
        <w:tc>
          <w:tcPr>
            <w:tcW w:w="6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outstanding, net of unearned income (end of period)</w:t>
            </w: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1,056,290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1,000,268</w:t>
            </w: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Average loans outstanding, net of unearned income</w:t>
            </w:r>
          </w:p>
        </w:tc>
        <w:tc>
          <w:tcPr>
            <w:tcW w:w="4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1,009,569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937,822</w:t>
            </w:r>
          </w:p>
        </w:tc>
      </w:tr>
      <w:tr>
        <w:trPr>
          <w:trHeight w:val="252"/>
        </w:trPr>
        <w:tc>
          <w:tcPr>
            <w:tcW w:w="67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96"/>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Allowance for loan losses to period end loans</w:t>
            </w:r>
          </w:p>
        </w:tc>
        <w:tc>
          <w:tcPr>
            <w:tcW w:w="4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2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charge-offs to average loans</w:t>
            </w:r>
          </w:p>
        </w:tc>
        <w:tc>
          <w:tcPr>
            <w:tcW w:w="4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0" w:right="239" w:bottom="1440" w:gutter="0" w:footer="0" w:header="0"/>
        </w:sectPr>
      </w:pPr>
    </w:p>
    <w:bookmarkStart w:id="54" w:name="page55"/>
    <w:bookmarkEnd w:id="54"/>
    <w:p>
      <w:pPr>
        <w:jc w:val="both"/>
        <w:ind w:firstLine="324"/>
        <w:spacing w:after="0" w:line="258" w:lineRule="auto"/>
        <w:rPr>
          <w:sz w:val="20"/>
          <w:szCs w:val="20"/>
          <w:color w:val="auto"/>
        </w:rPr>
      </w:pPr>
      <w:r>
        <w:rPr>
          <w:rFonts w:ascii="Arial" w:cs="Arial" w:eastAsia="Arial" w:hAnsi="Arial"/>
          <w:sz w:val="18"/>
          <w:szCs w:val="18"/>
          <w:color w:val="auto"/>
        </w:rPr>
        <w:t>Our allowance for loan losses at June 30, 2019 and December 31, 2018 was $11.9 million and $11.3 million, or 1.13% of loans for each respective period end. The allowance for loan losses at June 30, 2019 included specific reserves of $376 thousand set aside for impaired loans. Charge-offs for the six months ended June 30, 2019 were $211 thousand and were partially offset by recoveries of $18 thousand. The allowance for loan losses at December 31, 2018 included specific reserves of $262 thousand set aside for impaired loans. Our charge-offs for the year ended December 31, 2018 were $1.1 million and were partially offset by recoveries of $231 thousand. The charge-offs for the first six months ended June 30, 2019 and for the year ended December 31, 2018 were primarily due to credit card charge-offs.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Although we believe that we have established our allowance for loan losses in accordance with generally accepted accounting principles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shows the allocation of the allowance for loan losses among loan categories and certain other information as of the dates indicated. The total allowance is available to absorb losses from any loan category.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5"/>
        </w:trPr>
        <w:tc>
          <w:tcPr>
            <w:tcW w:w="59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7"/>
                <w:szCs w:val="17"/>
                <w:b w:val="1"/>
                <w:b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44"/>
        </w:trPr>
        <w:tc>
          <w:tcPr>
            <w:tcW w:w="59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3,541</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2"/>
        </w:trPr>
        <w:tc>
          <w:tcPr>
            <w:tcW w:w="596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3,116</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2,204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2,093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2"/>
        </w:trPr>
        <w:tc>
          <w:tcPr>
            <w:tcW w:w="596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6"/>
                <w:szCs w:val="16"/>
                <w:color w:val="auto"/>
              </w:rPr>
              <w:t>Other consumer</w:t>
            </w: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59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allowance for loan losses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72"/>
        <w:spacing w:after="0" w:line="210" w:lineRule="auto"/>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Loan category as a percentage of total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also a significant source of low cost deposits. New fiduciary deposits contributed to our $37.2 million increase in noninterest bearing deposits. In addition, our credit card customers accounted for $73.7 million, or 26%, of our total noninterest bearing deposit balances, and increased by $13.7 million during the first six months of 2019. We supplement our deposits with wholesale funding sources such as the Certificate of Deposit Account Registry Service (“CDARS”) and brokered deposits.</w:t>
      </w:r>
    </w:p>
    <w:p>
      <w:pPr>
        <w:spacing w:after="0" w:line="17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Interest bearing deposits increased $44.5 million, or 6%, from December 31, 2018 to June 30, 2019 and included increases in interest bearing demand and money market accounts offset by a reduction in certificates of deposits. The Company continues to execute on its strategic initiative to improve the deposit portfolio mix from wholesale deposits to core deposits including noninterest bearing deposits. During the same period, certificates of deposit decreased $58.4 million, or 17%, with brokered deposits representing $32 million of that decrease. The brokered deposit decrease was mainly due to maturity run-off. Money market accounts</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increased $58.8 million, or 20% from December 31, 2018 to June 30, 2019.</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average rate paid on interest bearing deposits increased 40 basis points from 1.42% for the year ended December 31, 2018 to 1.82% for the six months ended June 30, 2019. Rates paid on certificates of deposit increased 60 basis points over the same period. The increase in the average rates was primarily due to increases in market interest rates.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DEPOSITS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Six Months Ended June 30, 2019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For the Year Ended December 31, 2018</w:t>
            </w:r>
          </w:p>
        </w:tc>
      </w:tr>
      <w:tr>
        <w:trPr>
          <w:trHeight w:val="168"/>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21"/>
              <w:spacing w:after="0"/>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240" w:type="dxa"/>
            <w:vAlign w:val="bottom"/>
          </w:tcPr>
          <w:p>
            <w:pPr>
              <w:jc w:val="right"/>
              <w:ind w:right="342"/>
              <w:spacing w:after="0"/>
              <w:rPr>
                <w:sz w:val="20"/>
                <w:szCs w:val="20"/>
                <w:color w:val="auto"/>
              </w:rPr>
            </w:pPr>
            <w:r>
              <w:rPr>
                <w:rFonts w:ascii="Arial" w:cs="Arial" w:eastAsia="Arial" w:hAnsi="Arial"/>
                <w:sz w:val="14"/>
                <w:szCs w:val="14"/>
                <w:b w:val="1"/>
                <w:bCs w:val="1"/>
                <w:color w:val="auto"/>
              </w:rPr>
              <w:t>Average</w:t>
            </w:r>
          </w:p>
        </w:tc>
        <w:tc>
          <w:tcPr>
            <w:tcW w:w="1520" w:type="dxa"/>
            <w:vAlign w:val="bottom"/>
          </w:tcPr>
          <w:p>
            <w:pPr>
              <w:jc w:val="right"/>
              <w:ind w:right="361"/>
              <w:spacing w:after="0"/>
              <w:rPr>
                <w:sz w:val="20"/>
                <w:szCs w:val="20"/>
                <w:color w:val="auto"/>
              </w:rPr>
            </w:pPr>
            <w:r>
              <w:rPr>
                <w:rFonts w:ascii="Arial" w:cs="Arial" w:eastAsia="Arial" w:hAnsi="Arial"/>
                <w:sz w:val="14"/>
                <w:szCs w:val="14"/>
                <w:b w:val="1"/>
                <w:bCs w:val="1"/>
                <w:color w:val="auto"/>
              </w:rPr>
              <w:t>Average</w:t>
            </w:r>
          </w:p>
        </w:tc>
      </w:tr>
      <w:tr>
        <w:trPr>
          <w:trHeight w:val="202"/>
        </w:trPr>
        <w:tc>
          <w:tcPr>
            <w:tcW w:w="5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Balance</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Balance</w:t>
            </w:r>
          </w:p>
        </w:tc>
        <w:tc>
          <w:tcPr>
            <w:tcW w:w="15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Rate</w:t>
            </w:r>
          </w:p>
        </w:tc>
      </w:tr>
      <w:tr>
        <w:trPr>
          <w:trHeight w:val="246"/>
        </w:trPr>
        <w:tc>
          <w:tcPr>
            <w:tcW w:w="54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5480" w:type="dxa"/>
            <w:vAlign w:val="bottom"/>
          </w:tcPr>
          <w:p>
            <w:pPr>
              <w:ind w:left="40"/>
              <w:spacing w:after="0"/>
              <w:rPr>
                <w:sz w:val="20"/>
                <w:szCs w:val="20"/>
                <w:color w:val="auto"/>
              </w:rPr>
            </w:pPr>
            <w:r>
              <w:rPr>
                <w:rFonts w:ascii="Arial" w:cs="Arial" w:eastAsia="Arial" w:hAnsi="Arial"/>
                <w:sz w:val="16"/>
                <w:szCs w:val="16"/>
                <w:color w:val="auto"/>
              </w:rPr>
              <w:t>Interest bearing demand accounts</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87,416</w:t>
            </w:r>
          </w:p>
        </w:tc>
        <w:tc>
          <w:tcPr>
            <w:tcW w:w="154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72,523</w:t>
            </w:r>
          </w:p>
        </w:tc>
        <w:tc>
          <w:tcPr>
            <w:tcW w:w="1520" w:type="dxa"/>
            <w:vAlign w:val="bottom"/>
          </w:tcPr>
          <w:p>
            <w:pPr>
              <w:jc w:val="right"/>
              <w:spacing w:after="0"/>
              <w:rPr>
                <w:sz w:val="20"/>
                <w:szCs w:val="20"/>
                <w:color w:val="auto"/>
              </w:rPr>
            </w:pPr>
            <w:r>
              <w:rPr>
                <w:rFonts w:ascii="Arial" w:cs="Arial" w:eastAsia="Arial" w:hAnsi="Arial"/>
                <w:sz w:val="16"/>
                <w:szCs w:val="16"/>
                <w:color w:val="auto"/>
              </w:rPr>
              <w:t>0.29%</w:t>
            </w:r>
          </w:p>
        </w:tc>
      </w:tr>
      <w:tr>
        <w:trPr>
          <w:trHeight w:val="278"/>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accounts</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325,173</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286,257</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62"/>
        </w:trPr>
        <w:tc>
          <w:tcPr>
            <w:tcW w:w="5480" w:type="dxa"/>
            <w:vAlign w:val="bottom"/>
          </w:tcPr>
          <w:p>
            <w:pPr>
              <w:ind w:left="40"/>
              <w:spacing w:after="0"/>
              <w:rPr>
                <w:sz w:val="20"/>
                <w:szCs w:val="20"/>
                <w:color w:val="auto"/>
              </w:rPr>
            </w:pPr>
            <w:r>
              <w:rPr>
                <w:rFonts w:ascii="Arial" w:cs="Arial" w:eastAsia="Arial" w:hAnsi="Arial"/>
                <w:sz w:val="16"/>
                <w:szCs w:val="16"/>
                <w:color w:val="auto"/>
              </w:rPr>
              <w:t>Savings accounts</w:t>
            </w:r>
          </w:p>
        </w:tc>
        <w:tc>
          <w:tcPr>
            <w:tcW w:w="24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3,460</w:t>
            </w:r>
          </w:p>
        </w:tc>
        <w:tc>
          <w:tcPr>
            <w:tcW w:w="1540" w:type="dxa"/>
            <w:vAlign w:val="bottom"/>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3,704</w:t>
            </w:r>
          </w:p>
        </w:tc>
        <w:tc>
          <w:tcPr>
            <w:tcW w:w="152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71"/>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298,805</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326,827</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50"/>
        </w:trPr>
        <w:tc>
          <w:tcPr>
            <w:tcW w:w="54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interest bearing deposits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714,854</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689,311</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1.42%</w:t>
            </w:r>
          </w:p>
        </w:tc>
      </w:tr>
      <w:tr>
        <w:trPr>
          <w:trHeight w:val="25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bearing demand accounts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242,443</w:t>
            </w: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220,445</w:t>
            </w:r>
          </w:p>
        </w:tc>
        <w:tc>
          <w:tcPr>
            <w:tcW w:w="1520" w:type="dxa"/>
            <w:vAlign w:val="bottom"/>
            <w:shd w:val="clear" w:color="auto" w:fill="CCEEFF"/>
          </w:tcPr>
          <w:p>
            <w:pPr>
              <w:spacing w:after="0"/>
              <w:rPr>
                <w:sz w:val="21"/>
                <w:szCs w:val="21"/>
                <w:color w:val="auto"/>
              </w:rPr>
            </w:pPr>
          </w:p>
        </w:tc>
      </w:tr>
      <w:tr>
        <w:trPr>
          <w:trHeight w:val="242"/>
        </w:trPr>
        <w:tc>
          <w:tcPr>
            <w:tcW w:w="5480" w:type="dxa"/>
            <w:vAlign w:val="bottom"/>
          </w:tcPr>
          <w:p>
            <w:pPr>
              <w:ind w:left="200"/>
              <w:spacing w:after="0"/>
              <w:rPr>
                <w:sz w:val="20"/>
                <w:szCs w:val="20"/>
                <w:color w:val="auto"/>
              </w:rPr>
            </w:pPr>
            <w:r>
              <w:rPr>
                <w:rFonts w:ascii="Arial" w:cs="Arial" w:eastAsia="Arial" w:hAnsi="Arial"/>
                <w:sz w:val="16"/>
                <w:szCs w:val="16"/>
                <w:color w:val="auto"/>
              </w:rPr>
              <w:t>Total deposits</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957,297</w:t>
            </w:r>
          </w:p>
        </w:tc>
        <w:tc>
          <w:tcPr>
            <w:tcW w:w="15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909,756</w:t>
            </w:r>
          </w:p>
        </w:tc>
        <w:tc>
          <w:tcPr>
            <w:tcW w:w="15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maturities of our certificates of deposit as of June 30,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Over</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 Six</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Over</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Months or</w:t>
            </w: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Six</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Twelve</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Twelve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Less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Months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Total</w:t>
            </w:r>
          </w:p>
        </w:tc>
      </w:tr>
      <w:tr>
        <w:trPr>
          <w:trHeight w:val="246"/>
        </w:trPr>
        <w:tc>
          <w:tcPr>
            <w:tcW w:w="41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$100,000 or more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69,652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51,500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64,442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44,574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230,168</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than $100,000</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18,603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10,881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10,404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6,992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46,880</w:t>
            </w:r>
          </w:p>
        </w:tc>
      </w:tr>
      <w:tr>
        <w:trPr>
          <w:trHeight w:val="242"/>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88,255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62,381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74,846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51,566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277,048</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primarily utilize short-term and long-term borrowings to supplement deposits to fund our lending and investment activities, each of which is discussed below.</w:t>
      </w:r>
    </w:p>
    <w:p>
      <w:pPr>
        <w:spacing w:after="0" w:line="14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June 30, 2019, approximately $217.2 million in real estate loans and $1.6 million in investment securities were pledged as collateral for our FHLB borrowings. We utilize these borrowings to meet liquidity needs and to fund certain fixed rate loans in our portfolio. As of June 30, 2019, we had $38.9 million in outstanding advances and $157.5 million in available borrowing capacity from the FHLB. The $36.9 million increase compared to $2.0 million of outstanding advances at December 31, 2018 resulted from a principal reducing advance taken out during the quarter.</w:t>
      </w: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0"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FHLB ADVANCES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tcPr>
          <w:p>
            <w:pPr>
              <w:jc w:val="right"/>
              <w:ind w:right="122"/>
              <w:spacing w:after="0"/>
              <w:rPr>
                <w:sz w:val="20"/>
                <w:szCs w:val="20"/>
                <w:color w:val="auto"/>
              </w:rPr>
            </w:pPr>
            <w:r>
              <w:rPr>
                <w:rFonts w:ascii="Arial" w:cs="Arial" w:eastAsia="Arial" w:hAnsi="Arial"/>
                <w:sz w:val="14"/>
                <w:szCs w:val="14"/>
                <w:b w:val="1"/>
                <w:bCs w:val="1"/>
                <w:color w:val="auto"/>
              </w:rPr>
              <w:t>For the Six Months Ended June</w:t>
            </w: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202"/>
        </w:trPr>
        <w:tc>
          <w:tcPr>
            <w:tcW w:w="6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30, 2019</w:t>
            </w:r>
          </w:p>
        </w:tc>
        <w:tc>
          <w:tcPr>
            <w:tcW w:w="6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980"/>
              <w:spacing w:after="0"/>
              <w:rPr>
                <w:sz w:val="20"/>
                <w:szCs w:val="20"/>
                <w:color w:val="auto"/>
              </w:rPr>
            </w:pPr>
            <w:r>
              <w:rPr>
                <w:rFonts w:ascii="Arial" w:cs="Arial" w:eastAsia="Arial" w:hAnsi="Arial"/>
                <w:sz w:val="14"/>
                <w:szCs w:val="14"/>
                <w:b w:val="1"/>
                <w:bCs w:val="1"/>
                <w:color w:val="auto"/>
              </w:rPr>
              <w:t>2018</w:t>
            </w:r>
          </w:p>
        </w:tc>
      </w:tr>
      <w:tr>
        <w:trPr>
          <w:trHeight w:val="246"/>
        </w:trPr>
        <w:tc>
          <w:tcPr>
            <w:tcW w:w="64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outstanding at period-end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3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38,889</w:t>
            </w:r>
          </w:p>
        </w:tc>
        <w:tc>
          <w:tcPr>
            <w:tcW w:w="6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2,000</w:t>
            </w:r>
          </w:p>
        </w:tc>
      </w:tr>
      <w:tr>
        <w:trPr>
          <w:trHeight w:val="262"/>
        </w:trPr>
        <w:tc>
          <w:tcPr>
            <w:tcW w:w="6420" w:type="dxa"/>
            <w:vAlign w:val="bottom"/>
          </w:tcPr>
          <w:p>
            <w:pPr>
              <w:ind w:left="40"/>
              <w:spacing w:after="0"/>
              <w:rPr>
                <w:sz w:val="20"/>
                <w:szCs w:val="20"/>
                <w:color w:val="auto"/>
              </w:rPr>
            </w:pPr>
            <w:r>
              <w:rPr>
                <w:rFonts w:ascii="Arial" w:cs="Arial" w:eastAsia="Arial" w:hAnsi="Arial"/>
                <w:sz w:val="16"/>
                <w:szCs w:val="16"/>
                <w:color w:val="auto"/>
              </w:rPr>
              <w:t>Weighted average interest rate at period-end</w:t>
            </w:r>
          </w:p>
        </w:tc>
        <w:tc>
          <w:tcPr>
            <w:tcW w:w="140" w:type="dxa"/>
            <w:vAlign w:val="bottom"/>
          </w:tcPr>
          <w:p>
            <w:pPr>
              <w:spacing w:after="0"/>
              <w:rPr>
                <w:sz w:val="22"/>
                <w:szCs w:val="22"/>
                <w:color w:val="auto"/>
              </w:rPr>
            </w:pPr>
          </w:p>
        </w:tc>
        <w:tc>
          <w:tcPr>
            <w:tcW w:w="2360" w:type="dxa"/>
            <w:vAlign w:val="bottom"/>
          </w:tcPr>
          <w:p>
            <w:pPr>
              <w:jc w:val="right"/>
              <w:ind w:right="2"/>
              <w:spacing w:after="0"/>
              <w:rPr>
                <w:sz w:val="20"/>
                <w:szCs w:val="20"/>
                <w:color w:val="auto"/>
              </w:rPr>
            </w:pPr>
            <w:r>
              <w:rPr>
                <w:rFonts w:ascii="Arial" w:cs="Arial" w:eastAsia="Arial" w:hAnsi="Arial"/>
                <w:sz w:val="16"/>
                <w:szCs w:val="16"/>
                <w:color w:val="auto"/>
              </w:rPr>
              <w:t>2.40%</w:t>
            </w:r>
          </w:p>
        </w:tc>
        <w:tc>
          <w:tcPr>
            <w:tcW w:w="64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78"/>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month-end balance during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3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40,000</w:t>
            </w:r>
          </w:p>
        </w:tc>
        <w:tc>
          <w:tcPr>
            <w:tcW w:w="6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17,000</w:t>
            </w:r>
          </w:p>
        </w:tc>
      </w:tr>
      <w:tr>
        <w:trPr>
          <w:trHeight w:val="262"/>
        </w:trPr>
        <w:tc>
          <w:tcPr>
            <w:tcW w:w="6420" w:type="dxa"/>
            <w:vAlign w:val="bottom"/>
          </w:tcPr>
          <w:p>
            <w:pPr>
              <w:ind w:left="40"/>
              <w:spacing w:after="0"/>
              <w:rPr>
                <w:sz w:val="20"/>
                <w:szCs w:val="20"/>
                <w:color w:val="auto"/>
              </w:rPr>
            </w:pPr>
            <w:r>
              <w:rPr>
                <w:rFonts w:ascii="Arial" w:cs="Arial" w:eastAsia="Arial" w:hAnsi="Arial"/>
                <w:sz w:val="16"/>
                <w:szCs w:val="16"/>
                <w:color w:val="auto"/>
              </w:rPr>
              <w:t>Average balance outstanding during the period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142"/>
              <w:spacing w:after="0"/>
              <w:rPr>
                <w:sz w:val="20"/>
                <w:szCs w:val="20"/>
                <w:color w:val="auto"/>
              </w:rPr>
            </w:pPr>
            <w:r>
              <w:rPr>
                <w:rFonts w:ascii="Arial" w:cs="Arial" w:eastAsia="Arial" w:hAnsi="Arial"/>
                <w:sz w:val="16"/>
                <w:szCs w:val="16"/>
                <w:color w:val="auto"/>
              </w:rPr>
              <w:t>44,603</w:t>
            </w:r>
          </w:p>
        </w:tc>
        <w:tc>
          <w:tcPr>
            <w:tcW w:w="64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00"/>
              <w:spacing w:after="0"/>
              <w:rPr>
                <w:sz w:val="20"/>
                <w:szCs w:val="20"/>
                <w:color w:val="auto"/>
              </w:rPr>
            </w:pPr>
            <w:r>
              <w:rPr>
                <w:rFonts w:ascii="Arial" w:cs="Arial" w:eastAsia="Arial" w:hAnsi="Arial"/>
                <w:sz w:val="16"/>
                <w:szCs w:val="16"/>
                <w:color w:val="auto"/>
              </w:rPr>
              <w:t>8,101</w:t>
            </w:r>
          </w:p>
        </w:tc>
      </w:tr>
      <w:tr>
        <w:trPr>
          <w:trHeight w:val="278"/>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during the period</w:t>
            </w:r>
          </w:p>
        </w:tc>
        <w:tc>
          <w:tcPr>
            <w:tcW w:w="140" w:type="dxa"/>
            <w:vAlign w:val="bottom"/>
            <w:shd w:val="clear" w:color="auto" w:fill="CCEEFF"/>
          </w:tcPr>
          <w:p>
            <w:pPr>
              <w:spacing w:after="0"/>
              <w:rPr>
                <w:sz w:val="24"/>
                <w:szCs w:val="24"/>
                <w:color w:val="auto"/>
              </w:rPr>
            </w:pPr>
          </w:p>
        </w:tc>
        <w:tc>
          <w:tcPr>
            <w:tcW w:w="2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4.04%</w:t>
            </w:r>
          </w:p>
        </w:tc>
        <w:tc>
          <w:tcPr>
            <w:tcW w:w="64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bl>
    <w:p>
      <w:pPr>
        <w:spacing w:after="0" w:line="19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i w:val="1"/>
          <w:iCs w:val="1"/>
          <w:color w:val="auto"/>
        </w:rPr>
        <w:t>Other borrowed funds</w:t>
      </w:r>
      <w:r>
        <w:rPr>
          <w:rFonts w:ascii="Arial" w:cs="Arial" w:eastAsia="Arial" w:hAnsi="Arial"/>
          <w:sz w:val="18"/>
          <w:szCs w:val="18"/>
          <w:color w:val="auto"/>
        </w:rPr>
        <w:t>. The Company has also issued a senior promissory note, junior subordinated debentures and other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At June 30, 2019, these other borrowings amounted to $15.4 million.</w:t>
      </w:r>
    </w:p>
    <w:p>
      <w:pPr>
        <w:spacing w:after="0" w:line="14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On July 30, 2014, we issued a senior promissory note in an aggregate principal amount of $5.0 million, which was scheduled to mature on July 31, 2019. The senior promissory note was repaid during the first quarter of 2018.</w:t>
      </w:r>
    </w:p>
    <w:p>
      <w:pPr>
        <w:spacing w:after="0" w:line="1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At June 30, 2019,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November 24, 2015, the Company issued $13.5 million in aggregate principal amount of subordinated notes with a maturity date of December 1, 2025. The notes may be redeemed prior to the maturity date under certain circumstances. The notes bear interest at 6.95% for the first five years, then adjust to the three-month LIBOR plus 5.33%.</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Federal Reserve Bank of Richmond</w:t>
      </w:r>
      <w:r>
        <w:rPr>
          <w:rFonts w:ascii="Arial" w:cs="Arial" w:eastAsia="Arial" w:hAnsi="Arial"/>
          <w:sz w:val="18"/>
          <w:szCs w:val="18"/>
          <w:color w:val="auto"/>
        </w:rPr>
        <w:t>. The Federal Reserve Bank of Richmond has an available borrower in custody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borrow on a collateralized basis. The Company’s borrowing capacity under the Federal Reserve’s discount window program was $8.3 million as of June 30, 2019. Certain commercial loans are pledged under this arrangement. We maintain this borrowing arrangement to meet liquidity needs pursuant to our contingency funding plan. No advances were outstanding under this facility as of June 30, 2019.</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also has available lines of credit of $28.0 million with other correspondent banks at June 30, 2019, as well as access to certificate of deposit funding through a financial network which is limited to 15% of the Bank’s assets.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Liquidity</w:t>
      </w:r>
    </w:p>
    <w:p>
      <w:pPr>
        <w:spacing w:after="0" w:line="2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 legal and reputational risks also could affect the Bank’s liquidity risk profile and are considered in the assessment of liquidity and asset/liability management.</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has established a comprehensive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assessments of the current and prospective cash flows or sources and uses of funds) that are commensurate with the complexity and business activities of the Bank;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16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There were no borrowings outstanding with the Federal Reserve Bank of Richmond at June 30, 2019 or December 31, 2018, and our borrowing capacity is limited only by eligible collateral. As of June 30, 2019, we had $157.5 million of available borrowing capacity from the FHLB, $8.3 million of available borrowing capacity from the Federal Reserve Bank of Richmond and available lines of credit of $28.0 million with other correspondent banks. Cash and cash equivalents were $79.5 million at June 30, 2019 and $34.7 million at December 31, 2018. Accordingly, our liquidity resources were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Capital Resources</w:t>
      </w:r>
    </w:p>
    <w:p>
      <w:pPr>
        <w:spacing w:after="0" w:line="2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Stockholders’ equity increased $8.6 million at June 30, 2019 compared to December 31, 2018. Net income for the six months ended June 30, 2019 increased retained earnings by $7.3 million . Stock options exercised, shares issued as compensation, and stock-based compensation increased common stock and additional paid-in capital aggregately by $245 thousand. These increases were supplemented by a decrease in net unrealized losses on available for sale securities of $565 thousand.</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uses several indicators of capital strength. The most commonly used measure is average common equity to average assets (computed as average equity divided by average total assets), which was 10.48% at June 30, 2019 and 8.76% at December 31, 2018.</w:t>
      </w:r>
    </w:p>
    <w:p>
      <w:pPr>
        <w:spacing w:after="0" w:line="1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average equity to average assets ratios for the six months ended June 30, 2019 and for the year ended December 31, 2018.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 w:type="dxa"/>
            <w:vAlign w:val="bottom"/>
            <w:tcBorders>
              <w:bottom w:val="single" w:sz="8" w:color="CCEEFF"/>
            </w:tcBorders>
          </w:tcPr>
          <w:p>
            <w:pPr>
              <w:spacing w:after="0"/>
              <w:rPr>
                <w:sz w:val="17"/>
                <w:szCs w:val="17"/>
                <w:color w:val="auto"/>
              </w:rPr>
            </w:pPr>
          </w:p>
        </w:tc>
        <w:tc>
          <w:tcPr>
            <w:tcW w:w="63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June 30, 2019</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December 31, 2018</w:t>
            </w:r>
          </w:p>
        </w:tc>
      </w:tr>
      <w:tr>
        <w:trPr>
          <w:trHeight w:val="251"/>
        </w:trPr>
        <w:tc>
          <w:tcPr>
            <w:tcW w:w="8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Return on Average Assets</w:t>
            </w:r>
            <w:r>
              <w:rPr>
                <w:rFonts w:ascii="Arial" w:cs="Arial" w:eastAsia="Arial" w:hAnsi="Arial"/>
                <w:sz w:val="21"/>
                <w:szCs w:val="21"/>
                <w:color w:val="auto"/>
                <w:vertAlign w:val="superscript"/>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70"/>
        </w:trPr>
        <w:tc>
          <w:tcPr>
            <w:tcW w:w="8560" w:type="dxa"/>
            <w:vAlign w:val="bottom"/>
            <w:gridSpan w:val="3"/>
          </w:tcPr>
          <w:p>
            <w:pPr>
              <w:ind w:left="40"/>
              <w:spacing w:after="0"/>
              <w:rPr>
                <w:sz w:val="20"/>
                <w:szCs w:val="20"/>
                <w:color w:val="auto"/>
              </w:rPr>
            </w:pPr>
            <w:r>
              <w:rPr>
                <w:rFonts w:ascii="Arial" w:cs="Arial" w:eastAsia="Arial" w:hAnsi="Arial"/>
                <w:sz w:val="16"/>
                <w:szCs w:val="16"/>
                <w:color w:val="auto"/>
              </w:rPr>
              <w:t>Return on Average Equity</w:t>
            </w:r>
            <w:r>
              <w:rPr>
                <w:rFonts w:ascii="Arial" w:cs="Arial" w:eastAsia="Arial" w:hAnsi="Arial"/>
                <w:sz w:val="21"/>
                <w:szCs w:val="21"/>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6"/>
                <w:szCs w:val="16"/>
                <w:color w:val="auto"/>
              </w:rPr>
              <w:t>12.33%</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13.94%</w:t>
            </w:r>
          </w:p>
        </w:tc>
      </w:tr>
      <w:tr>
        <w:trPr>
          <w:trHeight w:val="270"/>
        </w:trPr>
        <w:tc>
          <w:tcPr>
            <w:tcW w:w="8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Average Equity to Average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43"/>
        </w:trPr>
        <w:tc>
          <w:tcPr>
            <w:tcW w:w="688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1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195"/>
        </w:trPr>
        <w:tc>
          <w:tcPr>
            <w:tcW w:w="500" w:type="dxa"/>
            <w:vAlign w:val="bottom"/>
          </w:tcPr>
          <w:p>
            <w:pPr>
              <w:spacing w:after="0"/>
              <w:rPr>
                <w:sz w:val="20"/>
                <w:szCs w:val="20"/>
                <w:color w:val="auto"/>
              </w:rPr>
            </w:pPr>
            <w:r>
              <w:rPr>
                <w:rFonts w:ascii="Arial" w:cs="Arial" w:eastAsia="Arial" w:hAnsi="Arial"/>
                <w:sz w:val="14"/>
                <w:szCs w:val="14"/>
                <w:color w:val="auto"/>
              </w:rPr>
              <w:t>(1)</w:t>
            </w:r>
          </w:p>
        </w:tc>
        <w:tc>
          <w:tcPr>
            <w:tcW w:w="8060" w:type="dxa"/>
            <w:vAlign w:val="bottom"/>
            <w:gridSpan w:val="2"/>
          </w:tcPr>
          <w:p>
            <w:pPr>
              <w:ind w:left="340"/>
              <w:spacing w:after="0"/>
              <w:rPr>
                <w:sz w:val="20"/>
                <w:szCs w:val="20"/>
                <w:color w:val="auto"/>
              </w:rPr>
            </w:pPr>
            <w:r>
              <w:rPr>
                <w:rFonts w:ascii="Arial" w:cs="Arial" w:eastAsia="Arial" w:hAnsi="Arial"/>
                <w:sz w:val="14"/>
                <w:szCs w:val="14"/>
                <w:color w:val="auto"/>
              </w:rPr>
              <w:t>These ratios are annualized for the six months ended June 30, 2019.</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22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ratios of common equity Tier 1, Tier 1, and total capital as a percentage of assets and off-balance sheet exposures, adjusted for risk weights ranging from 0% to 1250%. The Company and the Bank are also required to maintain capital at a minimum level based on quarterly average assets, which is known as the leverage ratio.</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was previously required to comply with the minimum capital requirements on a consolidated basis; however, the Company continues to meet the conditions of the revised Small BHC Policy Statement and was, therefore, exempt from the consolidated capital requirements for the periods reflected.</w:t>
      </w:r>
    </w:p>
    <w:p>
      <w:pPr>
        <w:spacing w:after="0" w:line="182"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As of June 30, 2019, the Company and the Bank were in compliance with all applicable regulatory capital requirements to which they were subject, and the Bank was classified as “well capitalized” for purposes of</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2" w:right="239" w:bottom="1440" w:gutter="0" w:footer="0" w:header="0"/>
        </w:sectPr>
      </w:pPr>
    </w:p>
    <w:bookmarkStart w:id="59" w:name="page60"/>
    <w:bookmarkEnd w:id="59"/>
    <w:p>
      <w:pPr>
        <w:jc w:val="both"/>
        <w:spacing w:after="0" w:line="264" w:lineRule="auto"/>
        <w:rPr>
          <w:sz w:val="20"/>
          <w:szCs w:val="20"/>
          <w:color w:val="auto"/>
        </w:rPr>
      </w:pPr>
      <w:r>
        <w:rPr>
          <w:rFonts w:ascii="Arial" w:cs="Arial" w:eastAsia="Arial" w:hAnsi="Arial"/>
          <w:sz w:val="18"/>
          <w:szCs w:val="18"/>
          <w:color w:val="auto"/>
        </w:rPr>
        <w:t>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 See “Supervision and Regulation—Capital Adequacy Guidelines” for additional discussion regarding the regulatory capital requirements applicable to the Company and the Bank.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regulatory capital ratios for the Company and the Bank as of the dates indicated.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ind w:left="280"/>
              <w:spacing w:after="0"/>
              <w:rPr>
                <w:sz w:val="20"/>
                <w:szCs w:val="20"/>
                <w:color w:val="auto"/>
              </w:rPr>
            </w:pPr>
            <w:r>
              <w:rPr>
                <w:rFonts w:ascii="Arial" w:cs="Arial" w:eastAsia="Arial" w:hAnsi="Arial"/>
                <w:sz w:val="14"/>
                <w:szCs w:val="14"/>
                <w:color w:val="auto"/>
              </w:rPr>
              <w:t>Minimum capital</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To be well</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6"/>
        </w:trPr>
        <w:tc>
          <w:tcPr>
            <w:tcW w:w="36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Actual</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adequacy</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capitalized</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w w:val="98"/>
              </w:rPr>
              <w:t>Full Phase In of Basel III</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June 30, 2019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color w:val="auto"/>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color w:val="auto"/>
              </w:rPr>
              <w:t>Ratio</w:t>
            </w:r>
          </w:p>
        </w:tc>
        <w:tc>
          <w:tcPr>
            <w:tcW w:w="160" w:type="dxa"/>
            <w:vAlign w:val="bottom"/>
          </w:tcPr>
          <w:p>
            <w:pPr>
              <w:spacing w:after="0"/>
              <w:rPr>
                <w:sz w:val="22"/>
                <w:szCs w:val="22"/>
                <w:color w:val="auto"/>
              </w:rPr>
            </w:pPr>
          </w:p>
        </w:tc>
        <w:tc>
          <w:tcPr>
            <w:tcW w:w="1080" w:type="dxa"/>
            <w:vAlign w:val="bottom"/>
          </w:tcPr>
          <w:p>
            <w:pPr>
              <w:jc w:val="right"/>
              <w:ind w:right="492"/>
              <w:spacing w:after="0"/>
              <w:rPr>
                <w:sz w:val="20"/>
                <w:szCs w:val="20"/>
                <w:color w:val="auto"/>
              </w:rPr>
            </w:pPr>
            <w:r>
              <w:rPr>
                <w:rFonts w:ascii="Arial" w:cs="Arial" w:eastAsia="Arial" w:hAnsi="Arial"/>
                <w:sz w:val="14"/>
                <w:szCs w:val="14"/>
                <w:color w:val="auto"/>
              </w:rPr>
              <w:t>Amount</w:t>
            </w:r>
          </w:p>
        </w:tc>
        <w:tc>
          <w:tcPr>
            <w:tcW w:w="680" w:type="dxa"/>
            <w:vAlign w:val="bottom"/>
            <w:gridSpan w:val="2"/>
          </w:tcPr>
          <w:p>
            <w:pPr>
              <w:spacing w:after="0"/>
              <w:rPr>
                <w:sz w:val="20"/>
                <w:szCs w:val="20"/>
                <w:color w:val="auto"/>
              </w:rPr>
            </w:pPr>
            <w:r>
              <w:rPr>
                <w:rFonts w:ascii="Arial" w:cs="Arial" w:eastAsia="Arial" w:hAnsi="Arial"/>
                <w:sz w:val="14"/>
                <w:szCs w:val="14"/>
                <w:color w:val="auto"/>
              </w:rPr>
              <w:t>Ratio</w:t>
            </w:r>
          </w:p>
        </w:tc>
        <w:tc>
          <w:tcPr>
            <w:tcW w:w="160" w:type="dxa"/>
            <w:vAlign w:val="bottom"/>
          </w:tcPr>
          <w:p>
            <w:pPr>
              <w:spacing w:after="0"/>
              <w:rPr>
                <w:sz w:val="22"/>
                <w:szCs w:val="22"/>
                <w:color w:val="auto"/>
              </w:rPr>
            </w:pPr>
          </w:p>
        </w:tc>
        <w:tc>
          <w:tcPr>
            <w:tcW w:w="1100" w:type="dxa"/>
            <w:vAlign w:val="bottom"/>
          </w:tcPr>
          <w:p>
            <w:pPr>
              <w:jc w:val="right"/>
              <w:ind w:right="512"/>
              <w:spacing w:after="0"/>
              <w:rPr>
                <w:sz w:val="20"/>
                <w:szCs w:val="20"/>
                <w:color w:val="auto"/>
              </w:rPr>
            </w:pPr>
            <w:r>
              <w:rPr>
                <w:rFonts w:ascii="Arial" w:cs="Arial" w:eastAsia="Arial" w:hAnsi="Arial"/>
                <w:sz w:val="14"/>
                <w:szCs w:val="14"/>
                <w:color w:val="auto"/>
              </w:rPr>
              <w:t>Amount</w:t>
            </w:r>
          </w:p>
        </w:tc>
        <w:tc>
          <w:tcPr>
            <w:tcW w:w="680" w:type="dxa"/>
            <w:vAlign w:val="bottom"/>
            <w:gridSpan w:val="2"/>
          </w:tcPr>
          <w:p>
            <w:pPr>
              <w:spacing w:after="0"/>
              <w:rPr>
                <w:sz w:val="20"/>
                <w:szCs w:val="20"/>
                <w:color w:val="auto"/>
              </w:rPr>
            </w:pPr>
            <w:r>
              <w:rPr>
                <w:rFonts w:ascii="Arial" w:cs="Arial" w:eastAsia="Arial" w:hAnsi="Arial"/>
                <w:sz w:val="14"/>
                <w:szCs w:val="14"/>
                <w:color w:val="auto"/>
              </w:rPr>
              <w:t>Ratio</w:t>
            </w:r>
          </w:p>
        </w:tc>
        <w:tc>
          <w:tcPr>
            <w:tcW w:w="140" w:type="dxa"/>
            <w:vAlign w:val="bottom"/>
          </w:tcPr>
          <w:p>
            <w:pPr>
              <w:spacing w:after="0"/>
              <w:rPr>
                <w:sz w:val="22"/>
                <w:szCs w:val="22"/>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color w:val="auto"/>
              </w:rPr>
              <w:t>Amount</w:t>
            </w:r>
          </w:p>
        </w:tc>
        <w:tc>
          <w:tcPr>
            <w:tcW w:w="800" w:type="dxa"/>
            <w:vAlign w:val="bottom"/>
          </w:tcPr>
          <w:p>
            <w:pPr>
              <w:jc w:val="right"/>
              <w:ind w:right="192"/>
              <w:spacing w:after="0"/>
              <w:rPr>
                <w:sz w:val="20"/>
                <w:szCs w:val="20"/>
                <w:color w:val="auto"/>
              </w:rPr>
            </w:pPr>
            <w:r>
              <w:rPr>
                <w:rFonts w:ascii="Arial" w:cs="Arial" w:eastAsia="Arial" w:hAnsi="Arial"/>
                <w:sz w:val="14"/>
                <w:szCs w:val="14"/>
                <w:color w:val="auto"/>
              </w:rPr>
              <w:t>Ratio</w:t>
            </w:r>
          </w:p>
        </w:tc>
      </w:tr>
      <w:tr>
        <w:trPr>
          <w:trHeight w:val="270"/>
        </w:trPr>
        <w:tc>
          <w:tcPr>
            <w:tcW w:w="3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The Company</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Tier 1 leverage ratio (to average assets)</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125,210</w:t>
            </w:r>
          </w:p>
        </w:tc>
        <w:tc>
          <w:tcPr>
            <w:tcW w:w="64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92"/>
              <w:spacing w:after="0"/>
              <w:rPr>
                <w:sz w:val="20"/>
                <w:szCs w:val="20"/>
                <w:color w:val="auto"/>
              </w:rPr>
            </w:pPr>
            <w:r>
              <w:rPr>
                <w:rFonts w:ascii="Arial" w:cs="Arial" w:eastAsia="Arial" w:hAnsi="Arial"/>
                <w:sz w:val="14"/>
                <w:szCs w:val="14"/>
                <w:color w:val="auto"/>
              </w:rPr>
              <w:t>46,562</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color w:val="auto"/>
              </w:rPr>
              <w:t>N/A</w:t>
            </w:r>
          </w:p>
        </w:tc>
        <w:tc>
          <w:tcPr>
            <w:tcW w:w="680" w:type="dxa"/>
            <w:vAlign w:val="bottom"/>
            <w:gridSpan w:val="2"/>
          </w:tcPr>
          <w:p>
            <w:pPr>
              <w:ind w:left="200"/>
              <w:spacing w:after="0"/>
              <w:rPr>
                <w:sz w:val="20"/>
                <w:szCs w:val="20"/>
                <w:color w:val="auto"/>
              </w:rPr>
            </w:pPr>
            <w:r>
              <w:rPr>
                <w:rFonts w:ascii="Arial" w:cs="Arial" w:eastAsia="Arial" w:hAnsi="Arial"/>
                <w:sz w:val="14"/>
                <w:szCs w:val="14"/>
                <w:color w:val="auto"/>
              </w:rPr>
              <w:t>N/A</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46,562</w:t>
            </w:r>
          </w:p>
        </w:tc>
        <w:tc>
          <w:tcPr>
            <w:tcW w:w="80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125,210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83,431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83,431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r>
      <w:tr>
        <w:trPr>
          <w:trHeight w:val="159"/>
        </w:trPr>
        <w:tc>
          <w:tcPr>
            <w:tcW w:w="3660" w:type="dxa"/>
            <w:vAlign w:val="bottom"/>
          </w:tcPr>
          <w:p>
            <w:pPr>
              <w:ind w:left="180"/>
              <w:spacing w:after="0" w:line="159" w:lineRule="exact"/>
              <w:rPr>
                <w:sz w:val="20"/>
                <w:szCs w:val="20"/>
                <w:color w:val="auto"/>
              </w:rPr>
            </w:pPr>
            <w:r>
              <w:rPr>
                <w:rFonts w:ascii="Arial" w:cs="Arial" w:eastAsia="Arial" w:hAnsi="Arial"/>
                <w:sz w:val="14"/>
                <w:szCs w:val="14"/>
                <w:color w:val="auto"/>
              </w:rPr>
              <w:t>Common equity tier 1 capital ratio (to risk-weighted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6"/>
        </w:trPr>
        <w:tc>
          <w:tcPr>
            <w:tcW w:w="3660" w:type="dxa"/>
            <w:vAlign w:val="bottom"/>
          </w:tcPr>
          <w:p>
            <w:pPr>
              <w:ind w:left="3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123,148</w:t>
            </w:r>
          </w:p>
        </w:tc>
        <w:tc>
          <w:tcPr>
            <w:tcW w:w="640" w:type="dxa"/>
            <w:vAlign w:val="bottom"/>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color w:val="auto"/>
              </w:rPr>
              <w:t>68,708</w:t>
            </w:r>
          </w:p>
        </w:tc>
        <w:tc>
          <w:tcPr>
            <w:tcW w:w="5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color w:val="auto"/>
              </w:rPr>
              <w:t>N/A</w:t>
            </w:r>
          </w:p>
        </w:tc>
        <w:tc>
          <w:tcPr>
            <w:tcW w:w="680" w:type="dxa"/>
            <w:vAlign w:val="bottom"/>
            <w:gridSpan w:val="2"/>
          </w:tcPr>
          <w:p>
            <w:pPr>
              <w:ind w:left="2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6"/>
                <w:szCs w:val="16"/>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68,708</w:t>
            </w:r>
          </w:p>
        </w:tc>
        <w:tc>
          <w:tcPr>
            <w:tcW w:w="80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capital ratio (to risk-weighted assets)</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137,489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103,062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103,062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The Bank</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Tier 1 leverage ratio (to average assets)</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100,625</w:t>
            </w:r>
          </w:p>
        </w:tc>
        <w:tc>
          <w:tcPr>
            <w:tcW w:w="640" w:type="dxa"/>
            <w:vAlign w:val="bottom"/>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92"/>
              <w:spacing w:after="0"/>
              <w:rPr>
                <w:sz w:val="20"/>
                <w:szCs w:val="20"/>
                <w:color w:val="auto"/>
              </w:rPr>
            </w:pPr>
            <w:r>
              <w:rPr>
                <w:rFonts w:ascii="Arial" w:cs="Arial" w:eastAsia="Arial" w:hAnsi="Arial"/>
                <w:sz w:val="14"/>
                <w:szCs w:val="14"/>
                <w:color w:val="auto"/>
              </w:rPr>
              <w:t>45,171</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12"/>
              <w:spacing w:after="0"/>
              <w:rPr>
                <w:sz w:val="20"/>
                <w:szCs w:val="20"/>
                <w:color w:val="auto"/>
              </w:rPr>
            </w:pPr>
            <w:r>
              <w:rPr>
                <w:rFonts w:ascii="Arial" w:cs="Arial" w:eastAsia="Arial" w:hAnsi="Arial"/>
                <w:sz w:val="14"/>
                <w:szCs w:val="14"/>
                <w:color w:val="auto"/>
              </w:rPr>
              <w:t>56,464</w:t>
            </w:r>
          </w:p>
        </w:tc>
        <w:tc>
          <w:tcPr>
            <w:tcW w:w="5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45,171</w:t>
            </w:r>
          </w:p>
        </w:tc>
        <w:tc>
          <w:tcPr>
            <w:tcW w:w="80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100,625</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80,302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75,578</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80,302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r>
      <w:tr>
        <w:trPr>
          <w:trHeight w:val="159"/>
        </w:trPr>
        <w:tc>
          <w:tcPr>
            <w:tcW w:w="3660" w:type="dxa"/>
            <w:vAlign w:val="bottom"/>
          </w:tcPr>
          <w:p>
            <w:pPr>
              <w:ind w:left="180"/>
              <w:spacing w:after="0" w:line="159" w:lineRule="exact"/>
              <w:rPr>
                <w:sz w:val="20"/>
                <w:szCs w:val="20"/>
                <w:color w:val="auto"/>
              </w:rPr>
            </w:pPr>
            <w:r>
              <w:rPr>
                <w:rFonts w:ascii="Arial" w:cs="Arial" w:eastAsia="Arial" w:hAnsi="Arial"/>
                <w:sz w:val="14"/>
                <w:szCs w:val="14"/>
                <w:color w:val="auto"/>
              </w:rPr>
              <w:t>Common equity tier 1 capital ratio (to risk-weighted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6"/>
        </w:trPr>
        <w:tc>
          <w:tcPr>
            <w:tcW w:w="3660" w:type="dxa"/>
            <w:vAlign w:val="bottom"/>
          </w:tcPr>
          <w:p>
            <w:pPr>
              <w:ind w:left="3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100,625</w:t>
            </w:r>
          </w:p>
        </w:tc>
        <w:tc>
          <w:tcPr>
            <w:tcW w:w="640" w:type="dxa"/>
            <w:vAlign w:val="bottom"/>
          </w:tcPr>
          <w:p>
            <w:pPr>
              <w:jc w:val="right"/>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color w:val="auto"/>
              </w:rPr>
              <w:t>66,131</w:t>
            </w:r>
          </w:p>
        </w:tc>
        <w:tc>
          <w:tcPr>
            <w:tcW w:w="5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color w:val="auto"/>
              </w:rPr>
              <w:t>61,407</w:t>
            </w:r>
          </w:p>
        </w:tc>
        <w:tc>
          <w:tcPr>
            <w:tcW w:w="560" w:type="dxa"/>
            <w:vAlign w:val="bottom"/>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66,131</w:t>
            </w:r>
          </w:p>
        </w:tc>
        <w:tc>
          <w:tcPr>
            <w:tcW w:w="80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capital ratio (to risk-weighted assets)</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112,446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99,196</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94,472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99,196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4"/>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54"/>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The Company</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2"/>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leverage ratio (to average assets)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117,220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43,575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43,575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117,220</w:t>
            </w:r>
          </w:p>
        </w:tc>
        <w:tc>
          <w:tcPr>
            <w:tcW w:w="640" w:type="dxa"/>
            <w:vAlign w:val="bottom"/>
          </w:tcPr>
          <w:p>
            <w:pPr>
              <w:jc w:val="right"/>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color w:val="auto"/>
              </w:rPr>
              <w:t>71,259</w:t>
            </w:r>
          </w:p>
        </w:tc>
        <w:tc>
          <w:tcPr>
            <w:tcW w:w="580" w:type="dxa"/>
            <w:vAlign w:val="bottom"/>
          </w:tcPr>
          <w:p>
            <w:pPr>
              <w:jc w:val="right"/>
              <w:spacing w:after="0"/>
              <w:rPr>
                <w:sz w:val="20"/>
                <w:szCs w:val="20"/>
                <w:color w:val="auto"/>
              </w:rPr>
            </w:pPr>
            <w:r>
              <w:rPr>
                <w:rFonts w:ascii="Arial" w:cs="Arial" w:eastAsia="Arial" w:hAnsi="Arial"/>
                <w:sz w:val="14"/>
                <w:szCs w:val="14"/>
                <w:color w:val="auto"/>
              </w:rPr>
              <w:t>7.875%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color w:val="auto"/>
              </w:rPr>
              <w:t>N/A</w:t>
            </w:r>
          </w:p>
        </w:tc>
        <w:tc>
          <w:tcPr>
            <w:tcW w:w="680" w:type="dxa"/>
            <w:vAlign w:val="bottom"/>
            <w:gridSpan w:val="2"/>
          </w:tcPr>
          <w:p>
            <w:pPr>
              <w:ind w:left="2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76,914</w:t>
            </w:r>
          </w:p>
        </w:tc>
        <w:tc>
          <w:tcPr>
            <w:tcW w:w="80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165"/>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equity tier 1 capital ratio (to risk-weighted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2"/>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115,158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57,686</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63,341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Total capital ratio (to risk-weighted assets)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128,544</w:t>
            </w:r>
          </w:p>
        </w:tc>
        <w:tc>
          <w:tcPr>
            <w:tcW w:w="640" w:type="dxa"/>
            <w:vAlign w:val="bottom"/>
          </w:tcPr>
          <w:p>
            <w:pPr>
              <w:jc w:val="right"/>
              <w:spacing w:after="0"/>
              <w:rPr>
                <w:sz w:val="20"/>
                <w:szCs w:val="20"/>
                <w:color w:val="auto"/>
              </w:rPr>
            </w:pPr>
            <w:r>
              <w:rPr>
                <w:rFonts w:ascii="Arial" w:cs="Arial" w:eastAsia="Arial" w:hAnsi="Arial"/>
                <w:sz w:val="14"/>
                <w:szCs w:val="14"/>
                <w:color w:val="auto"/>
              </w:rPr>
              <w:t>12.96%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color w:val="auto"/>
              </w:rPr>
              <w:t>89,356</w:t>
            </w:r>
          </w:p>
        </w:tc>
        <w:tc>
          <w:tcPr>
            <w:tcW w:w="580" w:type="dxa"/>
            <w:vAlign w:val="bottom"/>
          </w:tcPr>
          <w:p>
            <w:pPr>
              <w:jc w:val="right"/>
              <w:spacing w:after="0"/>
              <w:rPr>
                <w:sz w:val="20"/>
                <w:szCs w:val="20"/>
                <w:color w:val="auto"/>
              </w:rPr>
            </w:pPr>
            <w:r>
              <w:rPr>
                <w:rFonts w:ascii="Arial" w:cs="Arial" w:eastAsia="Arial" w:hAnsi="Arial"/>
                <w:sz w:val="14"/>
                <w:szCs w:val="14"/>
                <w:color w:val="auto"/>
              </w:rPr>
              <w:t>9.875%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color w:val="auto"/>
              </w:rPr>
              <w:t>N/A</w:t>
            </w:r>
          </w:p>
        </w:tc>
        <w:tc>
          <w:tcPr>
            <w:tcW w:w="680" w:type="dxa"/>
            <w:vAlign w:val="bottom"/>
            <w:gridSpan w:val="2"/>
          </w:tcPr>
          <w:p>
            <w:pPr>
              <w:ind w:left="2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95,012</w:t>
            </w:r>
          </w:p>
        </w:tc>
        <w:tc>
          <w:tcPr>
            <w:tcW w:w="80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276"/>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8"/>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The Bank</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2"/>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leverage ratio (to average assets)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96,122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42,445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53,056</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42,445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96,122</w:t>
            </w:r>
          </w:p>
        </w:tc>
        <w:tc>
          <w:tcPr>
            <w:tcW w:w="640" w:type="dxa"/>
            <w:vAlign w:val="bottom"/>
          </w:tcPr>
          <w:p>
            <w:pPr>
              <w:jc w:val="right"/>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color w:val="auto"/>
              </w:rPr>
              <w:t>68,822</w:t>
            </w:r>
          </w:p>
        </w:tc>
        <w:tc>
          <w:tcPr>
            <w:tcW w:w="580" w:type="dxa"/>
            <w:vAlign w:val="bottom"/>
          </w:tcPr>
          <w:p>
            <w:pPr>
              <w:jc w:val="right"/>
              <w:spacing w:after="0"/>
              <w:rPr>
                <w:sz w:val="20"/>
                <w:szCs w:val="20"/>
                <w:color w:val="auto"/>
              </w:rPr>
            </w:pPr>
            <w:r>
              <w:rPr>
                <w:rFonts w:ascii="Arial" w:cs="Arial" w:eastAsia="Arial" w:hAnsi="Arial"/>
                <w:sz w:val="14"/>
                <w:szCs w:val="14"/>
                <w:color w:val="auto"/>
              </w:rPr>
              <w:t>7.875%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color w:val="auto"/>
              </w:rPr>
              <w:t>69,914</w:t>
            </w:r>
          </w:p>
        </w:tc>
        <w:tc>
          <w:tcPr>
            <w:tcW w:w="560" w:type="dxa"/>
            <w:vAlign w:val="bottom"/>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74,284</w:t>
            </w:r>
          </w:p>
        </w:tc>
        <w:tc>
          <w:tcPr>
            <w:tcW w:w="80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165"/>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equity tier 1 capital ratio (to risk-weighted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2"/>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96,122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55,713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56,805</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61,175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258"/>
        </w:trPr>
        <w:tc>
          <w:tcPr>
            <w:tcW w:w="3660" w:type="dxa"/>
            <w:vAlign w:val="bottom"/>
          </w:tcPr>
          <w:p>
            <w:pPr>
              <w:ind w:left="180"/>
              <w:spacing w:after="0"/>
              <w:rPr>
                <w:sz w:val="20"/>
                <w:szCs w:val="20"/>
                <w:color w:val="auto"/>
              </w:rPr>
            </w:pPr>
            <w:r>
              <w:rPr>
                <w:rFonts w:ascii="Arial" w:cs="Arial" w:eastAsia="Arial" w:hAnsi="Arial"/>
                <w:sz w:val="14"/>
                <w:szCs w:val="14"/>
                <w:color w:val="auto"/>
              </w:rPr>
              <w:t>Total capital ratio (to risk-weighted assets)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107,061</w:t>
            </w:r>
          </w:p>
        </w:tc>
        <w:tc>
          <w:tcPr>
            <w:tcW w:w="640" w:type="dxa"/>
            <w:vAlign w:val="bottom"/>
          </w:tcPr>
          <w:p>
            <w:pPr>
              <w:jc w:val="right"/>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color w:val="auto"/>
              </w:rPr>
              <w:t>86,301</w:t>
            </w:r>
          </w:p>
        </w:tc>
        <w:tc>
          <w:tcPr>
            <w:tcW w:w="580" w:type="dxa"/>
            <w:vAlign w:val="bottom"/>
          </w:tcPr>
          <w:p>
            <w:pPr>
              <w:jc w:val="right"/>
              <w:spacing w:after="0"/>
              <w:rPr>
                <w:sz w:val="20"/>
                <w:szCs w:val="20"/>
                <w:color w:val="auto"/>
              </w:rPr>
            </w:pPr>
            <w:r>
              <w:rPr>
                <w:rFonts w:ascii="Arial" w:cs="Arial" w:eastAsia="Arial" w:hAnsi="Arial"/>
                <w:sz w:val="14"/>
                <w:szCs w:val="14"/>
                <w:color w:val="auto"/>
              </w:rPr>
              <w:t>9.875%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color w:val="auto"/>
              </w:rPr>
              <w:t>87,393</w:t>
            </w: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91,763</w:t>
            </w:r>
          </w:p>
        </w:tc>
        <w:tc>
          <w:tcPr>
            <w:tcW w:w="800" w:type="dxa"/>
            <w:vAlign w:val="bottom"/>
          </w:tcPr>
          <w:p>
            <w:pPr>
              <w:jc w:val="right"/>
              <w:spacing w:after="0"/>
              <w:rPr>
                <w:sz w:val="20"/>
                <w:szCs w:val="20"/>
                <w:color w:val="auto"/>
              </w:rPr>
            </w:pPr>
            <w:r>
              <w:rPr>
                <w:rFonts w:ascii="Arial" w:cs="Arial" w:eastAsia="Arial" w:hAnsi="Arial"/>
                <w:sz w:val="14"/>
                <w:szCs w:val="14"/>
                <w:color w:val="auto"/>
              </w:rPr>
              <w:t>10.50%</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have contractual obligations to make future payments on debt agreements. While our liquidity monitoring and management consider both present and future demands for and sources of liquidity, the following table of contractual commitments focuses only on future obligations and summarizes our contractual obligations as of June 30, 2019.</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As of June 30, 2019</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68"/>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02"/>
              <w:spacing w:after="0"/>
              <w:rPr>
                <w:sz w:val="20"/>
                <w:szCs w:val="20"/>
                <w:color w:val="auto"/>
              </w:rPr>
            </w:pPr>
            <w:r>
              <w:rPr>
                <w:rFonts w:ascii="Arial" w:cs="Arial" w:eastAsia="Arial" w:hAnsi="Arial"/>
                <w:sz w:val="14"/>
                <w:szCs w:val="14"/>
                <w:b w:val="1"/>
                <w:bCs w:val="1"/>
                <w:color w:val="auto"/>
              </w:rPr>
              <w:t>Due After One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Due in One Year or</w:t>
            </w:r>
          </w:p>
        </w:tc>
        <w:tc>
          <w:tcPr>
            <w:tcW w:w="180" w:type="dxa"/>
            <w:vAlign w:val="bottom"/>
          </w:tcPr>
          <w:p>
            <w:pPr>
              <w:spacing w:after="0"/>
              <w:rPr>
                <w:sz w:val="14"/>
                <w:szCs w:val="14"/>
                <w:color w:val="auto"/>
              </w:rPr>
            </w:pPr>
          </w:p>
        </w:tc>
        <w:tc>
          <w:tcPr>
            <w:tcW w:w="1300" w:type="dxa"/>
            <w:vAlign w:val="bottom"/>
          </w:tcPr>
          <w:p>
            <w:pPr>
              <w:jc w:val="center"/>
              <w:ind w:right="122"/>
              <w:spacing w:after="0"/>
              <w:rPr>
                <w:sz w:val="20"/>
                <w:szCs w:val="20"/>
                <w:color w:val="auto"/>
              </w:rPr>
            </w:pPr>
            <w:r>
              <w:rPr>
                <w:rFonts w:ascii="Arial" w:cs="Arial" w:eastAsia="Arial" w:hAnsi="Arial"/>
                <w:sz w:val="14"/>
                <w:szCs w:val="14"/>
                <w:b w:val="1"/>
                <w:bCs w:val="1"/>
                <w:color w:val="auto"/>
              </w:rPr>
              <w:t>Through Three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Due After Three</w:t>
            </w:r>
          </w:p>
        </w:tc>
        <w:tc>
          <w:tcPr>
            <w:tcW w:w="1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Due After 5</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41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Less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Through Five Years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43"/>
        </w:trPr>
        <w:tc>
          <w:tcPr>
            <w:tcW w:w="4120" w:type="dxa"/>
            <w:vAlign w:val="bottom"/>
          </w:tcPr>
          <w:p>
            <w:pPr>
              <w:ind w:left="40"/>
              <w:spacing w:after="0"/>
              <w:rPr>
                <w:sz w:val="20"/>
                <w:szCs w:val="20"/>
                <w:color w:val="auto"/>
              </w:rPr>
            </w:pPr>
            <w:r>
              <w:rPr>
                <w:rFonts w:ascii="Arial" w:cs="Arial" w:eastAsia="Arial" w:hAnsi="Arial"/>
                <w:sz w:val="16"/>
                <w:szCs w:val="16"/>
                <w:color w:val="auto"/>
              </w:rPr>
              <w:t>FHLB advances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38,889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38,889</w:t>
            </w:r>
          </w:p>
        </w:tc>
      </w:tr>
      <w:tr>
        <w:trPr>
          <w:trHeight w:val="278"/>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 $100,000 or more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185,096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44,448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230,168</w:t>
            </w:r>
          </w:p>
        </w:tc>
      </w:tr>
      <w:tr>
        <w:trPr>
          <w:trHeight w:val="262"/>
        </w:trPr>
        <w:tc>
          <w:tcPr>
            <w:tcW w:w="4120" w:type="dxa"/>
            <w:vAlign w:val="bottom"/>
          </w:tcPr>
          <w:p>
            <w:pPr>
              <w:ind w:left="40"/>
              <w:spacing w:after="0"/>
              <w:rPr>
                <w:sz w:val="20"/>
                <w:szCs w:val="20"/>
                <w:color w:val="auto"/>
              </w:rPr>
            </w:pPr>
            <w:r>
              <w:rPr>
                <w:rFonts w:ascii="Arial" w:cs="Arial" w:eastAsia="Arial" w:hAnsi="Arial"/>
                <w:sz w:val="16"/>
                <w:szCs w:val="16"/>
                <w:color w:val="auto"/>
              </w:rPr>
              <w:t>Certificates of deposit less than $100,000</w:t>
            </w:r>
          </w:p>
        </w:tc>
        <w:tc>
          <w:tcPr>
            <w:tcW w:w="34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39,888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6,824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46,880</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Subordinated debt</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15,409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15,409</w:t>
            </w:r>
          </w:p>
        </w:tc>
      </w:tr>
      <w:tr>
        <w:trPr>
          <w:trHeight w:val="242"/>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224,984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90,161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15,449</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331,346</w:t>
            </w: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EXTENSION COMMITMENTS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20" w:type="dxa"/>
            <w:vAlign w:val="bottom"/>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 2019</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As of December 31, 2018</w:t>
            </w:r>
          </w:p>
        </w:tc>
      </w:tr>
      <w:tr>
        <w:trPr>
          <w:trHeight w:val="246"/>
        </w:trPr>
        <w:tc>
          <w:tcPr>
            <w:tcW w:w="58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82"/>
        </w:trPr>
        <w:tc>
          <w:tcPr>
            <w:tcW w:w="5820" w:type="dxa"/>
            <w:vAlign w:val="bottom"/>
          </w:tcPr>
          <w:p>
            <w:pPr>
              <w:ind w:left="40"/>
              <w:spacing w:after="0"/>
              <w:rPr>
                <w:sz w:val="20"/>
                <w:szCs w:val="20"/>
                <w:color w:val="auto"/>
              </w:rPr>
            </w:pPr>
            <w:r>
              <w:rPr>
                <w:rFonts w:ascii="Arial" w:cs="Arial" w:eastAsia="Arial" w:hAnsi="Arial"/>
                <w:sz w:val="16"/>
                <w:szCs w:val="16"/>
                <w:color w:val="auto"/>
              </w:rPr>
              <w:t>Unfunded lines of credit</w:t>
            </w:r>
          </w:p>
        </w:tc>
        <w:tc>
          <w:tcPr>
            <w:tcW w:w="2060" w:type="dxa"/>
            <w:vAlign w:val="bottom"/>
          </w:tcPr>
          <w:p>
            <w:pPr>
              <w:jc w:val="right"/>
              <w:ind w:right="186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250,567</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2380" w:type="dxa"/>
            <w:vAlign w:val="bottom"/>
          </w:tcPr>
          <w:p>
            <w:pPr>
              <w:jc w:val="right"/>
              <w:ind w:right="21"/>
              <w:spacing w:after="0"/>
              <w:rPr>
                <w:sz w:val="20"/>
                <w:szCs w:val="20"/>
                <w:color w:val="auto"/>
              </w:rPr>
            </w:pPr>
            <w:r>
              <w:rPr>
                <w:rFonts w:ascii="Arial" w:cs="Arial" w:eastAsia="Arial" w:hAnsi="Arial"/>
                <w:sz w:val="16"/>
                <w:szCs w:val="16"/>
                <w:color w:val="auto"/>
              </w:rPr>
              <w:t>209,209</w:t>
            </w:r>
          </w:p>
        </w:tc>
      </w:tr>
      <w:tr>
        <w:trPr>
          <w:trHeight w:val="27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to originate residential loans held for sale</w:t>
            </w:r>
          </w:p>
        </w:tc>
        <w:tc>
          <w:tcPr>
            <w:tcW w:w="20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647</w:t>
            </w: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Letters of credit</w:t>
            </w:r>
          </w:p>
        </w:tc>
        <w:tc>
          <w:tcPr>
            <w:tcW w:w="20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6,216</w:t>
            </w:r>
          </w:p>
        </w:tc>
      </w:tr>
      <w:tr>
        <w:trPr>
          <w:trHeight w:val="242"/>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credit extension commitments</w:t>
            </w:r>
          </w:p>
        </w:tc>
        <w:tc>
          <w:tcPr>
            <w:tcW w:w="2060" w:type="dxa"/>
            <w:vAlign w:val="bottom"/>
            <w:tcBorders>
              <w:bottom w:val="single" w:sz="8" w:color="auto"/>
            </w:tcBorders>
            <w:shd w:val="clear" w:color="auto" w:fill="CCEEFF"/>
          </w:tcPr>
          <w:p>
            <w:pPr>
              <w:jc w:val="right"/>
              <w:ind w:right="186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256,357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216,072</w:t>
            </w:r>
          </w:p>
        </w:tc>
      </w:tr>
      <w:tr>
        <w:trPr>
          <w:trHeight w:val="20"/>
        </w:trPr>
        <w:tc>
          <w:tcPr>
            <w:tcW w:w="58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Unfunded lines of credit represent unused credit facilities to our current borrowers. Letters of credit are conditional commitments issued by us to guarantee the performance of a customer to a third party. Lines of credit generally have variable interest rates.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and our credit risk associated with issuing letters of credit is believed to be substantially the same as the risk involved in extending loan facilities to our customers.</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58" w:right="239" w:bottom="1440" w:gutter="0" w:footer="0" w:header="0"/>
        </w:sectPr>
      </w:pPr>
    </w:p>
    <w:bookmarkStart w:id="61" w:name="page62"/>
    <w:bookmarkEnd w:id="61"/>
    <w:p>
      <w:pPr>
        <w:jc w:val="both"/>
        <w:ind w:firstLine="324"/>
        <w:spacing w:after="0" w:line="271" w:lineRule="auto"/>
        <w:rPr>
          <w:sz w:val="20"/>
          <w:szCs w:val="20"/>
          <w:color w:val="auto"/>
        </w:rPr>
      </w:pPr>
      <w:r>
        <w:rPr>
          <w:rFonts w:ascii="Arial" w:cs="Arial" w:eastAsia="Arial" w:hAnsi="Arial"/>
          <w:sz w:val="18"/>
          <w:szCs w:val="18"/>
          <w:color w:val="auto"/>
        </w:rPr>
        <w:t>We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there is no guarantee that the lines of credit will be used.</w:t>
      </w:r>
    </w:p>
    <w:p>
      <w:pPr>
        <w:spacing w:after="0" w:line="16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Commitments to extend credit are agreements to lend funds to a customer,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(interest rate lock commitments) and forward commitments for the future delivery of mortgage loans to third party investors are considered derivatives.</w:t>
      </w: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manage our sensitivity position within our established guidelines.</w:t>
      </w:r>
    </w:p>
    <w:p>
      <w:pPr>
        <w:spacing w:after="0" w:line="15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We do not enter into instruments such as leveraged derivatives, financial options or financial futures contracts for the purpose of reducing interest rate risk. We do hedge the interest rate risks of our available for sale mortgage pipeline by using mortgage-backed securities short positions, and of our subordinated debentures by utilizing an interest rate swap. Based on the nature of our operations, we are not subject to foreign exchange or commodity price risk. We do not own any trading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on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5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 One Month</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Greater Than One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 Three</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After Three Through</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Year or Non-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June 30, 2019</w:t>
            </w: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Within One Month</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Twelve Months</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Within One Year</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Sensitive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46"/>
        </w:trPr>
        <w:tc>
          <w:tcPr>
            <w:tcW w:w="23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
        </w:trPr>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236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Loans </w:t>
            </w:r>
            <w:r>
              <w:rPr>
                <w:rFonts w:ascii="Arial" w:cs="Arial" w:eastAsia="Arial" w:hAnsi="Arial"/>
                <w:sz w:val="17"/>
                <w:szCs w:val="17"/>
                <w:color w:val="auto"/>
                <w:vertAlign w:val="superscript"/>
              </w:rPr>
              <w:t>(1)</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542,823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168,203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762,026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342,008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1,104,034</w:t>
            </w:r>
          </w:p>
        </w:tc>
      </w:tr>
      <w:tr>
        <w:trPr>
          <w:trHeight w:val="266"/>
        </w:trPr>
        <w:tc>
          <w:tcPr>
            <w:tcW w:w="2360" w:type="dxa"/>
            <w:vAlign w:val="bottom"/>
          </w:tcPr>
          <w:p>
            <w:pPr>
              <w:ind w:left="180"/>
              <w:spacing w:after="0"/>
              <w:rPr>
                <w:sz w:val="20"/>
                <w:szCs w:val="20"/>
                <w:color w:val="auto"/>
              </w:rPr>
            </w:pPr>
            <w:r>
              <w:rPr>
                <w:rFonts w:ascii="Arial" w:cs="Arial" w:eastAsia="Arial" w:hAnsi="Arial"/>
                <w:sz w:val="14"/>
                <w:szCs w:val="14"/>
                <w:color w:val="auto"/>
              </w:rPr>
              <w:t>Securities</w:t>
            </w:r>
          </w:p>
        </w:tc>
        <w:tc>
          <w:tcPr>
            <w:tcW w:w="40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7,087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32,070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39,157</w:t>
            </w:r>
          </w:p>
        </w:tc>
      </w:tr>
      <w:tr>
        <w:trPr>
          <w:trHeight w:val="180"/>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 at other</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2"/>
        </w:trPr>
        <w:tc>
          <w:tcPr>
            <w:tcW w:w="2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financial institutions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65,284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65,284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65,284</w:t>
            </w:r>
          </w:p>
        </w:tc>
      </w:tr>
      <w:tr>
        <w:trPr>
          <w:trHeight w:val="266"/>
        </w:trPr>
        <w:tc>
          <w:tcPr>
            <w:tcW w:w="236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40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1,991</w:t>
            </w:r>
          </w:p>
        </w:tc>
      </w:tr>
      <w:tr>
        <w:trPr>
          <w:trHeight w:val="241"/>
        </w:trPr>
        <w:tc>
          <w:tcPr>
            <w:tcW w:w="23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earning assets</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610,685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174,203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836,388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374,078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1,210,466</w:t>
            </w:r>
          </w:p>
        </w:tc>
      </w:tr>
      <w:tr>
        <w:trPr>
          <w:trHeight w:val="20"/>
        </w:trPr>
        <w:tc>
          <w:tcPr>
            <w:tcW w:w="2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2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2360" w:type="dxa"/>
            <w:vAlign w:val="bottom"/>
          </w:tcPr>
          <w:p>
            <w:pPr>
              <w:ind w:left="40"/>
              <w:spacing w:after="0"/>
              <w:rPr>
                <w:sz w:val="20"/>
                <w:szCs w:val="20"/>
                <w:color w:val="auto"/>
              </w:rPr>
            </w:pPr>
            <w:r>
              <w:rPr>
                <w:rFonts w:ascii="Arial" w:cs="Arial" w:eastAsia="Arial" w:hAnsi="Arial"/>
                <w:sz w:val="14"/>
                <w:szCs w:val="14"/>
                <w:color w:val="auto"/>
              </w:rPr>
              <w:t>Interest bearing liabilities</w:t>
            </w: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480,472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480,472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480,472</w:t>
            </w:r>
          </w:p>
        </w:tc>
      </w:tr>
      <w:tr>
        <w:trPr>
          <w:trHeight w:val="266"/>
        </w:trPr>
        <w:tc>
          <w:tcPr>
            <w:tcW w:w="2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Time deposits</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23,093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44,952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154,435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222,480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54,568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277,048</w:t>
            </w:r>
          </w:p>
        </w:tc>
      </w:tr>
      <w:tr>
        <w:trPr>
          <w:trHeight w:val="160"/>
        </w:trPr>
        <w:tc>
          <w:tcPr>
            <w:tcW w:w="2360" w:type="dxa"/>
            <w:vAlign w:val="bottom"/>
            <w:shd w:val="clear" w:color="auto" w:fill="CCEEFF"/>
          </w:tcPr>
          <w:p>
            <w:pPr>
              <w:ind w:left="500"/>
              <w:spacing w:after="0" w:line="160" w:lineRule="exact"/>
              <w:rPr>
                <w:sz w:val="20"/>
                <w:szCs w:val="20"/>
                <w:color w:val="auto"/>
              </w:rPr>
            </w:pPr>
            <w:r>
              <w:rPr>
                <w:rFonts w:ascii="Arial" w:cs="Arial" w:eastAsia="Arial" w:hAnsi="Arial"/>
                <w:sz w:val="14"/>
                <w:szCs w:val="14"/>
                <w:color w:val="auto"/>
              </w:rPr>
              <w:t>Total interest bearing</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2"/>
        </w:trPr>
        <w:tc>
          <w:tcPr>
            <w:tcW w:w="23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deposits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503,565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154,435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702,952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54,568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757,520</w:t>
            </w:r>
          </w:p>
        </w:tc>
      </w:tr>
      <w:tr>
        <w:trPr>
          <w:trHeight w:val="266"/>
        </w:trPr>
        <w:tc>
          <w:tcPr>
            <w:tcW w:w="2360" w:type="dxa"/>
            <w:vAlign w:val="bottom"/>
          </w:tcPr>
          <w:p>
            <w:pPr>
              <w:ind w:left="180"/>
              <w:spacing w:after="0"/>
              <w:rPr>
                <w:sz w:val="20"/>
                <w:szCs w:val="20"/>
                <w:color w:val="auto"/>
              </w:rPr>
            </w:pPr>
            <w:r>
              <w:rPr>
                <w:rFonts w:ascii="Arial" w:cs="Arial" w:eastAsia="Arial" w:hAnsi="Arial"/>
                <w:sz w:val="14"/>
                <w:szCs w:val="14"/>
                <w:color w:val="auto"/>
              </w:rPr>
              <w:t>FHLB Advances</w:t>
            </w:r>
          </w:p>
        </w:tc>
        <w:tc>
          <w:tcPr>
            <w:tcW w:w="40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38,889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38,889</w:t>
            </w:r>
          </w:p>
        </w:tc>
      </w:tr>
      <w:tr>
        <w:trPr>
          <w:trHeight w:val="270"/>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borrowed funds</w:t>
            </w:r>
          </w:p>
        </w:tc>
        <w:tc>
          <w:tcPr>
            <w:tcW w:w="4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15,409</w:t>
            </w:r>
          </w:p>
        </w:tc>
      </w:tr>
      <w:tr>
        <w:trPr>
          <w:trHeight w:val="281"/>
        </w:trPr>
        <w:tc>
          <w:tcPr>
            <w:tcW w:w="2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bearing liabilities</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503,565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44,952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154,435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702,952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108,866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811,818</w:t>
            </w:r>
          </w:p>
        </w:tc>
      </w:tr>
      <w:tr>
        <w:trPr>
          <w:trHeight w:val="251"/>
        </w:trPr>
        <w:tc>
          <w:tcPr>
            <w:tcW w:w="2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66"/>
        </w:trPr>
        <w:tc>
          <w:tcPr>
            <w:tcW w:w="2360" w:type="dxa"/>
            <w:vAlign w:val="bottom"/>
          </w:tcPr>
          <w:p>
            <w:pPr>
              <w:ind w:left="40"/>
              <w:spacing w:after="0"/>
              <w:rPr>
                <w:sz w:val="20"/>
                <w:szCs w:val="20"/>
                <w:color w:val="auto"/>
              </w:rPr>
            </w:pPr>
            <w:r>
              <w:rPr>
                <w:rFonts w:ascii="Arial" w:cs="Arial" w:eastAsia="Arial" w:hAnsi="Arial"/>
                <w:sz w:val="14"/>
                <w:szCs w:val="14"/>
                <w:color w:val="auto"/>
              </w:rPr>
              <w:t>Period gap</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107,120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6,548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19,768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133,436</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265,212</w:t>
            </w:r>
          </w:p>
        </w:tc>
        <w:tc>
          <w:tcPr>
            <w:tcW w:w="100" w:type="dxa"/>
            <w:vAlign w:val="bottom"/>
          </w:tcPr>
          <w:p>
            <w:pPr>
              <w:spacing w:after="0"/>
              <w:rPr>
                <w:sz w:val="23"/>
                <w:szCs w:val="23"/>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398,648</w:t>
            </w:r>
          </w:p>
        </w:tc>
      </w:tr>
      <w:tr>
        <w:trPr>
          <w:trHeight w:val="274"/>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gap</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107,120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113,668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133,436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133,436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398,648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176"/>
        </w:trPr>
        <w:tc>
          <w:tcPr>
            <w:tcW w:w="2360" w:type="dxa"/>
            <w:vAlign w:val="bottom"/>
          </w:tcPr>
          <w:p>
            <w:pPr>
              <w:ind w:left="40"/>
              <w:spacing w:after="0"/>
              <w:rPr>
                <w:sz w:val="20"/>
                <w:szCs w:val="20"/>
                <w:color w:val="auto"/>
              </w:rPr>
            </w:pPr>
            <w:r>
              <w:rPr>
                <w:rFonts w:ascii="Arial" w:cs="Arial" w:eastAsia="Arial" w:hAnsi="Arial"/>
                <w:sz w:val="14"/>
                <w:szCs w:val="14"/>
                <w:color w:val="auto"/>
              </w:rPr>
              <w:t>Ratio of cumulative gap to total</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4"/>
        </w:trPr>
        <w:tc>
          <w:tcPr>
            <w:tcW w:w="2360" w:type="dxa"/>
            <w:vAlign w:val="bottom"/>
          </w:tcPr>
          <w:p>
            <w:pPr>
              <w:ind w:left="200"/>
              <w:spacing w:after="0"/>
              <w:rPr>
                <w:sz w:val="20"/>
                <w:szCs w:val="20"/>
                <w:color w:val="auto"/>
              </w:rPr>
            </w:pPr>
            <w:r>
              <w:rPr>
                <w:rFonts w:ascii="Arial" w:cs="Arial" w:eastAsia="Arial" w:hAnsi="Arial"/>
                <w:sz w:val="14"/>
                <w:szCs w:val="14"/>
                <w:color w:val="auto"/>
              </w:rPr>
              <w:t>earning assets</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loans held for sale.</w:t>
      </w:r>
    </w:p>
    <w:p>
      <w:pPr>
        <w:spacing w:after="0" w:line="35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58" w:right="239" w:bottom="1440" w:gutter="0" w:footer="0" w:header="0"/>
        </w:sectPr>
      </w:pPr>
    </w:p>
    <w:bookmarkStart w:id="64" w:name="page65"/>
    <w:bookmarkEnd w:id="64"/>
    <w:p>
      <w:pPr>
        <w:jc w:val="both"/>
        <w:ind w:firstLine="324"/>
        <w:spacing w:after="0" w:line="258"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7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June 30,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0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 at Risk</w:t>
            </w:r>
          </w:p>
        </w:tc>
        <w:tc>
          <w:tcPr>
            <w:tcW w:w="1760" w:type="dxa"/>
            <w:vAlign w:val="bottom"/>
            <w:gridSpan w:val="2"/>
          </w:tcPr>
          <w:p>
            <w:pPr>
              <w:ind w:left="540"/>
              <w:spacing w:after="0"/>
              <w:rPr>
                <w:sz w:val="20"/>
                <w:szCs w:val="20"/>
                <w:color w:val="auto"/>
              </w:rPr>
            </w:pPr>
            <w:r>
              <w:rPr>
                <w:rFonts w:ascii="Arial" w:cs="Arial" w:eastAsia="Arial" w:hAnsi="Arial"/>
                <w:sz w:val="14"/>
                <w:szCs w:val="14"/>
                <w:b w:val="1"/>
                <w:bCs w:val="1"/>
                <w:color w:val="auto"/>
              </w:rPr>
              <w:t>-100 bps</w:t>
            </w:r>
          </w:p>
        </w:tc>
        <w:tc>
          <w:tcPr>
            <w:tcW w:w="1720" w:type="dxa"/>
            <w:vAlign w:val="bottom"/>
            <w:gridSpan w:val="2"/>
          </w:tcPr>
          <w:p>
            <w:pPr>
              <w:ind w:left="680"/>
              <w:spacing w:after="0"/>
              <w:rPr>
                <w:sz w:val="20"/>
                <w:szCs w:val="20"/>
                <w:color w:val="auto"/>
              </w:rPr>
            </w:pPr>
            <w:r>
              <w:rPr>
                <w:rFonts w:ascii="Arial" w:cs="Arial" w:eastAsia="Arial" w:hAnsi="Arial"/>
                <w:sz w:val="14"/>
                <w:szCs w:val="14"/>
                <w:b w:val="1"/>
                <w:bCs w:val="1"/>
                <w:color w:val="auto"/>
              </w:rPr>
              <w:t>Flat</w:t>
            </w:r>
          </w:p>
        </w:tc>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+100 bps</w:t>
            </w:r>
          </w:p>
        </w:tc>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+200 bps</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+300 bps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0"/>
        </w:trPr>
        <w:tc>
          <w:tcPr>
            <w:tcW w:w="2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June 30, 2019</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bl>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results of our EVE analysis as of June 30,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gridSpan w:val="3"/>
          </w:tcPr>
          <w:p>
            <w:pPr>
              <w:ind w:left="40"/>
              <w:spacing w:after="0"/>
              <w:rPr>
                <w:sz w:val="20"/>
                <w:szCs w:val="20"/>
                <w:color w:val="auto"/>
              </w:rPr>
            </w:pPr>
            <w:r>
              <w:rPr>
                <w:rFonts w:ascii="Arial" w:cs="Arial" w:eastAsia="Arial" w:hAnsi="Arial"/>
                <w:sz w:val="14"/>
                <w:szCs w:val="14"/>
                <w:b w:val="1"/>
                <w:bCs w:val="1"/>
                <w:color w:val="auto"/>
              </w:rPr>
              <w:t>Economic Value of Equity</w:t>
            </w:r>
          </w:p>
        </w:tc>
        <w:tc>
          <w:tcPr>
            <w:tcW w:w="1740" w:type="dxa"/>
            <w:vAlign w:val="bottom"/>
            <w:gridSpan w:val="2"/>
          </w:tcPr>
          <w:p>
            <w:pPr>
              <w:ind w:left="520"/>
              <w:spacing w:after="0"/>
              <w:rPr>
                <w:sz w:val="20"/>
                <w:szCs w:val="20"/>
                <w:color w:val="auto"/>
              </w:rPr>
            </w:pPr>
            <w:r>
              <w:rPr>
                <w:rFonts w:ascii="Arial" w:cs="Arial" w:eastAsia="Arial" w:hAnsi="Arial"/>
                <w:sz w:val="14"/>
                <w:szCs w:val="14"/>
                <w:b w:val="1"/>
                <w:bCs w:val="1"/>
                <w:color w:val="auto"/>
              </w:rPr>
              <w:t>-100 bps</w:t>
            </w:r>
          </w:p>
        </w:tc>
        <w:tc>
          <w:tcPr>
            <w:tcW w:w="1680" w:type="dxa"/>
            <w:vAlign w:val="bottom"/>
            <w:gridSpan w:val="2"/>
          </w:tcPr>
          <w:p>
            <w:pPr>
              <w:ind w:left="660"/>
              <w:spacing w:after="0"/>
              <w:rPr>
                <w:sz w:val="20"/>
                <w:szCs w:val="20"/>
                <w:color w:val="auto"/>
              </w:rPr>
            </w:pPr>
            <w:r>
              <w:rPr>
                <w:rFonts w:ascii="Arial" w:cs="Arial" w:eastAsia="Arial" w:hAnsi="Arial"/>
                <w:sz w:val="14"/>
                <w:szCs w:val="14"/>
                <w:b w:val="1"/>
                <w:bCs w:val="1"/>
                <w:color w:val="auto"/>
              </w:rPr>
              <w:t>Flat</w:t>
            </w:r>
          </w:p>
        </w:tc>
        <w:tc>
          <w:tcPr>
            <w:tcW w:w="1760" w:type="dxa"/>
            <w:vAlign w:val="bottom"/>
            <w:gridSpan w:val="2"/>
          </w:tcPr>
          <w:p>
            <w:pPr>
              <w:ind w:left="520"/>
              <w:spacing w:after="0"/>
              <w:rPr>
                <w:sz w:val="20"/>
                <w:szCs w:val="20"/>
                <w:color w:val="auto"/>
              </w:rPr>
            </w:pPr>
            <w:r>
              <w:rPr>
                <w:rFonts w:ascii="Arial" w:cs="Arial" w:eastAsia="Arial" w:hAnsi="Arial"/>
                <w:sz w:val="14"/>
                <w:szCs w:val="14"/>
                <w:b w:val="1"/>
                <w:bCs w:val="1"/>
                <w:color w:val="auto"/>
              </w:rPr>
              <w:t>+100 bps</w:t>
            </w:r>
          </w:p>
        </w:tc>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+200 bps</w:t>
            </w:r>
          </w:p>
        </w:tc>
        <w:tc>
          <w:tcPr>
            <w:tcW w:w="1640" w:type="dxa"/>
            <w:vAlign w:val="bottom"/>
          </w:tcPr>
          <w:p>
            <w:pPr>
              <w:jc w:val="right"/>
              <w:ind w:right="448"/>
              <w:spacing w:after="0"/>
              <w:rPr>
                <w:sz w:val="20"/>
                <w:szCs w:val="20"/>
                <w:color w:val="auto"/>
              </w:rPr>
            </w:pPr>
            <w:r>
              <w:rPr>
                <w:rFonts w:ascii="Arial" w:cs="Arial" w:eastAsia="Arial" w:hAnsi="Arial"/>
                <w:sz w:val="14"/>
                <w:szCs w:val="14"/>
                <w:b w:val="1"/>
                <w:bCs w:val="1"/>
                <w:color w:val="auto"/>
              </w:rPr>
              <w:t>+300 bps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5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June 30, 2019</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5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From time to time, we are a party to various litigation matters incidental to our ordinary conduct of our business. We are not presently a party to any material legal proceedings.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Except as set forth below, there have been no material changes to the risk factors that appeared under “Part I, ITEM 1A. Risk Factors” of our 2018 Annual Report.</w:t>
      </w:r>
    </w:p>
    <w:p>
      <w:pPr>
        <w:spacing w:after="0" w:line="145"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8"/>
          <w:szCs w:val="18"/>
          <w:b w:val="1"/>
          <w:bCs w:val="1"/>
          <w:i w:val="1"/>
          <w:iCs w:val="1"/>
          <w:color w:val="auto"/>
        </w:rPr>
        <w:t>Increased regulatory oversight and uncertainty relating to the LIBOR calculation process and potential phasing out of LIBOR after 2021 may adversely affect the results of our operations.</w:t>
      </w:r>
    </w:p>
    <w:p>
      <w:pPr>
        <w:spacing w:after="0" w:line="129"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On July 27, 2017, the United Kingdom’s Financial Conduct Authority, which regulates the London Interbank Offering Rate (“LIBOR”), announced that it intends to stop persuading or compelling banks to submit rates for the calculation of LIBOR after 2021. The announcement indicates that the continuation of LIBOR on the current basis cannot and will not be guaranteed after 2021. It is impossible to predict whether and to what extent banks will continue to provide LIBOR submissions to the administrator of LIBOR, whether LIBOR rates will cease to be published or supported before or after 2021 or whether any additional reforms to LIBOR may be enacted in the United Kingdom or elsewhere. Efforts in the United States to identify a set of alternative U.S. dollar reference interest rates include proposals by the Alternative Reference Rates Committee of the Federal Reserve Board and the Federal Reserve Bank of New York. Uncertainty as to the nature of alternative reference rates and as to potential changes in other reforms to LIBOR may adversely affect LIBOR rates and the value of LIBOR-based loans, and to a lesser extent securities in our portfolio, and may impact the availability and cost of hedging instruments and borrowings, including the rates we pay on our subordinated debentures. If LIBOR rates are no longer available or do not remain an acceptable market benchmark, any successor or replacement interest rates may perform differently, which may adversely affect our revenue or our expenses. We may incur significant costs to transition both our borrowing arrangements and the loan agreements with our customers from LIBOR, which may have an adverse effect on our results of operations. Further, we may face exposure to litigation over the nature and performance of any replacement index. The impact of alternatives to LIBOR on the valuations, pricing and operation of our financial instruments is not yet known.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April 25, 2019, the Company announced a stock repurchase program. The program enables the Company to repurchase up to $5.0 million of its outstanding common stock, and expires on December 31, 2020. During the three months ended June 30, 2019, the Corporation did not repurchase any shares under the recently approved stock repurchase program, as reflected in the following table.</w:t>
      </w:r>
    </w:p>
    <w:p>
      <w:pPr>
        <w:spacing w:after="0" w:line="333"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Maximum Dollar Value of Shares</w:t>
            </w:r>
          </w:p>
        </w:tc>
      </w:tr>
      <w:tr>
        <w:trPr>
          <w:trHeight w:val="162"/>
        </w:trPr>
        <w:tc>
          <w:tcPr>
            <w:tcW w:w="2100" w:type="dxa"/>
            <w:vAlign w:val="bottom"/>
          </w:tcPr>
          <w:p>
            <w:pPr>
              <w:spacing w:after="0"/>
              <w:rPr>
                <w:sz w:val="14"/>
                <w:szCs w:val="14"/>
                <w:color w:val="auto"/>
              </w:rPr>
            </w:pPr>
          </w:p>
        </w:tc>
        <w:tc>
          <w:tcPr>
            <w:tcW w:w="3000" w:type="dxa"/>
            <w:vAlign w:val="bottom"/>
          </w:tcPr>
          <w:p>
            <w:pPr>
              <w:jc w:val="center"/>
              <w:ind w:left="1488"/>
              <w:spacing w:after="0"/>
              <w:rPr>
                <w:sz w:val="20"/>
                <w:szCs w:val="20"/>
                <w:color w:val="auto"/>
              </w:rPr>
            </w:pPr>
            <w:r>
              <w:rPr>
                <w:rFonts w:ascii="Arial" w:cs="Arial" w:eastAsia="Arial" w:hAnsi="Arial"/>
                <w:sz w:val="14"/>
                <w:szCs w:val="14"/>
                <w:b w:val="1"/>
                <w:bCs w:val="1"/>
                <w:color w:val="auto"/>
              </w:rPr>
              <w:t>Total Number of</w:t>
            </w: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Average price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 Publicly</w:t>
            </w:r>
          </w:p>
        </w:tc>
        <w:tc>
          <w:tcPr>
            <w:tcW w:w="2280" w:type="dxa"/>
            <w:vAlign w:val="bottom"/>
          </w:tcPr>
          <w:p>
            <w:pPr>
              <w:jc w:val="center"/>
              <w:ind w:left="8"/>
              <w:spacing w:after="0"/>
              <w:rPr>
                <w:sz w:val="20"/>
                <w:szCs w:val="20"/>
                <w:color w:val="auto"/>
              </w:rPr>
            </w:pPr>
            <w:r>
              <w:rPr>
                <w:rFonts w:ascii="Arial" w:cs="Arial" w:eastAsia="Arial" w:hAnsi="Arial"/>
                <w:sz w:val="14"/>
                <w:szCs w:val="14"/>
                <w:b w:val="1"/>
                <w:bCs w:val="1"/>
                <w:color w:val="auto"/>
              </w:rPr>
              <w:t>that May Yet Be Purchased</w:t>
            </w:r>
          </w:p>
        </w:tc>
      </w:tr>
      <w:tr>
        <w:trPr>
          <w:trHeight w:val="202"/>
        </w:trPr>
        <w:tc>
          <w:tcPr>
            <w:tcW w:w="210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3000" w:type="dxa"/>
            <w:vAlign w:val="bottom"/>
          </w:tcPr>
          <w:p>
            <w:pPr>
              <w:jc w:val="center"/>
              <w:ind w:left="1488"/>
              <w:spacing w:after="0"/>
              <w:rPr>
                <w:sz w:val="20"/>
                <w:szCs w:val="20"/>
                <w:color w:val="auto"/>
              </w:rPr>
            </w:pPr>
            <w:r>
              <w:rPr>
                <w:rFonts w:ascii="Arial" w:cs="Arial" w:eastAsia="Arial" w:hAnsi="Arial"/>
                <w:sz w:val="14"/>
                <w:szCs w:val="14"/>
                <w:b w:val="1"/>
                <w:bCs w:val="1"/>
                <w:color w:val="auto"/>
              </w:rPr>
              <w:t>Shares Purchased</w:t>
            </w: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paid per share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Announced Plans or Programs</w:t>
            </w:r>
          </w:p>
        </w:tc>
        <w:tc>
          <w:tcPr>
            <w:tcW w:w="2280" w:type="dxa"/>
            <w:vAlign w:val="bottom"/>
          </w:tcPr>
          <w:p>
            <w:pPr>
              <w:jc w:val="center"/>
              <w:ind w:left="8"/>
              <w:spacing w:after="0"/>
              <w:rPr>
                <w:sz w:val="20"/>
                <w:szCs w:val="20"/>
                <w:color w:val="auto"/>
              </w:rPr>
            </w:pPr>
            <w:r>
              <w:rPr>
                <w:rFonts w:ascii="Arial" w:cs="Arial" w:eastAsia="Arial" w:hAnsi="Arial"/>
                <w:sz w:val="14"/>
                <w:szCs w:val="14"/>
                <w:b w:val="1"/>
                <w:bCs w:val="1"/>
                <w:color w:val="auto"/>
              </w:rPr>
              <w:t>Under the Plans or Programs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1270</wp:posOffset>
            </wp:positionV>
            <wp:extent cx="698055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80555" cy="15430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p>
      <w:pPr>
        <w:spacing w:after="0" w:line="1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April 1, 2019 to April 30, 2019</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May 1, 2019 to May 31, 2019</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June 1, 2019 to June 30, 2019</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280" w:type="dxa"/>
            <w:vAlign w:val="bottom"/>
          </w:tcPr>
          <w:p>
            <w:pPr>
              <w:ind w:left="10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700" w:type="dxa"/>
            <w:vAlign w:val="bottom"/>
          </w:tcPr>
          <w:p>
            <w:pPr>
              <w:ind w:left="480"/>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5,000,000</w:t>
            </w:r>
          </w:p>
        </w:tc>
      </w:tr>
      <w:tr>
        <w:trPr>
          <w:trHeight w:val="243"/>
        </w:trPr>
        <w:tc>
          <w:tcPr>
            <w:tcW w:w="1280" w:type="dxa"/>
            <w:vAlign w:val="bottom"/>
          </w:tcPr>
          <w:p>
            <w:pPr>
              <w:ind w:left="10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1700" w:type="dxa"/>
            <w:vAlign w:val="bottom"/>
          </w:tcPr>
          <w:p>
            <w:pPr>
              <w:ind w:left="480"/>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5,000,000</w:t>
            </w:r>
          </w:p>
        </w:tc>
      </w:tr>
      <w:tr>
        <w:trPr>
          <w:trHeight w:val="252"/>
        </w:trPr>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5,000,000</w:t>
            </w:r>
          </w:p>
        </w:tc>
      </w:tr>
      <w:tr>
        <w:trPr>
          <w:trHeight w:val="237"/>
        </w:trPr>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5,000,000</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-342265</wp:posOffset>
            </wp:positionV>
            <wp:extent cx="698055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05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460"/>
          </w:cols>
          <w:pgMar w:left="240" w:top="35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358"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exhibits required to be filed as part of this Quarterly Report on Form 10-Q are listed in the Index to Exhibits attached hereto and are incorporated herein by reference.</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58"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900"/>
          </w:cols>
          <w:pgMar w:left="240" w:top="358" w:right="759" w:bottom="1440" w:gutter="0" w:footer="0" w:header="0"/>
        </w:sect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111" w:lineRule="exact"/>
        <w:rPr>
          <w:sz w:val="20"/>
          <w:szCs w:val="20"/>
          <w:color w:val="auto"/>
        </w:rPr>
      </w:pPr>
    </w:p>
    <w:p>
      <w:pPr>
        <w:sectPr>
          <w:pgSz w:w="11900" w:h="16838" w:orient="portrait"/>
          <w:cols w:equalWidth="0" w:num="2">
            <w:col w:w="5200" w:space="720"/>
            <w:col w:w="4980"/>
          </w:cols>
          <w:pgMar w:left="240" w:top="358" w:right="759" w:bottom="1440" w:gutter="0" w:footer="0" w:header="0"/>
          <w:type w:val="continuous"/>
        </w:sectPr>
      </w:pPr>
    </w:p>
    <w:p>
      <w:pPr>
        <w:ind w:left="520"/>
        <w:spacing w:after="0"/>
        <w:tabs>
          <w:tab w:leader="none" w:pos="1280" w:val="left"/>
        </w:tabs>
        <w:rPr>
          <w:rFonts w:ascii="Arial" w:cs="Arial" w:eastAsia="Arial" w:hAnsi="Arial"/>
          <w:sz w:val="14"/>
          <w:szCs w:val="14"/>
          <w:u w:val="single" w:color="auto"/>
          <w:color w:val="0000FF"/>
        </w:rPr>
      </w:pPr>
      <w:r>
        <w:rPr>
          <w:rFonts w:ascii="Arial" w:cs="Arial" w:eastAsia="Arial" w:hAnsi="Arial"/>
          <w:sz w:val="14"/>
          <w:szCs w:val="14"/>
          <w:color w:val="auto"/>
        </w:rPr>
        <w:t>31.1</w:t>
      </w:r>
      <w:r>
        <w:rPr>
          <w:sz w:val="20"/>
          <w:szCs w:val="20"/>
          <w:color w:val="auto"/>
        </w:rPr>
        <w:tab/>
      </w:r>
      <w:hyperlink w:anchor="page71">
        <w:r>
          <w:rPr>
            <w:rFonts w:ascii="Arial" w:cs="Arial" w:eastAsia="Arial" w:hAnsi="Arial"/>
            <w:sz w:val="14"/>
            <w:szCs w:val="14"/>
            <w:u w:val="single" w:color="auto"/>
            <w:color w:val="0000FF"/>
          </w:rPr>
          <w:t>Rule 13a-14(a) Certification of the Principal Executive Officer.</w:t>
        </w:r>
      </w:hyperlink>
    </w:p>
    <w:p>
      <w:pPr>
        <w:spacing w:after="0" w:line="55" w:lineRule="exact"/>
        <w:rPr>
          <w:sz w:val="20"/>
          <w:szCs w:val="20"/>
          <w:color w:val="auto"/>
        </w:rPr>
      </w:pPr>
    </w:p>
    <w:p>
      <w:pPr>
        <w:ind w:left="1300"/>
        <w:spacing w:after="0"/>
        <w:rPr>
          <w:rFonts w:ascii="Arial" w:cs="Arial" w:eastAsia="Arial" w:hAnsi="Arial"/>
          <w:sz w:val="14"/>
          <w:szCs w:val="14"/>
          <w:u w:val="single" w:color="auto"/>
          <w:color w:val="0000FF"/>
        </w:rPr>
      </w:pPr>
      <w:hyperlink w:anchor="page72">
        <w:r>
          <w:rPr>
            <w:rFonts w:ascii="Arial" w:cs="Arial" w:eastAsia="Arial" w:hAnsi="Arial"/>
            <w:sz w:val="14"/>
            <w:szCs w:val="14"/>
            <w:u w:val="single" w:color="auto"/>
            <w:color w:val="0000FF"/>
          </w:rPr>
          <w:t>Rule 13a-14(a) Certification of the Principal Financial Officer.</w:t>
        </w:r>
      </w:hyperlink>
    </w:p>
    <w:p>
      <w:pPr>
        <w:spacing w:after="0" w:line="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31.2</w:t>
      </w:r>
    </w:p>
    <w:p>
      <w:pPr>
        <w:spacing w:after="0" w:line="91" w:lineRule="exact"/>
        <w:rPr>
          <w:sz w:val="20"/>
          <w:szCs w:val="20"/>
          <w:color w:val="auto"/>
        </w:rPr>
      </w:pPr>
    </w:p>
    <w:p>
      <w:pPr>
        <w:ind w:left="1300" w:hanging="655"/>
        <w:spacing w:after="0"/>
        <w:tabs>
          <w:tab w:leader="none" w:pos="1300" w:val="left"/>
        </w:tabs>
        <w:numPr>
          <w:ilvl w:val="0"/>
          <w:numId w:val="11"/>
        </w:numPr>
        <w:rPr>
          <w:rFonts w:ascii="Arial" w:cs="Arial" w:eastAsia="Arial" w:hAnsi="Arial"/>
          <w:sz w:val="14"/>
          <w:szCs w:val="14"/>
          <w:u w:val="single" w:color="auto"/>
          <w:color w:val="0000FF"/>
        </w:rPr>
      </w:pPr>
      <w:hyperlink w:anchor="page73">
        <w:r>
          <w:rPr>
            <w:rFonts w:ascii="Arial" w:cs="Arial" w:eastAsia="Arial" w:hAnsi="Arial"/>
            <w:sz w:val="14"/>
            <w:szCs w:val="14"/>
            <w:u w:val="single" w:color="auto"/>
            <w:color w:val="0000FF"/>
          </w:rPr>
          <w:t>Section 1350 Certification of Chief Executive Officer and Chief Financial Officer.</w:t>
        </w:r>
      </w:hyperlink>
    </w:p>
    <w:p>
      <w:pPr>
        <w:spacing w:after="0" w:line="55" w:lineRule="exact"/>
        <w:rPr>
          <w:sz w:val="20"/>
          <w:szCs w:val="20"/>
          <w:color w:val="auto"/>
        </w:rPr>
      </w:pPr>
    </w:p>
    <w:p>
      <w:pPr>
        <w:ind w:left="1300" w:hanging="735"/>
        <w:spacing w:after="0" w:line="258" w:lineRule="auto"/>
        <w:tabs>
          <w:tab w:leader="none" w:pos="1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June 30, 2019,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00"/>
          </w:cols>
          <w:pgMar w:left="240" w:top="358" w:right="75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CAPITAL BANCORP, INC.</w:t>
            </w:r>
          </w:p>
        </w:tc>
        <w:tc>
          <w:tcPr>
            <w:tcW w:w="2960" w:type="dxa"/>
            <w:vAlign w:val="bottom"/>
          </w:tcPr>
          <w:p>
            <w:pPr>
              <w:spacing w:after="0"/>
              <w:rPr>
                <w:sz w:val="17"/>
                <w:szCs w:val="17"/>
                <w:color w:val="auto"/>
              </w:rPr>
            </w:pPr>
          </w:p>
        </w:tc>
      </w:tr>
      <w:tr>
        <w:trPr>
          <w:trHeight w:val="241"/>
        </w:trPr>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Registrant</w:t>
            </w:r>
          </w:p>
        </w:tc>
      </w:tr>
      <w:tr>
        <w:trPr>
          <w:trHeight w:val="388"/>
        </w:trPr>
        <w:tc>
          <w:tcPr>
            <w:tcW w:w="2100" w:type="dxa"/>
            <w:vAlign w:val="bottom"/>
          </w:tcPr>
          <w:p>
            <w:pPr>
              <w:spacing w:after="0"/>
              <w:rPr>
                <w:sz w:val="20"/>
                <w:szCs w:val="20"/>
                <w:color w:val="auto"/>
              </w:rPr>
            </w:pPr>
            <w:r>
              <w:rPr>
                <w:rFonts w:ascii="Arial" w:cs="Arial" w:eastAsia="Arial" w:hAnsi="Arial"/>
                <w:sz w:val="18"/>
                <w:szCs w:val="18"/>
                <w:color w:val="auto"/>
              </w:rPr>
              <w:t>Date: August 12, 2019</w:t>
            </w:r>
          </w:p>
        </w:tc>
        <w:tc>
          <w:tcPr>
            <w:tcW w:w="6420" w:type="dxa"/>
            <w:vAlign w:val="bottom"/>
            <w:gridSpan w:val="6"/>
          </w:tcPr>
          <w:p>
            <w:pPr>
              <w:ind w:left="300"/>
              <w:spacing w:after="0"/>
              <w:rPr>
                <w:sz w:val="20"/>
                <w:szCs w:val="20"/>
                <w:color w:val="auto"/>
              </w:rPr>
            </w:pPr>
            <w:r>
              <w:rPr>
                <w:rFonts w:ascii="Arial" w:cs="Arial" w:eastAsia="Arial" w:hAnsi="Arial"/>
                <w:sz w:val="18"/>
                <w:szCs w:val="18"/>
                <w:color w:val="auto"/>
              </w:rPr>
              <w:t>/s/ Ed Barry</w:t>
            </w: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214"/>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Ed Barry</w:t>
            </w:r>
          </w:p>
        </w:tc>
      </w:tr>
      <w:tr>
        <w:trPr>
          <w:trHeight w:val="243"/>
        </w:trPr>
        <w:tc>
          <w:tcPr>
            <w:tcW w:w="2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388"/>
        </w:trPr>
        <w:tc>
          <w:tcPr>
            <w:tcW w:w="2100" w:type="dxa"/>
            <w:vAlign w:val="bottom"/>
          </w:tcPr>
          <w:p>
            <w:pPr>
              <w:spacing w:after="0"/>
              <w:rPr>
                <w:sz w:val="20"/>
                <w:szCs w:val="20"/>
                <w:color w:val="auto"/>
              </w:rPr>
            </w:pPr>
            <w:r>
              <w:rPr>
                <w:rFonts w:ascii="Arial" w:cs="Arial" w:eastAsia="Arial" w:hAnsi="Arial"/>
                <w:sz w:val="18"/>
                <w:szCs w:val="18"/>
                <w:color w:val="auto"/>
              </w:rPr>
              <w:t>Date: August 12, 2019</w:t>
            </w:r>
          </w:p>
        </w:tc>
        <w:tc>
          <w:tcPr>
            <w:tcW w:w="6420" w:type="dxa"/>
            <w:vAlign w:val="bottom"/>
            <w:gridSpan w:val="6"/>
          </w:tcPr>
          <w:p>
            <w:pPr>
              <w:ind w:left="300"/>
              <w:spacing w:after="0"/>
              <w:rPr>
                <w:sz w:val="20"/>
                <w:szCs w:val="20"/>
                <w:color w:val="auto"/>
              </w:rPr>
            </w:pPr>
            <w:r>
              <w:rPr>
                <w:rFonts w:ascii="Arial" w:cs="Arial" w:eastAsia="Arial" w:hAnsi="Arial"/>
                <w:sz w:val="18"/>
                <w:szCs w:val="18"/>
                <w:color w:val="auto"/>
              </w:rPr>
              <w:t>/s/ Alan W. Jackson</w:t>
            </w: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214"/>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Alan W. Jackson</w:t>
            </w:r>
          </w:p>
        </w:tc>
      </w:tr>
      <w:tr>
        <w:trPr>
          <w:trHeight w:val="243"/>
        </w:trPr>
        <w:tc>
          <w:tcPr>
            <w:tcW w:w="2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5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2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25" w:lineRule="exact"/>
        <w:rPr>
          <w:rFonts w:ascii="Arial" w:cs="Arial" w:eastAsia="Arial" w:hAnsi="Arial"/>
          <w:sz w:val="18"/>
          <w:szCs w:val="18"/>
          <w:color w:val="auto"/>
        </w:rPr>
      </w:pPr>
    </w:p>
    <w:p>
      <w:pPr>
        <w:jc w:val="both"/>
        <w:ind w:firstLine="8"/>
        <w:spacing w:after="0" w:line="271" w:lineRule="auto"/>
        <w:tabs>
          <w:tab w:leader="none" w:pos="2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firstLine="8"/>
        <w:spacing w:after="0" w:line="292" w:lineRule="auto"/>
        <w:tabs>
          <w:tab w:leader="none" w:pos="2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jc w:val="both"/>
        <w:ind w:left="660" w:hanging="4"/>
        <w:spacing w:after="0" w:line="271" w:lineRule="auto"/>
        <w:tabs>
          <w:tab w:leader="none" w:pos="88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8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20" w:firstLine="8"/>
        <w:spacing w:after="0" w:line="292" w:lineRule="auto"/>
        <w:tabs>
          <w:tab w:leader="none" w:pos="2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660" w:right="20" w:hanging="4"/>
        <w:spacing w:after="0" w:line="292" w:lineRule="auto"/>
        <w:tabs>
          <w:tab w:leader="none" w:pos="88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4"/>
        <w:spacing w:after="0" w:line="292" w:lineRule="auto"/>
        <w:tabs>
          <w:tab w:leader="none" w:pos="8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tabs>
          <w:tab w:leader="none" w:pos="620" w:val="left"/>
          <w:tab w:leader="none" w:pos="2520" w:val="left"/>
        </w:tabs>
        <w:rPr>
          <w:sz w:val="20"/>
          <w:szCs w:val="20"/>
          <w:color w:val="auto"/>
        </w:rPr>
      </w:pPr>
      <w:r>
        <w:rPr>
          <w:rFonts w:ascii="Arial" w:cs="Arial" w:eastAsia="Arial" w:hAnsi="Arial"/>
          <w:sz w:val="18"/>
          <w:szCs w:val="18"/>
          <w:color w:val="auto"/>
        </w:rPr>
        <w:t>Date:</w:t>
        <w:tab/>
        <w:t>August 12, 2019</w:t>
      </w:r>
      <w:r>
        <w:rPr>
          <w:sz w:val="20"/>
          <w:szCs w:val="20"/>
          <w:color w:val="auto"/>
        </w:rPr>
        <w:tab/>
      </w:r>
      <w:r>
        <w:rPr>
          <w:rFonts w:ascii="Arial" w:cs="Arial" w:eastAsia="Arial" w:hAnsi="Arial"/>
          <w:sz w:val="18"/>
          <w:szCs w:val="18"/>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-5080</wp:posOffset>
            </wp:positionV>
            <wp:extent cx="8509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0900" cy="8890"/>
                    </a:xfrm>
                    <a:prstGeom prst="rect">
                      <a:avLst/>
                    </a:prstGeom>
                    <a:noFill/>
                  </pic:spPr>
                </pic:pic>
              </a:graphicData>
            </a:graphic>
          </wp:anchor>
        </w:drawing>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Ed Barry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25" w:lineRule="exact"/>
        <w:rPr>
          <w:rFonts w:ascii="Arial" w:cs="Arial" w:eastAsia="Arial" w:hAnsi="Arial"/>
          <w:sz w:val="18"/>
          <w:szCs w:val="18"/>
          <w:color w:val="auto"/>
        </w:rPr>
      </w:pPr>
    </w:p>
    <w:p>
      <w:pPr>
        <w:jc w:val="both"/>
        <w:ind w:firstLine="8"/>
        <w:spacing w:after="0" w:line="271" w:lineRule="auto"/>
        <w:tabs>
          <w:tab w:leader="none" w:pos="2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firstLine="8"/>
        <w:spacing w:after="0" w:line="292" w:lineRule="auto"/>
        <w:tabs>
          <w:tab w:leader="none" w:pos="2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jc w:val="both"/>
        <w:ind w:left="660" w:hanging="4"/>
        <w:spacing w:after="0" w:line="271" w:lineRule="auto"/>
        <w:tabs>
          <w:tab w:leader="none" w:pos="8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4"/>
        <w:spacing w:after="0" w:line="271" w:lineRule="auto"/>
        <w:tabs>
          <w:tab w:leader="none" w:pos="8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20" w:firstLine="8"/>
        <w:spacing w:after="0" w:line="292" w:lineRule="auto"/>
        <w:tabs>
          <w:tab w:leader="none" w:pos="2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660" w:right="20" w:hanging="4"/>
        <w:spacing w:after="0" w:line="292" w:lineRule="auto"/>
        <w:tabs>
          <w:tab w:leader="none" w:pos="88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4"/>
        <w:spacing w:after="0" w:line="292" w:lineRule="auto"/>
        <w:tabs>
          <w:tab w:leader="none" w:pos="89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Arial" w:cs="Arial" w:eastAsia="Arial" w:hAnsi="Arial"/>
                <w:sz w:val="18"/>
                <w:szCs w:val="18"/>
                <w:color w:val="auto"/>
              </w:rPr>
              <w:t>Date: August 12, 2019</w:t>
            </w: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By: /s/ Alan W. Jackson</w:t>
            </w:r>
          </w:p>
        </w:tc>
      </w:tr>
      <w:tr>
        <w:trPr>
          <w:trHeight w:val="20"/>
        </w:trPr>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4"/>
        </w:trPr>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2"/>
          </w:tcPr>
          <w:p>
            <w:pPr>
              <w:ind w:left="1000"/>
              <w:spacing w:after="0"/>
              <w:rPr>
                <w:sz w:val="20"/>
                <w:szCs w:val="20"/>
                <w:color w:val="auto"/>
              </w:rPr>
            </w:pPr>
            <w:r>
              <w:rPr>
                <w:rFonts w:ascii="Arial" w:cs="Arial" w:eastAsia="Arial" w:hAnsi="Arial"/>
                <w:sz w:val="18"/>
                <w:szCs w:val="18"/>
                <w:color w:val="auto"/>
              </w:rPr>
              <w:t>Alan W. Jackson</w:t>
            </w:r>
          </w:p>
        </w:tc>
      </w:tr>
      <w:tr>
        <w:trPr>
          <w:trHeight w:val="243"/>
        </w:trPr>
        <w:tc>
          <w:tcPr>
            <w:tcW w:w="2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60" w:type="dxa"/>
            <w:vAlign w:val="bottom"/>
            <w:gridSpan w:val="2"/>
          </w:tcPr>
          <w:p>
            <w:pPr>
              <w:ind w:left="1000"/>
              <w:spacing w:after="0"/>
              <w:rPr>
                <w:sz w:val="20"/>
                <w:szCs w:val="20"/>
                <w:color w:val="auto"/>
              </w:rPr>
            </w:pPr>
            <w:r>
              <w:rPr>
                <w:rFonts w:ascii="Arial" w:cs="Arial" w:eastAsia="Arial" w:hAnsi="Arial"/>
                <w:sz w:val="18"/>
                <w:szCs w:val="18"/>
                <w:color w:val="auto"/>
                <w:w w:val="98"/>
              </w:rPr>
              <w:t>Chief Financial Officer</w:t>
            </w:r>
          </w:p>
        </w:tc>
      </w:tr>
    </w:tbl>
    <w:p>
      <w:pPr>
        <w:sectPr>
          <w:pgSz w:w="11900" w:h="16838" w:orient="portrait"/>
          <w:cols w:equalWidth="0" w:num="1">
            <w:col w:w="11420"/>
          </w:cols>
          <w:pgMar w:left="240" w:top="574" w:right="239" w:bottom="1440" w:gutter="0" w:footer="0" w:header="0"/>
        </w:sectPr>
      </w:pPr>
    </w:p>
    <w:bookmarkStart w:id="72" w:name="page73"/>
    <w:bookmarkEnd w:id="72"/>
    <w:p>
      <w:pPr>
        <w:ind w:right="80"/>
        <w:spacing w:after="0" w:line="303"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June 30, 2019,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2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77" w:lineRule="exact"/>
        <w:rPr>
          <w:sz w:val="20"/>
          <w:szCs w:val="20"/>
          <w:color w:val="auto"/>
        </w:rPr>
      </w:pPr>
    </w:p>
    <w:p>
      <w:pPr>
        <w:spacing w:after="0"/>
        <w:tabs>
          <w:tab w:leader="none" w:pos="620" w:val="left"/>
          <w:tab w:leader="none" w:pos="2520" w:val="left"/>
        </w:tabs>
        <w:rPr>
          <w:sz w:val="20"/>
          <w:szCs w:val="20"/>
          <w:color w:val="auto"/>
        </w:rPr>
      </w:pPr>
      <w:r>
        <w:rPr>
          <w:rFonts w:ascii="Arial" w:cs="Arial" w:eastAsia="Arial" w:hAnsi="Arial"/>
          <w:sz w:val="18"/>
          <w:szCs w:val="18"/>
          <w:color w:val="auto"/>
        </w:rPr>
        <w:t>Date:</w:t>
        <w:tab/>
        <w:t>August 12, 2019</w:t>
      </w:r>
      <w:r>
        <w:rPr>
          <w:sz w:val="20"/>
          <w:szCs w:val="20"/>
          <w:color w:val="auto"/>
        </w:rPr>
        <w:tab/>
      </w:r>
      <w:r>
        <w:rPr>
          <w:rFonts w:ascii="Arial" w:cs="Arial" w:eastAsia="Arial" w:hAnsi="Arial"/>
          <w:sz w:val="18"/>
          <w:szCs w:val="18"/>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-5080</wp:posOffset>
            </wp:positionV>
            <wp:extent cx="8509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0900" cy="8890"/>
                    </a:xfrm>
                    <a:prstGeom prst="rect">
                      <a:avLst/>
                    </a:prstGeom>
                    <a:noFill/>
                  </pic:spPr>
                </pic:pic>
              </a:graphicData>
            </a:graphic>
          </wp:anchor>
        </w:drawing>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Ed Barry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-5080</wp:posOffset>
            </wp:positionV>
            <wp:extent cx="11239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Alan W. Jackson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2019-12-28T07:14:56Z</dcterms:created>
  <dcterms:modified xsi:type="dcterms:W3CDTF">2019-12-28T07:14:56Z</dcterms:modified>
</cp:coreProperties>
</file>