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344751.xml.htm"/>
      <w:bookmarkStart w:id="1" w:name="kswkform4_17903447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Levitt Randall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2275 RESEARCH BLVD.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CBNK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1"/>
        <w:gridCol w:w="924"/>
        <w:gridCol w:w="793"/>
        <w:gridCol w:w="614"/>
        <w:gridCol w:w="347"/>
        <w:gridCol w:w="832"/>
        <w:gridCol w:w="437"/>
        <w:gridCol w:w="758"/>
        <w:gridCol w:w="1144"/>
        <w:gridCol w:w="987"/>
        <w:gridCol w:w="12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26.41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269,758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Randall James Levitt Revocable Trust</w:t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811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30,700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RJL Investment Company, LLC</w:t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154,056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Maud Associates, LLC</w:t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Montrose Lending Group, LLC</w:t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452,000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BTC Trust Company of South Dakota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26.41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23.54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30.51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29.41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5,256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Options vest in four equal annual installments beginning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the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 will vest on 3/2/2027.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Randall James Levitt, by Connie Egan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4029" TargetMode="External"/><Relationship Id="rId5" Type="http://schemas.openxmlformats.org/officeDocument/2006/relationships/hyperlink" Target="http://www.sec.gov/cgi-bin/browse-edgar?action=getcompany&amp;CIK=0001419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725</Words>
  <Characters>3905</Characters>
  <CharactersWithSpaces>4488</CharactersWithSpaces>
  <Paragraphs>170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