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0"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SECURITIES</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UNITED STATES</w:t>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AND EXCHANGE COMMISSION</w:t>
      </w:r>
    </w:p>
    <w:p>
      <w:pPr>
        <w:spacing w:after="0" w:line="13" w:lineRule="exact"/>
        <w:rPr>
          <w:sz w:val="24"/>
          <w:szCs w:val="24"/>
          <w:color w:val="auto"/>
        </w:rPr>
      </w:pPr>
    </w:p>
    <w:p>
      <w:pPr>
        <w:sectPr>
          <w:pgSz w:w="11900" w:h="16838" w:orient="portrait"/>
          <w:cols w:equalWidth="0" w:num="2">
            <w:col w:w="5000" w:space="40"/>
            <w:col w:w="6240"/>
          </w:cols>
          <w:pgMar w:left="300" w:top="206" w:right="319" w:bottom="1440" w:gutter="0" w:footer="0" w:header="0"/>
        </w:sectPr>
      </w:pPr>
    </w:p>
    <w:p>
      <w:pPr>
        <w:jc w:val="center"/>
        <w:ind w:right="-19"/>
        <w:spacing w:after="0"/>
        <w:rPr>
          <w:sz w:val="20"/>
          <w:szCs w:val="20"/>
          <w:color w:val="auto"/>
        </w:rPr>
      </w:pPr>
      <w:r>
        <w:rPr>
          <w:rFonts w:ascii="Arial" w:cs="Arial" w:eastAsia="Arial" w:hAnsi="Arial"/>
          <w:sz w:val="11"/>
          <w:szCs w:val="11"/>
          <w:color w:val="auto"/>
        </w:rPr>
        <w:t>Washington, D.C. 20549</w:t>
      </w:r>
    </w:p>
    <w:p>
      <w:pPr>
        <w:spacing w:after="0" w:line="106" w:lineRule="exact"/>
        <w:rPr>
          <w:sz w:val="24"/>
          <w:szCs w:val="24"/>
          <w:color w:val="auto"/>
        </w:rPr>
      </w:pPr>
    </w:p>
    <w:p>
      <w:pPr>
        <w:ind w:left="5260"/>
        <w:spacing w:after="0"/>
        <w:rPr>
          <w:sz w:val="20"/>
          <w:szCs w:val="20"/>
          <w:color w:val="auto"/>
        </w:rPr>
      </w:pPr>
      <w:r>
        <w:rPr>
          <w:rFonts w:ascii="Arial" w:cs="Arial" w:eastAsia="Arial" w:hAnsi="Arial"/>
          <w:sz w:val="14"/>
          <w:szCs w:val="14"/>
          <w:b w:val="1"/>
          <w:bCs w:val="1"/>
          <w:color w:val="auto"/>
        </w:rPr>
        <w:t>FORM 10-Q</w:t>
      </w:r>
    </w:p>
    <w:p>
      <w:pPr>
        <w:spacing w:after="0" w:line="190" w:lineRule="exact"/>
        <w:rPr>
          <w:sz w:val="24"/>
          <w:szCs w:val="24"/>
          <w:color w:val="auto"/>
        </w:rPr>
      </w:pPr>
    </w:p>
    <w:p>
      <w:pPr>
        <w:ind w:right="5420"/>
        <w:spacing w:after="0" w:line="479" w:lineRule="auto"/>
        <w:rPr>
          <w:sz w:val="20"/>
          <w:szCs w:val="20"/>
          <w:color w:val="auto"/>
        </w:rPr>
      </w:pPr>
      <w:r>
        <w:rPr>
          <w:rFonts w:ascii="Arial" w:cs="Arial" w:eastAsia="Arial" w:hAnsi="Arial"/>
          <w:sz w:val="13"/>
          <w:szCs w:val="13"/>
          <w:color w:val="auto"/>
        </w:rPr>
        <w:t xml:space="preserve">x </w:t>
      </w:r>
      <w:r>
        <w:rPr>
          <w:rFonts w:ascii="Arial" w:cs="Arial" w:eastAsia="Arial" w:hAnsi="Arial"/>
          <w:sz w:val="11"/>
          <w:szCs w:val="11"/>
          <w:color w:val="auto"/>
        </w:rPr>
        <w:t>QUARTERLY REPORT PURSUANT TO SECTION 13 OR 15(d) OF THE SECURITIES EXCHANGE ACT OF 1934</w:t>
      </w:r>
      <w:r>
        <w:rPr>
          <w:rFonts w:ascii="Arial" w:cs="Arial" w:eastAsia="Arial" w:hAnsi="Arial"/>
          <w:sz w:val="13"/>
          <w:szCs w:val="13"/>
          <w:color w:val="auto"/>
        </w:rPr>
        <w:t xml:space="preserve"> </w:t>
      </w:r>
      <w:r>
        <w:rPr>
          <w:rFonts w:ascii="Arial" w:cs="Arial" w:eastAsia="Arial" w:hAnsi="Arial"/>
          <w:sz w:val="11"/>
          <w:szCs w:val="11"/>
          <w:color w:val="auto"/>
        </w:rPr>
        <w:t>For the Quarterly Period ended March 31, 2020 OR</w:t>
      </w:r>
    </w:p>
    <w:p>
      <w:pPr>
        <w:sectPr>
          <w:pgSz w:w="11900" w:h="16838" w:orient="portrait"/>
          <w:cols w:equalWidth="0" w:num="1">
            <w:col w:w="11280"/>
          </w:cols>
          <w:pgMar w:left="300" w:top="206" w:right="319" w:bottom="1440" w:gutter="0" w:footer="0" w:header="0"/>
          <w:type w:val="continuous"/>
        </w:sectPr>
      </w:pPr>
    </w:p>
    <w:p>
      <w:pPr>
        <w:spacing w:after="0" w:line="29" w:lineRule="exact"/>
        <w:rPr>
          <w:sz w:val="24"/>
          <w:szCs w:val="24"/>
          <w:color w:val="auto"/>
        </w:rPr>
      </w:pPr>
    </w:p>
    <w:p>
      <w:pPr>
        <w:ind w:right="5320" w:firstLine="5"/>
        <w:spacing w:after="0" w:line="573" w:lineRule="auto"/>
        <w:tabs>
          <w:tab w:leader="none" w:pos="13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TRANSITION REPORT PURSUANT TO SECTION 13 OR 15 (D) OF THE SECURITIES EXCHANGE ACT OF 1934 For the Transition Period from to</w:t>
      </w:r>
    </w:p>
    <w:p>
      <w:pPr>
        <w:spacing w:after="0"/>
        <w:rPr>
          <w:rFonts w:ascii="MS PGothic" w:cs="MS PGothic" w:eastAsia="MS PGothic" w:hAnsi="MS PGothic"/>
          <w:sz w:val="11"/>
          <w:szCs w:val="11"/>
          <w:color w:val="auto"/>
        </w:rPr>
      </w:pPr>
      <w:r>
        <w:rPr>
          <w:rFonts w:ascii="Arial" w:cs="Arial" w:eastAsia="Arial" w:hAnsi="Arial"/>
          <w:sz w:val="11"/>
          <w:szCs w:val="11"/>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2448560</wp:posOffset>
            </wp:positionH>
            <wp:positionV relativeFrom="paragraph">
              <wp:posOffset>106045</wp:posOffset>
            </wp:positionV>
            <wp:extent cx="2270760" cy="309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0760" cy="309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00" w:type="dxa"/>
            <w:vAlign w:val="bottom"/>
            <w:gridSpan w:val="7"/>
          </w:tcPr>
          <w:p>
            <w:pPr>
              <w:jc w:val="center"/>
              <w:ind w:right="4738"/>
              <w:spacing w:after="0"/>
              <w:rPr>
                <w:sz w:val="20"/>
                <w:szCs w:val="20"/>
                <w:color w:val="auto"/>
              </w:rPr>
            </w:pPr>
            <w:r>
              <w:rPr>
                <w:rFonts w:ascii="Arial" w:cs="Arial" w:eastAsia="Arial" w:hAnsi="Arial"/>
                <w:sz w:val="14"/>
                <w:szCs w:val="14"/>
                <w:b w:val="1"/>
                <w:bCs w:val="1"/>
                <w:color w:val="auto"/>
              </w:rPr>
              <w:t>CAPITAL BANCORP, INC.</w:t>
            </w:r>
          </w:p>
        </w:tc>
      </w:tr>
      <w:tr>
        <w:trPr>
          <w:trHeight w:val="20"/>
        </w:trPr>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142"/>
        </w:trPr>
        <w:tc>
          <w:tcPr>
            <w:tcW w:w="4140" w:type="dxa"/>
            <w:vAlign w:val="bottom"/>
          </w:tcPr>
          <w:p>
            <w:pPr>
              <w:spacing w:after="0"/>
              <w:rPr>
                <w:sz w:val="12"/>
                <w:szCs w:val="12"/>
                <w:color w:val="auto"/>
              </w:rPr>
            </w:pPr>
          </w:p>
        </w:tc>
        <w:tc>
          <w:tcPr>
            <w:tcW w:w="7140" w:type="dxa"/>
            <w:vAlign w:val="bottom"/>
            <w:gridSpan w:val="8"/>
          </w:tcPr>
          <w:p>
            <w:pPr>
              <w:jc w:val="center"/>
              <w:ind w:right="4078"/>
              <w:spacing w:after="0"/>
              <w:rPr>
                <w:sz w:val="20"/>
                <w:szCs w:val="20"/>
                <w:color w:val="auto"/>
              </w:rPr>
            </w:pPr>
            <w:r>
              <w:rPr>
                <w:rFonts w:ascii="Arial" w:cs="Arial" w:eastAsia="Arial" w:hAnsi="Arial"/>
                <w:sz w:val="8"/>
                <w:szCs w:val="8"/>
                <w:color w:val="auto"/>
              </w:rPr>
              <w:t>(Exact name of registrant as specified in its charter)</w:t>
            </w:r>
          </w:p>
        </w:tc>
      </w:tr>
      <w:tr>
        <w:trPr>
          <w:trHeight w:val="322"/>
        </w:trPr>
        <w:tc>
          <w:tcPr>
            <w:tcW w:w="4140" w:type="dxa"/>
            <w:vAlign w:val="bottom"/>
          </w:tcPr>
          <w:p>
            <w:pPr>
              <w:jc w:val="center"/>
              <w:ind w:left="1365"/>
              <w:spacing w:after="0"/>
              <w:rPr>
                <w:sz w:val="20"/>
                <w:szCs w:val="20"/>
                <w:color w:val="auto"/>
              </w:rPr>
            </w:pPr>
            <w:r>
              <w:rPr>
                <w:rFonts w:ascii="Arial" w:cs="Arial" w:eastAsia="Arial" w:hAnsi="Arial"/>
                <w:sz w:val="13"/>
                <w:szCs w:val="13"/>
                <w:b w:val="1"/>
                <w:bCs w:val="1"/>
                <w:color w:val="auto"/>
                <w:w w:val="98"/>
              </w:rPr>
              <w:t>Maryland</w:t>
            </w:r>
          </w:p>
        </w:tc>
        <w:tc>
          <w:tcPr>
            <w:tcW w:w="7140" w:type="dxa"/>
            <w:vAlign w:val="bottom"/>
            <w:gridSpan w:val="8"/>
          </w:tcPr>
          <w:p>
            <w:pPr>
              <w:jc w:val="right"/>
              <w:ind w:right="2258"/>
              <w:spacing w:after="0"/>
              <w:rPr>
                <w:sz w:val="20"/>
                <w:szCs w:val="20"/>
                <w:color w:val="auto"/>
              </w:rPr>
            </w:pPr>
            <w:r>
              <w:rPr>
                <w:rFonts w:ascii="Arial" w:cs="Arial" w:eastAsia="Arial" w:hAnsi="Arial"/>
                <w:sz w:val="13"/>
                <w:szCs w:val="13"/>
                <w:b w:val="1"/>
                <w:bCs w:val="1"/>
                <w:color w:val="auto"/>
              </w:rPr>
              <w:t>52-2083046</w:t>
            </w:r>
          </w:p>
        </w:tc>
      </w:tr>
      <w:tr>
        <w:trPr>
          <w:trHeight w:val="36"/>
        </w:trPr>
        <w:tc>
          <w:tcPr>
            <w:tcW w:w="4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r>
        <w:trPr>
          <w:trHeight w:val="110"/>
        </w:trPr>
        <w:tc>
          <w:tcPr>
            <w:tcW w:w="4140" w:type="dxa"/>
            <w:vAlign w:val="bottom"/>
          </w:tcPr>
          <w:p>
            <w:pPr>
              <w:jc w:val="center"/>
              <w:ind w:left="1365"/>
              <w:spacing w:after="0"/>
              <w:rPr>
                <w:sz w:val="20"/>
                <w:szCs w:val="20"/>
                <w:color w:val="auto"/>
              </w:rPr>
            </w:pPr>
            <w:r>
              <w:rPr>
                <w:rFonts w:ascii="Arial" w:cs="Arial" w:eastAsia="Arial" w:hAnsi="Arial"/>
                <w:sz w:val="8"/>
                <w:szCs w:val="8"/>
                <w:color w:val="auto"/>
              </w:rPr>
              <w:t>(State or other jurisdiction of incorporation or organization)</w:t>
            </w: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780" w:type="dxa"/>
            <w:vAlign w:val="bottom"/>
          </w:tcPr>
          <w:p>
            <w:pPr>
              <w:jc w:val="center"/>
              <w:ind w:right="458"/>
              <w:spacing w:after="0"/>
              <w:rPr>
                <w:sz w:val="20"/>
                <w:szCs w:val="20"/>
                <w:color w:val="auto"/>
              </w:rPr>
            </w:pPr>
            <w:r>
              <w:rPr>
                <w:rFonts w:ascii="Arial" w:cs="Arial" w:eastAsia="Arial" w:hAnsi="Arial"/>
                <w:sz w:val="8"/>
                <w:szCs w:val="8"/>
                <w:color w:val="auto"/>
              </w:rPr>
              <w:t>(IRS Employer Identification No.)</w:t>
            </w:r>
          </w:p>
        </w:tc>
      </w:tr>
      <w:tr>
        <w:trPr>
          <w:trHeight w:val="237"/>
        </w:trPr>
        <w:tc>
          <w:tcPr>
            <w:tcW w:w="4140" w:type="dxa"/>
            <w:vAlign w:val="bottom"/>
          </w:tcPr>
          <w:p>
            <w:pPr>
              <w:jc w:val="center"/>
              <w:ind w:left="1365"/>
              <w:spacing w:after="0"/>
              <w:rPr>
                <w:sz w:val="20"/>
                <w:szCs w:val="20"/>
                <w:color w:val="auto"/>
              </w:rPr>
            </w:pPr>
            <w:r>
              <w:rPr>
                <w:rFonts w:ascii="Arial" w:cs="Arial" w:eastAsia="Arial" w:hAnsi="Arial"/>
                <w:sz w:val="13"/>
                <w:szCs w:val="13"/>
                <w:b w:val="1"/>
                <w:bCs w:val="1"/>
                <w:color w:val="auto"/>
                <w:w w:val="97"/>
              </w:rPr>
              <w:t>2275 Research Boulevard, Suite 600,</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177"/>
        </w:trPr>
        <w:tc>
          <w:tcPr>
            <w:tcW w:w="4140" w:type="dxa"/>
            <w:vAlign w:val="bottom"/>
          </w:tcPr>
          <w:p>
            <w:pPr>
              <w:jc w:val="center"/>
              <w:ind w:left="1365"/>
              <w:spacing w:after="0"/>
              <w:rPr>
                <w:sz w:val="20"/>
                <w:szCs w:val="20"/>
                <w:color w:val="auto"/>
              </w:rPr>
            </w:pPr>
            <w:r>
              <w:rPr>
                <w:rFonts w:ascii="Arial" w:cs="Arial" w:eastAsia="Arial" w:hAnsi="Arial"/>
                <w:sz w:val="13"/>
                <w:szCs w:val="13"/>
                <w:b w:val="1"/>
                <w:bCs w:val="1"/>
                <w:color w:val="auto"/>
                <w:w w:val="96"/>
              </w:rPr>
              <w:t>Rockville, Maryland 20850</w:t>
            </w:r>
          </w:p>
        </w:tc>
        <w:tc>
          <w:tcPr>
            <w:tcW w:w="7140" w:type="dxa"/>
            <w:vAlign w:val="bottom"/>
            <w:gridSpan w:val="8"/>
          </w:tcPr>
          <w:p>
            <w:pPr>
              <w:jc w:val="right"/>
              <w:ind w:right="2418"/>
              <w:spacing w:after="0"/>
              <w:rPr>
                <w:sz w:val="20"/>
                <w:szCs w:val="20"/>
                <w:color w:val="auto"/>
              </w:rPr>
            </w:pPr>
            <w:r>
              <w:rPr>
                <w:rFonts w:ascii="Arial" w:cs="Arial" w:eastAsia="Arial" w:hAnsi="Arial"/>
                <w:sz w:val="13"/>
                <w:szCs w:val="13"/>
                <w:b w:val="1"/>
                <w:bCs w:val="1"/>
                <w:color w:val="auto"/>
              </w:rPr>
              <w:t>20850</w:t>
            </w:r>
          </w:p>
        </w:tc>
      </w:tr>
      <w:tr>
        <w:trPr>
          <w:trHeight w:val="118"/>
        </w:trPr>
        <w:tc>
          <w:tcPr>
            <w:tcW w:w="4140" w:type="dxa"/>
            <w:vAlign w:val="bottom"/>
            <w:tcBorders>
              <w:top w:val="single" w:sz="8" w:color="auto"/>
            </w:tcBorders>
          </w:tcPr>
          <w:p>
            <w:pPr>
              <w:jc w:val="center"/>
              <w:ind w:left="1345"/>
              <w:spacing w:after="0"/>
              <w:rPr>
                <w:sz w:val="20"/>
                <w:szCs w:val="20"/>
                <w:color w:val="auto"/>
              </w:rPr>
            </w:pPr>
            <w:r>
              <w:rPr>
                <w:rFonts w:ascii="Arial" w:cs="Arial" w:eastAsia="Arial" w:hAnsi="Arial"/>
                <w:sz w:val="8"/>
                <w:szCs w:val="8"/>
                <w:color w:val="auto"/>
              </w:rPr>
              <w:t>(Address of principal executive offices)</w:t>
            </w:r>
          </w:p>
        </w:tc>
        <w:tc>
          <w:tcPr>
            <w:tcW w:w="6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780" w:type="dxa"/>
            <w:vAlign w:val="bottom"/>
            <w:tcBorders>
              <w:top w:val="single" w:sz="8" w:color="auto"/>
            </w:tcBorders>
          </w:tcPr>
          <w:p>
            <w:pPr>
              <w:jc w:val="center"/>
              <w:ind w:right="458"/>
              <w:spacing w:after="0"/>
              <w:rPr>
                <w:sz w:val="20"/>
                <w:szCs w:val="20"/>
                <w:color w:val="auto"/>
              </w:rPr>
            </w:pPr>
            <w:r>
              <w:rPr>
                <w:rFonts w:ascii="Arial" w:cs="Arial" w:eastAsia="Arial" w:hAnsi="Arial"/>
                <w:sz w:val="8"/>
                <w:szCs w:val="8"/>
                <w:color w:val="auto"/>
              </w:rPr>
              <w:t>(Zip Code)</w:t>
            </w:r>
          </w:p>
        </w:tc>
      </w:tr>
      <w:tr>
        <w:trPr>
          <w:trHeight w:val="369"/>
        </w:trPr>
        <w:tc>
          <w:tcPr>
            <w:tcW w:w="4140" w:type="dxa"/>
            <w:vAlign w:val="bottom"/>
          </w:tcPr>
          <w:p>
            <w:pPr>
              <w:spacing w:after="0"/>
              <w:rPr>
                <w:sz w:val="24"/>
                <w:szCs w:val="24"/>
                <w:color w:val="auto"/>
              </w:rPr>
            </w:pPr>
          </w:p>
        </w:tc>
        <w:tc>
          <w:tcPr>
            <w:tcW w:w="1900" w:type="dxa"/>
            <w:vAlign w:val="bottom"/>
            <w:gridSpan w:val="6"/>
          </w:tcPr>
          <w:p>
            <w:pPr>
              <w:jc w:val="center"/>
              <w:ind w:left="1068"/>
              <w:spacing w:after="0"/>
              <w:rPr>
                <w:sz w:val="20"/>
                <w:szCs w:val="20"/>
                <w:color w:val="auto"/>
              </w:rPr>
            </w:pPr>
            <w:r>
              <w:rPr>
                <w:rFonts w:ascii="Arial" w:cs="Arial" w:eastAsia="Arial" w:hAnsi="Arial"/>
                <w:sz w:val="11"/>
                <w:szCs w:val="11"/>
                <w:b w:val="1"/>
                <w:bCs w:val="1"/>
                <w:color w:val="auto"/>
              </w:rPr>
              <w:t>(301) 468-8848</w:t>
            </w:r>
          </w:p>
        </w:tc>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0"/>
        </w:trPr>
        <w:tc>
          <w:tcPr>
            <w:tcW w:w="4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r>
      <w:tr>
        <w:trPr>
          <w:trHeight w:val="91"/>
        </w:trPr>
        <w:tc>
          <w:tcPr>
            <w:tcW w:w="4140" w:type="dxa"/>
            <w:vAlign w:val="bottom"/>
          </w:tcPr>
          <w:p>
            <w:pPr>
              <w:spacing w:after="0"/>
              <w:rPr>
                <w:sz w:val="7"/>
                <w:szCs w:val="7"/>
                <w:color w:val="auto"/>
              </w:rPr>
            </w:pPr>
          </w:p>
        </w:tc>
        <w:tc>
          <w:tcPr>
            <w:tcW w:w="7140" w:type="dxa"/>
            <w:vAlign w:val="bottom"/>
            <w:gridSpan w:val="8"/>
          </w:tcPr>
          <w:p>
            <w:pPr>
              <w:jc w:val="center"/>
              <w:ind w:right="4078"/>
              <w:spacing w:after="0"/>
              <w:rPr>
                <w:sz w:val="20"/>
                <w:szCs w:val="20"/>
                <w:color w:val="auto"/>
              </w:rPr>
            </w:pPr>
            <w:r>
              <w:rPr>
                <w:rFonts w:ascii="Arial" w:cs="Arial" w:eastAsia="Arial" w:hAnsi="Arial"/>
                <w:sz w:val="8"/>
                <w:szCs w:val="8"/>
                <w:color w:val="auto"/>
              </w:rPr>
              <w:t>Registrant’s telephone number, including area code</w:t>
            </w:r>
          </w:p>
        </w:tc>
      </w:tr>
      <w:tr>
        <w:trPr>
          <w:trHeight w:val="154"/>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Not Applicable</w:t>
            </w:r>
          </w:p>
        </w:tc>
        <w:tc>
          <w:tcPr>
            <w:tcW w:w="5240" w:type="dxa"/>
            <w:vAlign w:val="bottom"/>
            <w:gridSpan w:val="2"/>
          </w:tcPr>
          <w:p>
            <w:pPr>
              <w:spacing w:after="0"/>
              <w:rPr>
                <w:sz w:val="13"/>
                <w:szCs w:val="13"/>
                <w:color w:val="auto"/>
              </w:rPr>
            </w:pPr>
          </w:p>
        </w:tc>
      </w:tr>
      <w:tr>
        <w:trPr>
          <w:trHeight w:val="91"/>
        </w:trPr>
        <w:tc>
          <w:tcPr>
            <w:tcW w:w="4140" w:type="dxa"/>
            <w:vAlign w:val="bottom"/>
          </w:tcPr>
          <w:p>
            <w:pPr>
              <w:spacing w:after="0"/>
              <w:rPr>
                <w:sz w:val="7"/>
                <w:szCs w:val="7"/>
                <w:color w:val="auto"/>
              </w:rPr>
            </w:pPr>
          </w:p>
        </w:tc>
        <w:tc>
          <w:tcPr>
            <w:tcW w:w="7140" w:type="dxa"/>
            <w:vAlign w:val="bottom"/>
            <w:gridSpan w:val="8"/>
          </w:tcPr>
          <w:p>
            <w:pPr>
              <w:jc w:val="center"/>
              <w:ind w:right="4078"/>
              <w:spacing w:after="0"/>
              <w:rPr>
                <w:sz w:val="20"/>
                <w:szCs w:val="20"/>
                <w:color w:val="auto"/>
              </w:rPr>
            </w:pPr>
            <w:r>
              <w:rPr>
                <w:rFonts w:ascii="Arial" w:cs="Arial" w:eastAsia="Arial" w:hAnsi="Arial"/>
                <w:sz w:val="8"/>
                <w:szCs w:val="8"/>
                <w:color w:val="auto"/>
              </w:rPr>
              <w:t>(Former Name or Former Address, if Changed Since Last Report)</w:t>
            </w:r>
          </w:p>
        </w:tc>
      </w:tr>
    </w:tbl>
    <w:p>
      <w:pPr>
        <w:spacing w:after="0" w:line="123" w:lineRule="exact"/>
        <w:rPr>
          <w:sz w:val="24"/>
          <w:szCs w:val="24"/>
          <w:color w:val="auto"/>
        </w:rPr>
      </w:pPr>
    </w:p>
    <w:p>
      <w:pPr>
        <w:jc w:val="both"/>
        <w:ind w:firstLine="509"/>
        <w:spacing w:after="0" w:line="15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127"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50" w:lineRule="exact"/>
        <w:tabs>
          <w:tab w:leader="none" w:pos="7220" w:val="left"/>
        </w:tabs>
        <w:rPr>
          <w:sz w:val="20"/>
          <w:szCs w:val="20"/>
          <w:color w:val="auto"/>
        </w:rPr>
      </w:pPr>
      <w:r>
        <w:rPr>
          <w:rFonts w:ascii="Arial" w:cs="Arial" w:eastAsia="Arial" w:hAnsi="Arial"/>
          <w:sz w:val="13"/>
          <w:szCs w:val="13"/>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2"/>
          <w:szCs w:val="12"/>
          <w:color w:val="auto"/>
        </w:rPr>
        <w:t xml:space="preserve">Yes x No </w:t>
      </w:r>
      <w:r>
        <w:rPr>
          <w:rFonts w:ascii="MS PGothic" w:cs="MS PGothic" w:eastAsia="MS PGothic" w:hAnsi="MS PGothic"/>
          <w:sz w:val="12"/>
          <w:szCs w:val="12"/>
          <w:color w:val="auto"/>
        </w:rPr>
        <w:t>☐</w:t>
      </w:r>
    </w:p>
    <w:p>
      <w:pPr>
        <w:spacing w:after="0" w:line="172" w:lineRule="exact"/>
        <w:rPr>
          <w:sz w:val="24"/>
          <w:szCs w:val="24"/>
          <w:color w:val="auto"/>
        </w:rPr>
      </w:pPr>
    </w:p>
    <w:p>
      <w:pPr>
        <w:jc w:val="both"/>
        <w:ind w:firstLine="509"/>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78" w:lineRule="exact"/>
        <w:rPr>
          <w:sz w:val="24"/>
          <w:szCs w:val="24"/>
          <w:color w:val="auto"/>
        </w:rPr>
      </w:pPr>
    </w:p>
    <w:tbl>
      <w:tblPr>
        <w:tblLayout w:type="fixed"/>
        <w:tblInd w:w="2400" w:type="dxa"/>
        <w:tblCellMar>
          <w:top w:w="0" w:type="dxa"/>
          <w:left w:w="0" w:type="dxa"/>
          <w:bottom w:w="0" w:type="dxa"/>
          <w:right w:w="0" w:type="dxa"/>
        </w:tblCellMar>
      </w:tblPr>
      <w:tr>
        <w:trPr>
          <w:trHeight w:val="195"/>
        </w:trPr>
        <w:tc>
          <w:tcPr>
            <w:tcW w:w="15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580" w:type="dxa"/>
            <w:vAlign w:val="bottom"/>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2940" w:type="dxa"/>
            <w:vAlign w:val="bottom"/>
          </w:tcPr>
          <w:p>
            <w:pPr>
              <w:ind w:left="1000"/>
              <w:spacing w:after="0"/>
              <w:rPr>
                <w:sz w:val="20"/>
                <w:szCs w:val="20"/>
                <w:color w:val="auto"/>
              </w:rPr>
            </w:pPr>
            <w:r>
              <w:rPr>
                <w:rFonts w:ascii="Arial" w:cs="Arial" w:eastAsia="Arial" w:hAnsi="Arial"/>
                <w:sz w:val="11"/>
                <w:szCs w:val="11"/>
                <w:color w:val="auto"/>
              </w:rPr>
              <w:t>Accelerated filer</w:t>
            </w:r>
          </w:p>
        </w:tc>
        <w:tc>
          <w:tcPr>
            <w:tcW w:w="660" w:type="dxa"/>
            <w:vAlign w:val="bottom"/>
          </w:tcPr>
          <w:p>
            <w:pPr>
              <w:ind w:left="580"/>
              <w:spacing w:after="0"/>
              <w:rPr>
                <w:sz w:val="20"/>
                <w:szCs w:val="20"/>
                <w:color w:val="auto"/>
              </w:rPr>
            </w:pPr>
            <w:r>
              <w:rPr>
                <w:rFonts w:ascii="Arial" w:cs="Arial" w:eastAsia="Arial" w:hAnsi="Arial"/>
                <w:sz w:val="14"/>
                <w:szCs w:val="14"/>
                <w:color w:val="auto"/>
                <w:w w:val="85"/>
              </w:rPr>
              <w:t>x</w:t>
            </w:r>
          </w:p>
        </w:tc>
      </w:tr>
      <w:tr>
        <w:trPr>
          <w:trHeight w:val="212"/>
        </w:trPr>
        <w:tc>
          <w:tcPr>
            <w:tcW w:w="1580" w:type="dxa"/>
            <w:vAlign w:val="bottom"/>
          </w:tcPr>
          <w:p>
            <w:pPr>
              <w:spacing w:after="0"/>
              <w:rPr>
                <w:sz w:val="20"/>
                <w:szCs w:val="20"/>
                <w:color w:val="auto"/>
              </w:rPr>
            </w:pPr>
            <w:r>
              <w:rPr>
                <w:rFonts w:ascii="Arial" w:cs="Arial" w:eastAsia="Arial" w:hAnsi="Arial"/>
                <w:sz w:val="11"/>
                <w:szCs w:val="11"/>
                <w:color w:val="auto"/>
              </w:rPr>
              <w:t>Non-accelerated filer</w:t>
            </w:r>
          </w:p>
        </w:tc>
        <w:tc>
          <w:tcPr>
            <w:tcW w:w="1580" w:type="dxa"/>
            <w:vAlign w:val="bottom"/>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2940" w:type="dxa"/>
            <w:vAlign w:val="bottom"/>
          </w:tcPr>
          <w:p>
            <w:pPr>
              <w:ind w:left="1000"/>
              <w:spacing w:after="0"/>
              <w:rPr>
                <w:sz w:val="20"/>
                <w:szCs w:val="20"/>
                <w:color w:val="auto"/>
              </w:rPr>
            </w:pPr>
            <w:r>
              <w:rPr>
                <w:rFonts w:ascii="Arial" w:cs="Arial" w:eastAsia="Arial" w:hAnsi="Arial"/>
                <w:sz w:val="11"/>
                <w:szCs w:val="11"/>
                <w:color w:val="auto"/>
              </w:rPr>
              <w:t>Smaller reporting company</w:t>
            </w:r>
          </w:p>
        </w:tc>
        <w:tc>
          <w:tcPr>
            <w:tcW w:w="660" w:type="dxa"/>
            <w:vAlign w:val="bottom"/>
          </w:tcPr>
          <w:p>
            <w:pPr>
              <w:ind w:left="580"/>
              <w:spacing w:after="0"/>
              <w:rPr>
                <w:sz w:val="20"/>
                <w:szCs w:val="20"/>
                <w:color w:val="auto"/>
              </w:rPr>
            </w:pPr>
            <w:r>
              <w:rPr>
                <w:rFonts w:ascii="Arial" w:cs="Arial" w:eastAsia="Arial" w:hAnsi="Arial"/>
                <w:sz w:val="14"/>
                <w:szCs w:val="14"/>
                <w:color w:val="auto"/>
                <w:w w:val="85"/>
              </w:rPr>
              <w:t>x</w:t>
            </w:r>
          </w:p>
        </w:tc>
      </w:tr>
      <w:tr>
        <w:trPr>
          <w:trHeight w:val="211"/>
        </w:trPr>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40" w:type="dxa"/>
            <w:vAlign w:val="bottom"/>
          </w:tcPr>
          <w:p>
            <w:pPr>
              <w:ind w:left="1000"/>
              <w:spacing w:after="0"/>
              <w:rPr>
                <w:sz w:val="20"/>
                <w:szCs w:val="20"/>
                <w:color w:val="auto"/>
              </w:rPr>
            </w:pPr>
            <w:r>
              <w:rPr>
                <w:rFonts w:ascii="Arial" w:cs="Arial" w:eastAsia="Arial" w:hAnsi="Arial"/>
                <w:sz w:val="11"/>
                <w:szCs w:val="11"/>
                <w:color w:val="auto"/>
              </w:rPr>
              <w:t>Emerging growth company</w:t>
            </w:r>
          </w:p>
        </w:tc>
        <w:tc>
          <w:tcPr>
            <w:tcW w:w="660" w:type="dxa"/>
            <w:vAlign w:val="bottom"/>
          </w:tcPr>
          <w:p>
            <w:pPr>
              <w:ind w:left="580"/>
              <w:spacing w:after="0"/>
              <w:rPr>
                <w:sz w:val="20"/>
                <w:szCs w:val="20"/>
                <w:color w:val="auto"/>
              </w:rPr>
            </w:pPr>
            <w:r>
              <w:rPr>
                <w:rFonts w:ascii="Arial" w:cs="Arial" w:eastAsia="Arial" w:hAnsi="Arial"/>
                <w:sz w:val="14"/>
                <w:szCs w:val="14"/>
                <w:color w:val="auto"/>
                <w:w w:val="85"/>
              </w:rPr>
              <w:t>x</w:t>
            </w:r>
          </w:p>
        </w:tc>
      </w:tr>
    </w:tbl>
    <w:p>
      <w:pPr>
        <w:spacing w:after="0" w:line="180" w:lineRule="exact"/>
        <w:rPr>
          <w:sz w:val="24"/>
          <w:szCs w:val="24"/>
          <w:color w:val="auto"/>
        </w:rPr>
      </w:pPr>
    </w:p>
    <w:p>
      <w:pPr>
        <w:spacing w:after="0" w:line="244"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6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136" w:lineRule="exact"/>
        <w:rPr>
          <w:sz w:val="24"/>
          <w:szCs w:val="24"/>
          <w:color w:val="auto"/>
        </w:rPr>
      </w:pPr>
    </w:p>
    <w:p>
      <w:pPr>
        <w:ind w:left="560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ectPr>
          <w:pgSz w:w="11900" w:h="16838" w:orient="portrait"/>
          <w:cols w:equalWidth="0" w:num="1">
            <w:col w:w="11280"/>
          </w:cols>
          <w:pgMar w:left="300" w:top="20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53" w:lineRule="exact"/>
        <w:rPr>
          <w:sz w:val="20"/>
          <w:szCs w:val="20"/>
          <w:color w:val="auto"/>
        </w:rPr>
      </w:pPr>
    </w:p>
    <w:tbl>
      <w:tblPr>
        <w:tblLayout w:type="fixed"/>
        <w:tblInd w:w="370" w:type="dxa"/>
        <w:tblCellMar>
          <w:top w:w="0" w:type="dxa"/>
          <w:left w:w="0" w:type="dxa"/>
          <w:bottom w:w="0" w:type="dxa"/>
          <w:right w:w="0" w:type="dxa"/>
        </w:tblCellMar>
      </w:tblPr>
      <w:tr>
        <w:trPr>
          <w:trHeight w:val="159"/>
        </w:trPr>
        <w:tc>
          <w:tcPr>
            <w:tcW w:w="1140" w:type="dxa"/>
            <w:vAlign w:val="bottom"/>
            <w:tcBorders>
              <w:top w:val="single" w:sz="8" w:color="auto"/>
              <w:left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Title of each class</w:t>
            </w:r>
          </w:p>
        </w:tc>
        <w:tc>
          <w:tcPr>
            <w:tcW w:w="1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gridSpan w:val="2"/>
          </w:tcPr>
          <w:p>
            <w:pPr>
              <w:jc w:val="center"/>
              <w:ind w:right="2100"/>
              <w:spacing w:after="0"/>
              <w:rPr>
                <w:sz w:val="20"/>
                <w:szCs w:val="20"/>
                <w:color w:val="auto"/>
              </w:rPr>
            </w:pPr>
            <w:r>
              <w:rPr>
                <w:rFonts w:ascii="Arial" w:cs="Arial" w:eastAsia="Arial" w:hAnsi="Arial"/>
                <w:sz w:val="13"/>
                <w:szCs w:val="13"/>
                <w:color w:val="auto"/>
                <w:w w:val="90"/>
              </w:rPr>
              <w:t>Trading Symbol(s)</w:t>
            </w:r>
          </w:p>
        </w:tc>
        <w:tc>
          <w:tcPr>
            <w:tcW w:w="3740" w:type="dxa"/>
            <w:vAlign w:val="bottom"/>
            <w:tcBorders>
              <w:top w:val="single" w:sz="8" w:color="auto"/>
              <w:right w:val="single" w:sz="8" w:color="auto"/>
            </w:tcBorders>
            <w:gridSpan w:val="2"/>
          </w:tcPr>
          <w:p>
            <w:pPr>
              <w:jc w:val="center"/>
              <w:ind w:right="1480"/>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14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r>
      <w:tr>
        <w:trPr>
          <w:trHeight w:val="224"/>
        </w:trPr>
        <w:tc>
          <w:tcPr>
            <w:tcW w:w="3300" w:type="dxa"/>
            <w:vAlign w:val="bottom"/>
            <w:tcBorders>
              <w:left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0"/>
              </w:rPr>
              <w:t>Common Stock, par value $0.01 per share</w:t>
            </w:r>
          </w:p>
        </w:tc>
        <w:tc>
          <w:tcPr>
            <w:tcW w:w="500" w:type="dxa"/>
            <w:vAlign w:val="bottom"/>
          </w:tcPr>
          <w:p>
            <w:pPr>
              <w:spacing w:after="0"/>
              <w:rPr>
                <w:sz w:val="19"/>
                <w:szCs w:val="19"/>
                <w:color w:val="auto"/>
              </w:rPr>
            </w:pPr>
          </w:p>
        </w:tc>
        <w:tc>
          <w:tcPr>
            <w:tcW w:w="3060" w:type="dxa"/>
            <w:vAlign w:val="bottom"/>
            <w:gridSpan w:val="2"/>
          </w:tcPr>
          <w:p>
            <w:pPr>
              <w:jc w:val="center"/>
              <w:ind w:right="2080"/>
              <w:spacing w:after="0"/>
              <w:rPr>
                <w:sz w:val="20"/>
                <w:szCs w:val="20"/>
                <w:color w:val="auto"/>
              </w:rPr>
            </w:pPr>
            <w:r>
              <w:rPr>
                <w:rFonts w:ascii="Arial" w:cs="Arial" w:eastAsia="Arial" w:hAnsi="Arial"/>
                <w:sz w:val="14"/>
                <w:szCs w:val="14"/>
                <w:color w:val="auto"/>
                <w:w w:val="97"/>
              </w:rPr>
              <w:t>CBNK</w:t>
            </w:r>
          </w:p>
        </w:tc>
        <w:tc>
          <w:tcPr>
            <w:tcW w:w="3740" w:type="dxa"/>
            <w:vAlign w:val="bottom"/>
            <w:tcBorders>
              <w:right w:val="single" w:sz="8" w:color="auto"/>
            </w:tcBorders>
            <w:gridSpan w:val="2"/>
          </w:tcPr>
          <w:p>
            <w:pPr>
              <w:jc w:val="center"/>
              <w:ind w:right="1500"/>
              <w:spacing w:after="0"/>
              <w:rPr>
                <w:sz w:val="20"/>
                <w:szCs w:val="20"/>
                <w:color w:val="auto"/>
              </w:rPr>
            </w:pPr>
            <w:r>
              <w:rPr>
                <w:rFonts w:ascii="Arial" w:cs="Arial" w:eastAsia="Arial" w:hAnsi="Arial"/>
                <w:sz w:val="14"/>
                <w:szCs w:val="14"/>
                <w:color w:val="auto"/>
                <w:w w:val="96"/>
              </w:rPr>
              <w:t>NASDAQ Stock Market</w:t>
            </w:r>
          </w:p>
        </w:tc>
      </w:tr>
      <w:tr>
        <w:trPr>
          <w:trHeight w:val="22"/>
        </w:trPr>
        <w:tc>
          <w:tcPr>
            <w:tcW w:w="11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As of May 6, 2020, the Company had 13,821,973 shares of common stock, par value $0.01 per share, outstanding.</w:t>
      </w:r>
    </w:p>
    <w:p>
      <w:pPr>
        <w:sectPr>
          <w:pgSz w:w="11900" w:h="16838" w:orient="portrait"/>
          <w:cols w:equalWidth="0" w:num="1">
            <w:col w:w="10940"/>
          </w:cols>
          <w:pgMar w:left="300" w:top="608" w:right="6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0"/>
          <w:szCs w:val="20"/>
          <w:b w:val="1"/>
          <w:bCs w:val="1"/>
          <w:color w:val="auto"/>
        </w:rPr>
        <w:t>Capital Bancorp, Inc. and Subsidiaries</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Form 10-Q</w:t>
      </w:r>
    </w:p>
    <w:p>
      <w:pPr>
        <w:spacing w:after="0" w:line="4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720" w:type="dxa"/>
            <w:vAlign w:val="bottom"/>
            <w:gridSpan w:val="2"/>
          </w:tcPr>
          <w:p>
            <w:pPr>
              <w:spacing w:after="0"/>
              <w:rPr>
                <w:sz w:val="20"/>
                <w:szCs w:val="20"/>
                <w:color w:val="auto"/>
              </w:rPr>
            </w:pPr>
            <w:r>
              <w:rPr>
                <w:rFonts w:ascii="Arial" w:cs="Arial" w:eastAsia="Arial" w:hAnsi="Arial"/>
                <w:sz w:val="13"/>
                <w:szCs w:val="13"/>
                <w:b w:val="1"/>
                <w:bCs w:val="1"/>
                <w:color w:val="auto"/>
              </w:rPr>
              <w:t>PART I - CONSOLIDATED FINANCIAL INFORMATION</w:t>
            </w: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Page</w:t>
            </w:r>
          </w:p>
        </w:tc>
      </w:tr>
      <w:tr>
        <w:trPr>
          <w:trHeight w:val="220"/>
        </w:trPr>
        <w:tc>
          <w:tcPr>
            <w:tcW w:w="860" w:type="dxa"/>
            <w:vAlign w:val="bottom"/>
          </w:tcPr>
          <w:p>
            <w:pPr>
              <w:spacing w:after="0"/>
              <w:rPr>
                <w:sz w:val="20"/>
                <w:szCs w:val="20"/>
                <w:color w:val="auto"/>
              </w:rPr>
            </w:pPr>
            <w:r>
              <w:rPr>
                <w:rFonts w:ascii="Arial" w:cs="Arial" w:eastAsia="Arial" w:hAnsi="Arial"/>
                <w:sz w:val="13"/>
                <w:szCs w:val="13"/>
                <w:color w:val="auto"/>
              </w:rPr>
              <w:t>Item 1.</w:t>
            </w:r>
          </w:p>
        </w:tc>
        <w:tc>
          <w:tcPr>
            <w:tcW w:w="9860" w:type="dxa"/>
            <w:vAlign w:val="bottom"/>
          </w:tcPr>
          <w:p>
            <w:pPr>
              <w:ind w:left="380"/>
              <w:spacing w:after="0"/>
              <w:rPr>
                <w:sz w:val="20"/>
                <w:szCs w:val="20"/>
                <w:color w:val="auto"/>
              </w:rPr>
            </w:pPr>
            <w:r>
              <w:rPr>
                <w:rFonts w:ascii="Arial" w:cs="Arial" w:eastAsia="Arial" w:hAnsi="Arial"/>
                <w:sz w:val="13"/>
                <w:szCs w:val="13"/>
                <w:color w:val="auto"/>
              </w:rPr>
              <w:t>Consolidated Financial Statements</w:t>
            </w:r>
          </w:p>
        </w:tc>
        <w:tc>
          <w:tcPr>
            <w:tcW w:w="300" w:type="dxa"/>
            <w:vAlign w:val="bottom"/>
          </w:tcPr>
          <w:p>
            <w:pPr>
              <w:spacing w:after="0"/>
              <w:rPr>
                <w:sz w:val="19"/>
                <w:szCs w:val="19"/>
                <w:color w:val="auto"/>
              </w:rPr>
            </w:pPr>
          </w:p>
        </w:tc>
      </w:tr>
      <w:tr>
        <w:trPr>
          <w:trHeight w:val="212"/>
        </w:trPr>
        <w:tc>
          <w:tcPr>
            <w:tcW w:w="860" w:type="dxa"/>
            <w:vAlign w:val="bottom"/>
          </w:tcPr>
          <w:p>
            <w:pPr>
              <w:spacing w:after="0"/>
              <w:rPr>
                <w:sz w:val="18"/>
                <w:szCs w:val="18"/>
                <w:color w:val="auto"/>
              </w:rPr>
            </w:pPr>
          </w:p>
        </w:tc>
        <w:tc>
          <w:tcPr>
            <w:tcW w:w="9860" w:type="dxa"/>
            <w:vAlign w:val="bottom"/>
          </w:tcPr>
          <w:p>
            <w:pPr>
              <w:ind w:left="660"/>
              <w:spacing w:after="0"/>
              <w:rPr>
                <w:rFonts w:ascii="Arial" w:cs="Arial" w:eastAsia="Arial" w:hAnsi="Arial"/>
                <w:sz w:val="13"/>
                <w:szCs w:val="13"/>
                <w:color w:val="auto"/>
              </w:rPr>
            </w:pPr>
            <w:hyperlink w:anchor="page4">
              <w:r>
                <w:rPr>
                  <w:rFonts w:ascii="Arial" w:cs="Arial" w:eastAsia="Arial" w:hAnsi="Arial"/>
                  <w:sz w:val="13"/>
                  <w:szCs w:val="13"/>
                  <w:color w:val="auto"/>
                </w:rPr>
                <w:t>Consolidated Balance Sheets</w:t>
              </w:r>
            </w:hyperlink>
          </w:p>
        </w:tc>
        <w:tc>
          <w:tcPr>
            <w:tcW w:w="300" w:type="dxa"/>
            <w:vAlign w:val="bottom"/>
          </w:tcPr>
          <w:p>
            <w:pPr>
              <w:jc w:val="center"/>
              <w:spacing w:after="0"/>
              <w:rPr>
                <w:rFonts w:ascii="Arial" w:cs="Arial" w:eastAsia="Arial" w:hAnsi="Arial"/>
                <w:sz w:val="13"/>
                <w:szCs w:val="13"/>
                <w:u w:val="single" w:color="auto"/>
                <w:color w:val="0000EE"/>
                <w:w w:val="82"/>
              </w:rPr>
            </w:pPr>
            <w:hyperlink w:anchor="page4">
              <w:r>
                <w:rPr>
                  <w:rFonts w:ascii="Arial" w:cs="Arial" w:eastAsia="Arial" w:hAnsi="Arial"/>
                  <w:sz w:val="13"/>
                  <w:szCs w:val="13"/>
                  <w:u w:val="single" w:color="auto"/>
                  <w:color w:val="0000EE"/>
                  <w:w w:val="82"/>
                </w:rPr>
                <w:t>2</w:t>
              </w:r>
            </w:hyperlink>
          </w:p>
        </w:tc>
      </w:tr>
      <w:tr>
        <w:trPr>
          <w:trHeight w:val="212"/>
        </w:trPr>
        <w:tc>
          <w:tcPr>
            <w:tcW w:w="860" w:type="dxa"/>
            <w:vAlign w:val="bottom"/>
          </w:tcPr>
          <w:p>
            <w:pPr>
              <w:spacing w:after="0"/>
              <w:rPr>
                <w:sz w:val="18"/>
                <w:szCs w:val="18"/>
                <w:color w:val="auto"/>
              </w:rPr>
            </w:pPr>
          </w:p>
        </w:tc>
        <w:tc>
          <w:tcPr>
            <w:tcW w:w="9860" w:type="dxa"/>
            <w:vAlign w:val="bottom"/>
          </w:tcPr>
          <w:p>
            <w:pPr>
              <w:ind w:left="660"/>
              <w:spacing w:after="0"/>
              <w:rPr>
                <w:rFonts w:ascii="Arial" w:cs="Arial" w:eastAsia="Arial" w:hAnsi="Arial"/>
                <w:sz w:val="13"/>
                <w:szCs w:val="13"/>
                <w:color w:val="auto"/>
              </w:rPr>
            </w:pPr>
            <w:hyperlink w:anchor="page5">
              <w:r>
                <w:rPr>
                  <w:rFonts w:ascii="Arial" w:cs="Arial" w:eastAsia="Arial" w:hAnsi="Arial"/>
                  <w:sz w:val="13"/>
                  <w:szCs w:val="13"/>
                  <w:color w:val="auto"/>
                </w:rPr>
                <w:t>Consolidated Statements of Income</w:t>
              </w:r>
            </w:hyperlink>
          </w:p>
        </w:tc>
        <w:tc>
          <w:tcPr>
            <w:tcW w:w="300" w:type="dxa"/>
            <w:vAlign w:val="bottom"/>
          </w:tcPr>
          <w:p>
            <w:pPr>
              <w:jc w:val="center"/>
              <w:spacing w:after="0"/>
              <w:rPr>
                <w:rFonts w:ascii="Arial" w:cs="Arial" w:eastAsia="Arial" w:hAnsi="Arial"/>
                <w:sz w:val="13"/>
                <w:szCs w:val="13"/>
                <w:u w:val="single" w:color="auto"/>
                <w:color w:val="0000EE"/>
                <w:w w:val="82"/>
              </w:rPr>
            </w:pPr>
            <w:hyperlink w:anchor="page5">
              <w:r>
                <w:rPr>
                  <w:rFonts w:ascii="Arial" w:cs="Arial" w:eastAsia="Arial" w:hAnsi="Arial"/>
                  <w:sz w:val="13"/>
                  <w:szCs w:val="13"/>
                  <w:u w:val="single" w:color="auto"/>
                  <w:color w:val="0000EE"/>
                  <w:w w:val="82"/>
                </w:rPr>
                <w:t>3</w:t>
              </w:r>
            </w:hyperlink>
          </w:p>
        </w:tc>
      </w:tr>
      <w:tr>
        <w:trPr>
          <w:trHeight w:val="212"/>
        </w:trPr>
        <w:tc>
          <w:tcPr>
            <w:tcW w:w="860" w:type="dxa"/>
            <w:vAlign w:val="bottom"/>
          </w:tcPr>
          <w:p>
            <w:pPr>
              <w:spacing w:after="0"/>
              <w:rPr>
                <w:sz w:val="18"/>
                <w:szCs w:val="18"/>
                <w:color w:val="auto"/>
              </w:rPr>
            </w:pPr>
          </w:p>
        </w:tc>
        <w:tc>
          <w:tcPr>
            <w:tcW w:w="9860" w:type="dxa"/>
            <w:vAlign w:val="bottom"/>
          </w:tcPr>
          <w:p>
            <w:pPr>
              <w:ind w:left="660"/>
              <w:spacing w:after="0"/>
              <w:rPr>
                <w:rFonts w:ascii="Arial" w:cs="Arial" w:eastAsia="Arial" w:hAnsi="Arial"/>
                <w:sz w:val="13"/>
                <w:szCs w:val="13"/>
                <w:color w:val="auto"/>
              </w:rPr>
            </w:pPr>
            <w:hyperlink w:anchor="page6">
              <w:r>
                <w:rPr>
                  <w:rFonts w:ascii="Arial" w:cs="Arial" w:eastAsia="Arial" w:hAnsi="Arial"/>
                  <w:sz w:val="13"/>
                  <w:szCs w:val="13"/>
                  <w:color w:val="auto"/>
                </w:rPr>
                <w:t>Consolidated Statements of Comprehensive Income</w:t>
              </w:r>
            </w:hyperlink>
          </w:p>
        </w:tc>
        <w:tc>
          <w:tcPr>
            <w:tcW w:w="300" w:type="dxa"/>
            <w:vAlign w:val="bottom"/>
          </w:tcPr>
          <w:p>
            <w:pPr>
              <w:jc w:val="center"/>
              <w:spacing w:after="0"/>
              <w:rPr>
                <w:rFonts w:ascii="Arial" w:cs="Arial" w:eastAsia="Arial" w:hAnsi="Arial"/>
                <w:sz w:val="13"/>
                <w:szCs w:val="13"/>
                <w:u w:val="single" w:color="auto"/>
                <w:color w:val="0000EE"/>
                <w:w w:val="82"/>
              </w:rPr>
            </w:pPr>
            <w:hyperlink w:anchor="page6">
              <w:r>
                <w:rPr>
                  <w:rFonts w:ascii="Arial" w:cs="Arial" w:eastAsia="Arial" w:hAnsi="Arial"/>
                  <w:sz w:val="13"/>
                  <w:szCs w:val="13"/>
                  <w:u w:val="single" w:color="auto"/>
                  <w:color w:val="0000EE"/>
                  <w:w w:val="82"/>
                </w:rPr>
                <w:t>4</w:t>
              </w:r>
            </w:hyperlink>
          </w:p>
        </w:tc>
      </w:tr>
      <w:tr>
        <w:trPr>
          <w:trHeight w:val="212"/>
        </w:trPr>
        <w:tc>
          <w:tcPr>
            <w:tcW w:w="860" w:type="dxa"/>
            <w:vAlign w:val="bottom"/>
          </w:tcPr>
          <w:p>
            <w:pPr>
              <w:spacing w:after="0"/>
              <w:rPr>
                <w:sz w:val="18"/>
                <w:szCs w:val="18"/>
                <w:color w:val="auto"/>
              </w:rPr>
            </w:pPr>
          </w:p>
        </w:tc>
        <w:tc>
          <w:tcPr>
            <w:tcW w:w="9860" w:type="dxa"/>
            <w:vAlign w:val="bottom"/>
          </w:tcPr>
          <w:p>
            <w:pPr>
              <w:ind w:left="660"/>
              <w:spacing w:after="0"/>
              <w:rPr>
                <w:rFonts w:ascii="Arial" w:cs="Arial" w:eastAsia="Arial" w:hAnsi="Arial"/>
                <w:sz w:val="13"/>
                <w:szCs w:val="13"/>
                <w:color w:val="auto"/>
              </w:rPr>
            </w:pPr>
            <w:hyperlink w:anchor="page7">
              <w:r>
                <w:rPr>
                  <w:rFonts w:ascii="Arial" w:cs="Arial" w:eastAsia="Arial" w:hAnsi="Arial"/>
                  <w:sz w:val="13"/>
                  <w:szCs w:val="13"/>
                  <w:color w:val="auto"/>
                </w:rPr>
                <w:t>Consolidated Statements of Changes in Stockholders’ Equity</w:t>
              </w:r>
            </w:hyperlink>
          </w:p>
        </w:tc>
        <w:tc>
          <w:tcPr>
            <w:tcW w:w="300" w:type="dxa"/>
            <w:vAlign w:val="bottom"/>
          </w:tcPr>
          <w:p>
            <w:pPr>
              <w:jc w:val="center"/>
              <w:spacing w:after="0"/>
              <w:rPr>
                <w:rFonts w:ascii="Arial" w:cs="Arial" w:eastAsia="Arial" w:hAnsi="Arial"/>
                <w:sz w:val="13"/>
                <w:szCs w:val="13"/>
                <w:u w:val="single" w:color="auto"/>
                <w:color w:val="0000EE"/>
                <w:w w:val="82"/>
              </w:rPr>
            </w:pPr>
            <w:hyperlink w:anchor="page7">
              <w:r>
                <w:rPr>
                  <w:rFonts w:ascii="Arial" w:cs="Arial" w:eastAsia="Arial" w:hAnsi="Arial"/>
                  <w:sz w:val="13"/>
                  <w:szCs w:val="13"/>
                  <w:u w:val="single" w:color="auto"/>
                  <w:color w:val="0000EE"/>
                  <w:w w:val="82"/>
                </w:rPr>
                <w:t>5</w:t>
              </w:r>
            </w:hyperlink>
          </w:p>
        </w:tc>
      </w:tr>
      <w:tr>
        <w:trPr>
          <w:trHeight w:val="212"/>
        </w:trPr>
        <w:tc>
          <w:tcPr>
            <w:tcW w:w="860" w:type="dxa"/>
            <w:vAlign w:val="bottom"/>
          </w:tcPr>
          <w:p>
            <w:pPr>
              <w:spacing w:after="0"/>
              <w:rPr>
                <w:sz w:val="18"/>
                <w:szCs w:val="18"/>
                <w:color w:val="auto"/>
              </w:rPr>
            </w:pPr>
          </w:p>
        </w:tc>
        <w:tc>
          <w:tcPr>
            <w:tcW w:w="9860" w:type="dxa"/>
            <w:vAlign w:val="bottom"/>
          </w:tcPr>
          <w:p>
            <w:pPr>
              <w:ind w:left="660"/>
              <w:spacing w:after="0"/>
              <w:rPr>
                <w:rFonts w:ascii="Arial" w:cs="Arial" w:eastAsia="Arial" w:hAnsi="Arial"/>
                <w:sz w:val="13"/>
                <w:szCs w:val="13"/>
                <w:color w:val="auto"/>
              </w:rPr>
            </w:pPr>
            <w:hyperlink w:anchor="page8">
              <w:r>
                <w:rPr>
                  <w:rFonts w:ascii="Arial" w:cs="Arial" w:eastAsia="Arial" w:hAnsi="Arial"/>
                  <w:sz w:val="13"/>
                  <w:szCs w:val="13"/>
                  <w:color w:val="auto"/>
                </w:rPr>
                <w:t>Consolidated Statements of Cash Flows</w:t>
              </w:r>
            </w:hyperlink>
          </w:p>
        </w:tc>
        <w:tc>
          <w:tcPr>
            <w:tcW w:w="300" w:type="dxa"/>
            <w:vAlign w:val="bottom"/>
          </w:tcPr>
          <w:p>
            <w:pPr>
              <w:jc w:val="center"/>
              <w:spacing w:after="0"/>
              <w:rPr>
                <w:rFonts w:ascii="Arial" w:cs="Arial" w:eastAsia="Arial" w:hAnsi="Arial"/>
                <w:sz w:val="13"/>
                <w:szCs w:val="13"/>
                <w:u w:val="single" w:color="auto"/>
                <w:color w:val="0000EE"/>
                <w:w w:val="82"/>
              </w:rPr>
            </w:pPr>
            <w:hyperlink w:anchor="page8">
              <w:r>
                <w:rPr>
                  <w:rFonts w:ascii="Arial" w:cs="Arial" w:eastAsia="Arial" w:hAnsi="Arial"/>
                  <w:sz w:val="13"/>
                  <w:szCs w:val="13"/>
                  <w:u w:val="single" w:color="auto"/>
                  <w:color w:val="0000EE"/>
                  <w:w w:val="82"/>
                </w:rPr>
                <w:t>6</w:t>
              </w:r>
            </w:hyperlink>
          </w:p>
        </w:tc>
      </w:tr>
      <w:tr>
        <w:trPr>
          <w:trHeight w:val="212"/>
        </w:trPr>
        <w:tc>
          <w:tcPr>
            <w:tcW w:w="860" w:type="dxa"/>
            <w:vAlign w:val="bottom"/>
          </w:tcPr>
          <w:p>
            <w:pPr>
              <w:spacing w:after="0"/>
              <w:rPr>
                <w:sz w:val="18"/>
                <w:szCs w:val="18"/>
                <w:color w:val="auto"/>
              </w:rPr>
            </w:pPr>
          </w:p>
        </w:tc>
        <w:tc>
          <w:tcPr>
            <w:tcW w:w="9860" w:type="dxa"/>
            <w:vAlign w:val="bottom"/>
          </w:tcPr>
          <w:p>
            <w:pPr>
              <w:ind w:left="660"/>
              <w:spacing w:after="0"/>
              <w:rPr>
                <w:rFonts w:ascii="Arial" w:cs="Arial" w:eastAsia="Arial" w:hAnsi="Arial"/>
                <w:sz w:val="13"/>
                <w:szCs w:val="13"/>
                <w:color w:val="auto"/>
              </w:rPr>
            </w:pPr>
            <w:hyperlink w:anchor="page10">
              <w:r>
                <w:rPr>
                  <w:rFonts w:ascii="Arial" w:cs="Arial" w:eastAsia="Arial" w:hAnsi="Arial"/>
                  <w:sz w:val="13"/>
                  <w:szCs w:val="13"/>
                  <w:color w:val="auto"/>
                </w:rPr>
                <w:t>Notes to Consolidated Financial Statements</w:t>
              </w:r>
            </w:hyperlink>
          </w:p>
        </w:tc>
        <w:tc>
          <w:tcPr>
            <w:tcW w:w="300" w:type="dxa"/>
            <w:vAlign w:val="bottom"/>
          </w:tcPr>
          <w:p>
            <w:pPr>
              <w:jc w:val="center"/>
              <w:spacing w:after="0"/>
              <w:rPr>
                <w:rFonts w:ascii="Arial" w:cs="Arial" w:eastAsia="Arial" w:hAnsi="Arial"/>
                <w:sz w:val="13"/>
                <w:szCs w:val="13"/>
                <w:u w:val="single" w:color="auto"/>
                <w:color w:val="0000EE"/>
                <w:w w:val="82"/>
              </w:rPr>
            </w:pPr>
            <w:hyperlink w:anchor="page10">
              <w:r>
                <w:rPr>
                  <w:rFonts w:ascii="Arial" w:cs="Arial" w:eastAsia="Arial" w:hAnsi="Arial"/>
                  <w:sz w:val="13"/>
                  <w:szCs w:val="13"/>
                  <w:u w:val="single" w:color="auto"/>
                  <w:color w:val="0000EE"/>
                  <w:w w:val="82"/>
                </w:rPr>
                <w:t>8</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2.</w:t>
            </w:r>
          </w:p>
        </w:tc>
        <w:tc>
          <w:tcPr>
            <w:tcW w:w="9860" w:type="dxa"/>
            <w:vAlign w:val="bottom"/>
          </w:tcPr>
          <w:p>
            <w:pPr>
              <w:ind w:left="38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300" w:type="dxa"/>
            <w:vAlign w:val="bottom"/>
          </w:tcPr>
          <w:p>
            <w:pPr>
              <w:jc w:val="center"/>
              <w:spacing w:after="0"/>
              <w:rPr>
                <w:rFonts w:ascii="Arial" w:cs="Arial" w:eastAsia="Arial" w:hAnsi="Arial"/>
                <w:sz w:val="13"/>
                <w:szCs w:val="13"/>
                <w:u w:val="single" w:color="auto"/>
                <w:color w:val="0000EE"/>
                <w:w w:val="96"/>
              </w:rPr>
            </w:pPr>
            <w:hyperlink w:anchor="page41">
              <w:r>
                <w:rPr>
                  <w:rFonts w:ascii="Arial" w:cs="Arial" w:eastAsia="Arial" w:hAnsi="Arial"/>
                  <w:sz w:val="13"/>
                  <w:szCs w:val="13"/>
                  <w:u w:val="single" w:color="auto"/>
                  <w:color w:val="0000EE"/>
                  <w:w w:val="96"/>
                </w:rPr>
                <w:t>39</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3.</w:t>
            </w:r>
          </w:p>
        </w:tc>
        <w:tc>
          <w:tcPr>
            <w:tcW w:w="9860" w:type="dxa"/>
            <w:vAlign w:val="bottom"/>
          </w:tcPr>
          <w:p>
            <w:pPr>
              <w:ind w:left="380"/>
              <w:spacing w:after="0"/>
              <w:rPr>
                <w:sz w:val="20"/>
                <w:szCs w:val="20"/>
                <w:color w:val="auto"/>
              </w:rPr>
            </w:pPr>
            <w:r>
              <w:rPr>
                <w:rFonts w:ascii="Arial" w:cs="Arial" w:eastAsia="Arial" w:hAnsi="Arial"/>
                <w:sz w:val="13"/>
                <w:szCs w:val="13"/>
                <w:color w:val="auto"/>
              </w:rPr>
              <w:t>Quantitative and Qualitative Disclosures about Market Risk</w:t>
            </w:r>
          </w:p>
        </w:tc>
        <w:tc>
          <w:tcPr>
            <w:tcW w:w="300" w:type="dxa"/>
            <w:vAlign w:val="bottom"/>
          </w:tcPr>
          <w:p>
            <w:pPr>
              <w:jc w:val="center"/>
              <w:spacing w:after="0"/>
              <w:rPr>
                <w:rFonts w:ascii="Arial" w:cs="Arial" w:eastAsia="Arial" w:hAnsi="Arial"/>
                <w:sz w:val="13"/>
                <w:szCs w:val="13"/>
                <w:u w:val="single" w:color="auto"/>
                <w:color w:val="0000EE"/>
                <w:w w:val="96"/>
              </w:rPr>
            </w:pPr>
            <w:hyperlink w:anchor="page65">
              <w:r>
                <w:rPr>
                  <w:rFonts w:ascii="Arial" w:cs="Arial" w:eastAsia="Arial" w:hAnsi="Arial"/>
                  <w:sz w:val="13"/>
                  <w:szCs w:val="13"/>
                  <w:u w:val="single" w:color="auto"/>
                  <w:color w:val="0000EE"/>
                  <w:w w:val="96"/>
                </w:rPr>
                <w:t>63</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4.</w:t>
            </w:r>
          </w:p>
        </w:tc>
        <w:tc>
          <w:tcPr>
            <w:tcW w:w="9860" w:type="dxa"/>
            <w:vAlign w:val="bottom"/>
          </w:tcPr>
          <w:p>
            <w:pPr>
              <w:ind w:left="380"/>
              <w:spacing w:after="0"/>
              <w:rPr>
                <w:sz w:val="20"/>
                <w:szCs w:val="20"/>
                <w:color w:val="auto"/>
              </w:rPr>
            </w:pPr>
            <w:r>
              <w:rPr>
                <w:rFonts w:ascii="Arial" w:cs="Arial" w:eastAsia="Arial" w:hAnsi="Arial"/>
                <w:sz w:val="13"/>
                <w:szCs w:val="13"/>
                <w:color w:val="auto"/>
              </w:rPr>
              <w:t>Controls and Procedures</w:t>
            </w:r>
          </w:p>
        </w:tc>
        <w:tc>
          <w:tcPr>
            <w:tcW w:w="300" w:type="dxa"/>
            <w:vAlign w:val="bottom"/>
          </w:tcPr>
          <w:p>
            <w:pPr>
              <w:jc w:val="center"/>
              <w:spacing w:after="0"/>
              <w:rPr>
                <w:rFonts w:ascii="Arial" w:cs="Arial" w:eastAsia="Arial" w:hAnsi="Arial"/>
                <w:sz w:val="13"/>
                <w:szCs w:val="13"/>
                <w:u w:val="single" w:color="auto"/>
                <w:color w:val="0000EE"/>
                <w:w w:val="96"/>
              </w:rPr>
            </w:pPr>
            <w:hyperlink w:anchor="page68">
              <w:r>
                <w:rPr>
                  <w:rFonts w:ascii="Arial" w:cs="Arial" w:eastAsia="Arial" w:hAnsi="Arial"/>
                  <w:sz w:val="13"/>
                  <w:szCs w:val="13"/>
                  <w:u w:val="single" w:color="auto"/>
                  <w:color w:val="0000EE"/>
                  <w:w w:val="96"/>
                </w:rPr>
                <w:t>66</w:t>
              </w:r>
            </w:hyperlink>
          </w:p>
        </w:tc>
      </w:tr>
      <w:tr>
        <w:trPr>
          <w:trHeight w:val="212"/>
        </w:trPr>
        <w:tc>
          <w:tcPr>
            <w:tcW w:w="10720" w:type="dxa"/>
            <w:vAlign w:val="bottom"/>
            <w:gridSpan w:val="2"/>
          </w:tcPr>
          <w:p>
            <w:pPr>
              <w:spacing w:after="0"/>
              <w:rPr>
                <w:sz w:val="20"/>
                <w:szCs w:val="20"/>
                <w:color w:val="auto"/>
              </w:rPr>
            </w:pPr>
            <w:r>
              <w:rPr>
                <w:rFonts w:ascii="Arial" w:cs="Arial" w:eastAsia="Arial" w:hAnsi="Arial"/>
                <w:sz w:val="13"/>
                <w:szCs w:val="13"/>
                <w:b w:val="1"/>
                <w:bCs w:val="1"/>
                <w:color w:val="auto"/>
              </w:rPr>
              <w:t>PART II - OTHER INFORMATION</w:t>
            </w:r>
          </w:p>
        </w:tc>
        <w:tc>
          <w:tcPr>
            <w:tcW w:w="300" w:type="dxa"/>
            <w:vAlign w:val="bottom"/>
          </w:tcPr>
          <w:p>
            <w:pPr>
              <w:spacing w:after="0"/>
              <w:rPr>
                <w:sz w:val="18"/>
                <w:szCs w:val="18"/>
                <w:color w:val="auto"/>
              </w:rPr>
            </w:pPr>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1.</w:t>
            </w:r>
          </w:p>
        </w:tc>
        <w:tc>
          <w:tcPr>
            <w:tcW w:w="9860" w:type="dxa"/>
            <w:vAlign w:val="bottom"/>
          </w:tcPr>
          <w:p>
            <w:pPr>
              <w:ind w:left="380"/>
              <w:spacing w:after="0"/>
              <w:rPr>
                <w:sz w:val="20"/>
                <w:szCs w:val="20"/>
                <w:color w:val="auto"/>
              </w:rPr>
            </w:pPr>
            <w:r>
              <w:rPr>
                <w:rFonts w:ascii="Arial" w:cs="Arial" w:eastAsia="Arial" w:hAnsi="Arial"/>
                <w:sz w:val="13"/>
                <w:szCs w:val="13"/>
                <w:color w:val="auto"/>
              </w:rPr>
              <w:t>Legal Proceedings</w:t>
            </w:r>
          </w:p>
        </w:tc>
        <w:tc>
          <w:tcPr>
            <w:tcW w:w="300" w:type="dxa"/>
            <w:vAlign w:val="bottom"/>
          </w:tcPr>
          <w:p>
            <w:pPr>
              <w:jc w:val="center"/>
              <w:spacing w:after="0"/>
              <w:rPr>
                <w:rFonts w:ascii="Arial" w:cs="Arial" w:eastAsia="Arial" w:hAnsi="Arial"/>
                <w:sz w:val="13"/>
                <w:szCs w:val="13"/>
                <w:u w:val="single" w:color="auto"/>
                <w:color w:val="0000EE"/>
                <w:w w:val="96"/>
              </w:rPr>
            </w:pPr>
            <w:hyperlink w:anchor="page69">
              <w:r>
                <w:rPr>
                  <w:rFonts w:ascii="Arial" w:cs="Arial" w:eastAsia="Arial" w:hAnsi="Arial"/>
                  <w:sz w:val="13"/>
                  <w:szCs w:val="13"/>
                  <w:u w:val="single" w:color="auto"/>
                  <w:color w:val="0000EE"/>
                  <w:w w:val="96"/>
                </w:rPr>
                <w:t>67</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1A.</w:t>
            </w:r>
          </w:p>
        </w:tc>
        <w:tc>
          <w:tcPr>
            <w:tcW w:w="9860" w:type="dxa"/>
            <w:vAlign w:val="bottom"/>
          </w:tcPr>
          <w:p>
            <w:pPr>
              <w:ind w:left="380"/>
              <w:spacing w:after="0"/>
              <w:rPr>
                <w:sz w:val="20"/>
                <w:szCs w:val="20"/>
                <w:color w:val="auto"/>
              </w:rPr>
            </w:pPr>
            <w:r>
              <w:rPr>
                <w:rFonts w:ascii="Arial" w:cs="Arial" w:eastAsia="Arial" w:hAnsi="Arial"/>
                <w:sz w:val="13"/>
                <w:szCs w:val="13"/>
                <w:color w:val="auto"/>
              </w:rPr>
              <w:t>Risk Factors</w:t>
            </w:r>
          </w:p>
        </w:tc>
        <w:tc>
          <w:tcPr>
            <w:tcW w:w="300" w:type="dxa"/>
            <w:vAlign w:val="bottom"/>
          </w:tcPr>
          <w:p>
            <w:pPr>
              <w:jc w:val="center"/>
              <w:spacing w:after="0"/>
              <w:rPr>
                <w:rFonts w:ascii="Arial" w:cs="Arial" w:eastAsia="Arial" w:hAnsi="Arial"/>
                <w:sz w:val="13"/>
                <w:szCs w:val="13"/>
                <w:u w:val="single" w:color="auto"/>
                <w:color w:val="0000EE"/>
                <w:w w:val="96"/>
              </w:rPr>
            </w:pPr>
            <w:hyperlink w:anchor="page69">
              <w:r>
                <w:rPr>
                  <w:rFonts w:ascii="Arial" w:cs="Arial" w:eastAsia="Arial" w:hAnsi="Arial"/>
                  <w:sz w:val="13"/>
                  <w:szCs w:val="13"/>
                  <w:u w:val="single" w:color="auto"/>
                  <w:color w:val="0000EE"/>
                  <w:w w:val="96"/>
                </w:rPr>
                <w:t>67</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2.</w:t>
            </w:r>
          </w:p>
        </w:tc>
        <w:tc>
          <w:tcPr>
            <w:tcW w:w="9860" w:type="dxa"/>
            <w:vAlign w:val="bottom"/>
          </w:tcPr>
          <w:p>
            <w:pPr>
              <w:ind w:left="380"/>
              <w:spacing w:after="0"/>
              <w:rPr>
                <w:sz w:val="20"/>
                <w:szCs w:val="20"/>
                <w:color w:val="auto"/>
              </w:rPr>
            </w:pPr>
            <w:r>
              <w:rPr>
                <w:rFonts w:ascii="Arial" w:cs="Arial" w:eastAsia="Arial" w:hAnsi="Arial"/>
                <w:sz w:val="13"/>
                <w:szCs w:val="13"/>
                <w:color w:val="auto"/>
              </w:rPr>
              <w:t>Unregistered Sales of Equity Securities and Use of Proceeds</w:t>
            </w:r>
          </w:p>
        </w:tc>
        <w:tc>
          <w:tcPr>
            <w:tcW w:w="300" w:type="dxa"/>
            <w:vAlign w:val="bottom"/>
          </w:tcPr>
          <w:p>
            <w:pPr>
              <w:jc w:val="center"/>
              <w:spacing w:after="0"/>
              <w:rPr>
                <w:rFonts w:ascii="Arial" w:cs="Arial" w:eastAsia="Arial" w:hAnsi="Arial"/>
                <w:sz w:val="13"/>
                <w:szCs w:val="13"/>
                <w:u w:val="single" w:color="auto"/>
                <w:color w:val="0000EE"/>
                <w:w w:val="96"/>
              </w:rPr>
            </w:pPr>
            <w:hyperlink w:anchor="page71">
              <w:r>
                <w:rPr>
                  <w:rFonts w:ascii="Arial" w:cs="Arial" w:eastAsia="Arial" w:hAnsi="Arial"/>
                  <w:sz w:val="13"/>
                  <w:szCs w:val="13"/>
                  <w:u w:val="single" w:color="auto"/>
                  <w:color w:val="0000EE"/>
                  <w:w w:val="96"/>
                </w:rPr>
                <w:t>69</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3.</w:t>
            </w:r>
          </w:p>
        </w:tc>
        <w:tc>
          <w:tcPr>
            <w:tcW w:w="9860" w:type="dxa"/>
            <w:vAlign w:val="bottom"/>
          </w:tcPr>
          <w:p>
            <w:pPr>
              <w:ind w:left="380"/>
              <w:spacing w:after="0"/>
              <w:rPr>
                <w:sz w:val="20"/>
                <w:szCs w:val="20"/>
                <w:color w:val="auto"/>
              </w:rPr>
            </w:pPr>
            <w:r>
              <w:rPr>
                <w:rFonts w:ascii="Arial" w:cs="Arial" w:eastAsia="Arial" w:hAnsi="Arial"/>
                <w:sz w:val="13"/>
                <w:szCs w:val="13"/>
                <w:color w:val="auto"/>
              </w:rPr>
              <w:t>Defaults upon Senior Securities</w:t>
            </w:r>
          </w:p>
        </w:tc>
        <w:tc>
          <w:tcPr>
            <w:tcW w:w="300" w:type="dxa"/>
            <w:vAlign w:val="bottom"/>
          </w:tcPr>
          <w:p>
            <w:pPr>
              <w:jc w:val="center"/>
              <w:spacing w:after="0"/>
              <w:rPr>
                <w:rFonts w:ascii="Arial" w:cs="Arial" w:eastAsia="Arial" w:hAnsi="Arial"/>
                <w:sz w:val="13"/>
                <w:szCs w:val="13"/>
                <w:u w:val="single" w:color="auto"/>
                <w:color w:val="0000EE"/>
                <w:w w:val="96"/>
              </w:rPr>
            </w:pPr>
            <w:hyperlink w:anchor="page72">
              <w:r>
                <w:rPr>
                  <w:rFonts w:ascii="Arial" w:cs="Arial" w:eastAsia="Arial" w:hAnsi="Arial"/>
                  <w:sz w:val="13"/>
                  <w:szCs w:val="13"/>
                  <w:u w:val="single" w:color="auto"/>
                  <w:color w:val="0000EE"/>
                  <w:w w:val="96"/>
                </w:rPr>
                <w:t>70</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4.</w:t>
            </w:r>
          </w:p>
        </w:tc>
        <w:tc>
          <w:tcPr>
            <w:tcW w:w="9860" w:type="dxa"/>
            <w:vAlign w:val="bottom"/>
          </w:tcPr>
          <w:p>
            <w:pPr>
              <w:ind w:left="380"/>
              <w:spacing w:after="0"/>
              <w:rPr>
                <w:sz w:val="20"/>
                <w:szCs w:val="20"/>
                <w:color w:val="auto"/>
              </w:rPr>
            </w:pPr>
            <w:r>
              <w:rPr>
                <w:rFonts w:ascii="Arial" w:cs="Arial" w:eastAsia="Arial" w:hAnsi="Arial"/>
                <w:sz w:val="13"/>
                <w:szCs w:val="13"/>
                <w:color w:val="auto"/>
              </w:rPr>
              <w:t>Mine Safety Disclosures</w:t>
            </w:r>
          </w:p>
        </w:tc>
        <w:tc>
          <w:tcPr>
            <w:tcW w:w="300" w:type="dxa"/>
            <w:vAlign w:val="bottom"/>
          </w:tcPr>
          <w:p>
            <w:pPr>
              <w:jc w:val="center"/>
              <w:spacing w:after="0"/>
              <w:rPr>
                <w:rFonts w:ascii="Arial" w:cs="Arial" w:eastAsia="Arial" w:hAnsi="Arial"/>
                <w:sz w:val="13"/>
                <w:szCs w:val="13"/>
                <w:u w:val="single" w:color="auto"/>
                <w:color w:val="0000EE"/>
                <w:w w:val="96"/>
              </w:rPr>
            </w:pPr>
            <w:hyperlink w:anchor="page72">
              <w:r>
                <w:rPr>
                  <w:rFonts w:ascii="Arial" w:cs="Arial" w:eastAsia="Arial" w:hAnsi="Arial"/>
                  <w:sz w:val="13"/>
                  <w:szCs w:val="13"/>
                  <w:u w:val="single" w:color="auto"/>
                  <w:color w:val="0000EE"/>
                  <w:w w:val="96"/>
                </w:rPr>
                <w:t>70</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5.</w:t>
            </w:r>
          </w:p>
        </w:tc>
        <w:tc>
          <w:tcPr>
            <w:tcW w:w="9860" w:type="dxa"/>
            <w:vAlign w:val="bottom"/>
          </w:tcPr>
          <w:p>
            <w:pPr>
              <w:ind w:left="380"/>
              <w:spacing w:after="0"/>
              <w:rPr>
                <w:sz w:val="20"/>
                <w:szCs w:val="20"/>
                <w:color w:val="auto"/>
              </w:rPr>
            </w:pPr>
            <w:r>
              <w:rPr>
                <w:rFonts w:ascii="Arial" w:cs="Arial" w:eastAsia="Arial" w:hAnsi="Arial"/>
                <w:sz w:val="13"/>
                <w:szCs w:val="13"/>
                <w:color w:val="auto"/>
              </w:rPr>
              <w:t>Other Information</w:t>
            </w:r>
          </w:p>
        </w:tc>
        <w:tc>
          <w:tcPr>
            <w:tcW w:w="300" w:type="dxa"/>
            <w:vAlign w:val="bottom"/>
          </w:tcPr>
          <w:p>
            <w:pPr>
              <w:jc w:val="center"/>
              <w:spacing w:after="0"/>
              <w:rPr>
                <w:rFonts w:ascii="Arial" w:cs="Arial" w:eastAsia="Arial" w:hAnsi="Arial"/>
                <w:sz w:val="13"/>
                <w:szCs w:val="13"/>
                <w:u w:val="single" w:color="auto"/>
                <w:color w:val="0000EE"/>
                <w:w w:val="96"/>
              </w:rPr>
            </w:pPr>
            <w:hyperlink w:anchor="page72">
              <w:r>
                <w:rPr>
                  <w:rFonts w:ascii="Arial" w:cs="Arial" w:eastAsia="Arial" w:hAnsi="Arial"/>
                  <w:sz w:val="13"/>
                  <w:szCs w:val="13"/>
                  <w:u w:val="single" w:color="auto"/>
                  <w:color w:val="0000EE"/>
                  <w:w w:val="96"/>
                </w:rPr>
                <w:t>70</w:t>
              </w:r>
            </w:hyperlink>
          </w:p>
        </w:tc>
      </w:tr>
      <w:tr>
        <w:trPr>
          <w:trHeight w:val="191"/>
        </w:trPr>
        <w:tc>
          <w:tcPr>
            <w:tcW w:w="860" w:type="dxa"/>
            <w:vAlign w:val="bottom"/>
          </w:tcPr>
          <w:p>
            <w:pPr>
              <w:spacing w:after="0"/>
              <w:rPr>
                <w:sz w:val="20"/>
                <w:szCs w:val="20"/>
                <w:color w:val="auto"/>
              </w:rPr>
            </w:pPr>
            <w:r>
              <w:rPr>
                <w:rFonts w:ascii="Arial" w:cs="Arial" w:eastAsia="Arial" w:hAnsi="Arial"/>
                <w:sz w:val="13"/>
                <w:szCs w:val="13"/>
                <w:color w:val="auto"/>
              </w:rPr>
              <w:t>Item 6.</w:t>
            </w:r>
          </w:p>
        </w:tc>
        <w:tc>
          <w:tcPr>
            <w:tcW w:w="9860" w:type="dxa"/>
            <w:vAlign w:val="bottom"/>
          </w:tcPr>
          <w:p>
            <w:pPr>
              <w:ind w:left="380"/>
              <w:spacing w:after="0"/>
              <w:rPr>
                <w:sz w:val="20"/>
                <w:szCs w:val="20"/>
                <w:color w:val="auto"/>
              </w:rPr>
            </w:pPr>
            <w:r>
              <w:rPr>
                <w:rFonts w:ascii="Arial" w:cs="Arial" w:eastAsia="Arial" w:hAnsi="Arial"/>
                <w:sz w:val="13"/>
                <w:szCs w:val="13"/>
                <w:color w:val="auto"/>
              </w:rPr>
              <w:t>Exhibits</w:t>
            </w:r>
          </w:p>
        </w:tc>
        <w:tc>
          <w:tcPr>
            <w:tcW w:w="300" w:type="dxa"/>
            <w:vAlign w:val="bottom"/>
          </w:tcPr>
          <w:p>
            <w:pPr>
              <w:jc w:val="center"/>
              <w:spacing w:after="0"/>
              <w:rPr>
                <w:rFonts w:ascii="Arial" w:cs="Arial" w:eastAsia="Arial" w:hAnsi="Arial"/>
                <w:sz w:val="13"/>
                <w:szCs w:val="13"/>
                <w:u w:val="single" w:color="auto"/>
                <w:color w:val="0000EE"/>
                <w:w w:val="96"/>
              </w:rPr>
            </w:pPr>
            <w:hyperlink w:anchor="page72">
              <w:r>
                <w:rPr>
                  <w:rFonts w:ascii="Arial" w:cs="Arial" w:eastAsia="Arial" w:hAnsi="Arial"/>
                  <w:sz w:val="13"/>
                  <w:szCs w:val="13"/>
                  <w:u w:val="single" w:color="auto"/>
                  <w:color w:val="0000EE"/>
                  <w:w w:val="96"/>
                </w:rPr>
                <w:t>70</w:t>
              </w:r>
            </w:hyperlink>
          </w:p>
        </w:tc>
      </w:tr>
    </w:tbl>
    <w:p>
      <w:pPr>
        <w:sectPr>
          <w:pgSz w:w="11900" w:h="16838" w:orient="portrait"/>
          <w:cols w:equalWidth="0" w:num="1">
            <w:col w:w="11020"/>
          </w:cols>
          <w:pgMar w:left="320" w:top="244" w:right="55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PART I. CONSOLIDATED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Capital Bancorp, Inc.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85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right"/>
              <w:ind w:right="104"/>
              <w:spacing w:after="0" w:line="110" w:lineRule="exact"/>
              <w:rPr>
                <w:sz w:val="20"/>
                <w:szCs w:val="20"/>
                <w:color w:val="auto"/>
              </w:rPr>
            </w:pPr>
            <w:r>
              <w:rPr>
                <w:rFonts w:ascii="Arial" w:cs="Arial" w:eastAsia="Arial" w:hAnsi="Arial"/>
                <w:sz w:val="10"/>
                <w:szCs w:val="10"/>
                <w:b w:val="1"/>
                <w:bCs w:val="1"/>
                <w:color w:val="auto"/>
              </w:rPr>
              <w:t>December 31, 2019</w:t>
            </w:r>
          </w:p>
        </w:tc>
        <w:tc>
          <w:tcPr>
            <w:tcW w:w="0" w:type="dxa"/>
            <w:vAlign w:val="bottom"/>
          </w:tcPr>
          <w:p>
            <w:pPr>
              <w:spacing w:after="0"/>
              <w:rPr>
                <w:sz w:val="1"/>
                <w:szCs w:val="1"/>
                <w:color w:val="auto"/>
              </w:rPr>
            </w:pPr>
          </w:p>
        </w:tc>
      </w:tr>
      <w:tr>
        <w:trPr>
          <w:trHeight w:val="135"/>
        </w:trPr>
        <w:tc>
          <w:tcPr>
            <w:tcW w:w="8580" w:type="dxa"/>
            <w:vAlign w:val="bottom"/>
          </w:tcPr>
          <w:p>
            <w:pPr>
              <w:ind w:left="20"/>
              <w:spacing w:after="0"/>
              <w:rPr>
                <w:sz w:val="20"/>
                <w:szCs w:val="20"/>
                <w:color w:val="auto"/>
              </w:rPr>
            </w:pPr>
            <w:r>
              <w:rPr>
                <w:rFonts w:ascii="Arial" w:cs="Arial" w:eastAsia="Arial" w:hAnsi="Arial"/>
                <w:sz w:val="8"/>
                <w:szCs w:val="8"/>
                <w:color w:val="auto"/>
              </w:rPr>
              <w:t>(in thousands except share data)</w:t>
            </w:r>
          </w:p>
        </w:tc>
        <w:tc>
          <w:tcPr>
            <w:tcW w:w="1480" w:type="dxa"/>
            <w:vAlign w:val="bottom"/>
            <w:gridSpan w:val="3"/>
          </w:tcPr>
          <w:p>
            <w:pPr>
              <w:ind w:left="40"/>
              <w:spacing w:after="0"/>
              <w:rPr>
                <w:sz w:val="20"/>
                <w:szCs w:val="20"/>
                <w:color w:val="auto"/>
              </w:rPr>
            </w:pPr>
            <w:r>
              <w:rPr>
                <w:rFonts w:ascii="Arial" w:cs="Arial" w:eastAsia="Arial" w:hAnsi="Arial"/>
                <w:sz w:val="10"/>
                <w:szCs w:val="10"/>
                <w:b w:val="1"/>
                <w:bCs w:val="1"/>
                <w:color w:val="auto"/>
              </w:rPr>
              <w:t>March 31, 2020 (unaudited)</w:t>
            </w:r>
          </w:p>
        </w:tc>
        <w:tc>
          <w:tcPr>
            <w:tcW w:w="120" w:type="dxa"/>
            <w:vAlign w:val="bottom"/>
          </w:tcPr>
          <w:p>
            <w:pPr>
              <w:spacing w:after="0"/>
              <w:rPr>
                <w:sz w:val="11"/>
                <w:szCs w:val="11"/>
                <w:color w:val="auto"/>
              </w:rPr>
            </w:pPr>
          </w:p>
        </w:tc>
        <w:tc>
          <w:tcPr>
            <w:tcW w:w="1100" w:type="dxa"/>
            <w:vAlign w:val="bottom"/>
          </w:tcPr>
          <w:p>
            <w:pPr>
              <w:jc w:val="right"/>
              <w:ind w:right="344"/>
              <w:spacing w:after="0"/>
              <w:rPr>
                <w:sz w:val="20"/>
                <w:szCs w:val="20"/>
                <w:color w:val="auto"/>
              </w:rPr>
            </w:pPr>
            <w:r>
              <w:rPr>
                <w:rFonts w:ascii="Arial" w:cs="Arial" w:eastAsia="Arial" w:hAnsi="Arial"/>
                <w:sz w:val="10"/>
                <w:szCs w:val="10"/>
                <w:b w:val="1"/>
                <w:bCs w:val="1"/>
                <w:color w:val="auto"/>
              </w:rPr>
              <w:t>(audited)</w:t>
            </w: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b w:val="1"/>
                <w:bCs w:val="1"/>
                <w:color w:val="auto"/>
              </w:rPr>
              <w:t>Assets</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due from banks</w:t>
            </w: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b w:val="1"/>
                <w:bCs w:val="1"/>
                <w:color w:val="auto"/>
                <w:w w:val="97"/>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9,578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10,530</w:t>
            </w: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color w:val="auto"/>
              </w:rPr>
              <w:t>Interest bearing deposits at other financial institutions</w:t>
            </w:r>
          </w:p>
        </w:tc>
        <w:tc>
          <w:tcPr>
            <w:tcW w:w="4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164,313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102,447</w:t>
            </w: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Federal funds sold</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979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1,847</w:t>
            </w:r>
          </w:p>
        </w:tc>
        <w:tc>
          <w:tcPr>
            <w:tcW w:w="0" w:type="dxa"/>
            <w:vAlign w:val="bottom"/>
          </w:tcPr>
          <w:p>
            <w:pPr>
              <w:spacing w:after="0"/>
              <w:rPr>
                <w:sz w:val="1"/>
                <w:szCs w:val="1"/>
                <w:color w:val="auto"/>
              </w:rPr>
            </w:pPr>
          </w:p>
        </w:tc>
      </w:tr>
      <w:tr>
        <w:trPr>
          <w:trHeight w:val="192"/>
        </w:trPr>
        <w:tc>
          <w:tcPr>
            <w:tcW w:w="8580" w:type="dxa"/>
            <w:vAlign w:val="bottom"/>
          </w:tcPr>
          <w:p>
            <w:pPr>
              <w:ind w:left="400"/>
              <w:spacing w:after="0"/>
              <w:rPr>
                <w:sz w:val="20"/>
                <w:szCs w:val="20"/>
                <w:color w:val="auto"/>
              </w:rPr>
            </w:pPr>
            <w:r>
              <w:rPr>
                <w:rFonts w:ascii="Arial" w:cs="Arial" w:eastAsia="Arial" w:hAnsi="Arial"/>
                <w:sz w:val="11"/>
                <w:szCs w:val="11"/>
                <w:color w:val="auto"/>
              </w:rPr>
              <w:t>Total cash and cash equivalents</w:t>
            </w:r>
          </w:p>
        </w:tc>
        <w:tc>
          <w:tcPr>
            <w:tcW w:w="42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174,870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114,824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securities available for sale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59,524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60,828</w:t>
            </w: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color w:val="auto"/>
              </w:rPr>
              <w:t>Restricted investments</w:t>
            </w:r>
          </w:p>
        </w:tc>
        <w:tc>
          <w:tcPr>
            <w:tcW w:w="4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4,274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3,966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Loans held for sale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73,955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71,030</w:t>
            </w: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color w:val="auto"/>
              </w:rPr>
              <w:t>Loans receivable, net of allowance for loan losses of $15,514 and $13,301 at March 31, 2020 and December 31, 2019, respectively</w:t>
            </w:r>
          </w:p>
        </w:tc>
        <w:tc>
          <w:tcPr>
            <w:tcW w:w="4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1,172,285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1,157,820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Premises and equipment, net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5,641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6,092</w:t>
            </w: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color w:val="auto"/>
              </w:rPr>
              <w:t>Accrued interest receivable</w:t>
            </w:r>
          </w:p>
        </w:tc>
        <w:tc>
          <w:tcPr>
            <w:tcW w:w="4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5,052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4,770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income taxes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3,979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4,263</w:t>
            </w: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color w:val="auto"/>
              </w:rPr>
              <w:t>Foreclosed real estate</w:t>
            </w:r>
          </w:p>
        </w:tc>
        <w:tc>
          <w:tcPr>
            <w:tcW w:w="4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3,402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2,384</w:t>
            </w: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4,865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2,518</w:t>
            </w:r>
          </w:p>
        </w:tc>
        <w:tc>
          <w:tcPr>
            <w:tcW w:w="0" w:type="dxa"/>
            <w:vAlign w:val="bottom"/>
          </w:tcPr>
          <w:p>
            <w:pPr>
              <w:spacing w:after="0"/>
              <w:rPr>
                <w:sz w:val="1"/>
                <w:szCs w:val="1"/>
                <w:color w:val="auto"/>
              </w:rPr>
            </w:pPr>
          </w:p>
        </w:tc>
      </w:tr>
      <w:tr>
        <w:trPr>
          <w:trHeight w:val="226"/>
        </w:trPr>
        <w:tc>
          <w:tcPr>
            <w:tcW w:w="858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Total assets</w:t>
            </w:r>
          </w:p>
        </w:tc>
        <w:tc>
          <w:tcPr>
            <w:tcW w:w="42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1,507,847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1,428,495</w:t>
            </w:r>
          </w:p>
        </w:tc>
        <w:tc>
          <w:tcPr>
            <w:tcW w:w="0" w:type="dxa"/>
            <w:vAlign w:val="bottom"/>
          </w:tcPr>
          <w:p>
            <w:pPr>
              <w:spacing w:after="0"/>
              <w:rPr>
                <w:sz w:val="1"/>
                <w:szCs w:val="1"/>
                <w:color w:val="auto"/>
              </w:rPr>
            </w:pPr>
          </w:p>
        </w:tc>
      </w:tr>
      <w:tr>
        <w:trPr>
          <w:trHeight w:val="184"/>
        </w:trPr>
        <w:tc>
          <w:tcPr>
            <w:tcW w:w="8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Deposits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160"/>
              <w:spacing w:after="0"/>
              <w:rPr>
                <w:sz w:val="20"/>
                <w:szCs w:val="20"/>
                <w:color w:val="auto"/>
              </w:rPr>
            </w:pPr>
            <w:r>
              <w:rPr>
                <w:rFonts w:ascii="Arial" w:cs="Arial" w:eastAsia="Arial" w:hAnsi="Arial"/>
                <w:sz w:val="11"/>
                <w:szCs w:val="11"/>
                <w:color w:val="auto"/>
              </w:rPr>
              <w:t>Noninterest-bearing, including related party balances of $12,558 and $16,009 at March 31, 2020 and December 31, 2019, respectively</w:t>
            </w:r>
          </w:p>
        </w:tc>
        <w:tc>
          <w:tcPr>
            <w:tcW w:w="420" w:type="dxa"/>
            <w:vAlign w:val="bottom"/>
          </w:tcPr>
          <w:p>
            <w:pPr>
              <w:jc w:val="right"/>
              <w:ind w:right="285"/>
              <w:spacing w:after="0"/>
              <w:rPr>
                <w:sz w:val="20"/>
                <w:szCs w:val="20"/>
                <w:color w:val="auto"/>
              </w:rPr>
            </w:pPr>
            <w:r>
              <w:rPr>
                <w:rFonts w:ascii="Arial" w:cs="Arial" w:eastAsia="Arial" w:hAnsi="Arial"/>
                <w:sz w:val="11"/>
                <w:szCs w:val="11"/>
                <w:b w:val="1"/>
                <w:bCs w:val="1"/>
                <w:color w:val="auto"/>
                <w:w w:val="97"/>
              </w:rPr>
              <w:t>$</w:t>
            </w: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363,423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291,777</w:t>
            </w: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shd w:val="clear" w:color="auto" w:fill="CCEEFF"/>
              </w:rPr>
              <w:t>Interest-bearing, including related party balances of $119,204 and $125,304 at March 31, 2020 and December 31, 2019, respectively</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939,490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rPr>
              <w:t>933,644</w:t>
            </w:r>
          </w:p>
        </w:tc>
        <w:tc>
          <w:tcPr>
            <w:tcW w:w="0" w:type="dxa"/>
            <w:vAlign w:val="bottom"/>
          </w:tcPr>
          <w:p>
            <w:pPr>
              <w:spacing w:after="0"/>
              <w:rPr>
                <w:sz w:val="1"/>
                <w:szCs w:val="1"/>
                <w:color w:val="auto"/>
              </w:rPr>
            </w:pPr>
          </w:p>
        </w:tc>
      </w:tr>
      <w:tr>
        <w:trPr>
          <w:trHeight w:val="188"/>
        </w:trPr>
        <w:tc>
          <w:tcPr>
            <w:tcW w:w="8580" w:type="dxa"/>
            <w:vAlign w:val="bottom"/>
          </w:tcPr>
          <w:p>
            <w:pPr>
              <w:ind w:left="400"/>
              <w:spacing w:after="0"/>
              <w:rPr>
                <w:sz w:val="20"/>
                <w:szCs w:val="20"/>
                <w:color w:val="auto"/>
              </w:rPr>
            </w:pPr>
            <w:r>
              <w:rPr>
                <w:rFonts w:ascii="Arial" w:cs="Arial" w:eastAsia="Arial" w:hAnsi="Arial"/>
                <w:sz w:val="11"/>
                <w:szCs w:val="11"/>
                <w:color w:val="auto"/>
              </w:rPr>
              <w:t>Total deposits</w:t>
            </w:r>
          </w:p>
        </w:tc>
        <w:tc>
          <w:tcPr>
            <w:tcW w:w="4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1,302,913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4"/>
              <w:spacing w:after="0"/>
              <w:rPr>
                <w:sz w:val="20"/>
                <w:szCs w:val="20"/>
                <w:color w:val="auto"/>
              </w:rPr>
            </w:pPr>
            <w:r>
              <w:rPr>
                <w:rFonts w:ascii="Arial" w:cs="Arial" w:eastAsia="Arial" w:hAnsi="Arial"/>
                <w:sz w:val="11"/>
                <w:szCs w:val="11"/>
                <w:color w:val="auto"/>
              </w:rPr>
              <w:t>1,225,421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Federal Home Loan Bank advances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28,889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32,222</w:t>
            </w:r>
          </w:p>
        </w:tc>
        <w:tc>
          <w:tcPr>
            <w:tcW w:w="0" w:type="dxa"/>
            <w:vAlign w:val="bottom"/>
          </w:tcPr>
          <w:p>
            <w:pPr>
              <w:spacing w:after="0"/>
              <w:rPr>
                <w:sz w:val="1"/>
                <w:szCs w:val="1"/>
                <w:color w:val="auto"/>
              </w:rPr>
            </w:pPr>
          </w:p>
        </w:tc>
      </w:tr>
      <w:tr>
        <w:trPr>
          <w:trHeight w:val="208"/>
        </w:trPr>
        <w:tc>
          <w:tcPr>
            <w:tcW w:w="8580" w:type="dxa"/>
            <w:vAlign w:val="bottom"/>
          </w:tcPr>
          <w:p>
            <w:pPr>
              <w:ind w:left="20"/>
              <w:spacing w:after="0"/>
              <w:rPr>
                <w:sz w:val="20"/>
                <w:szCs w:val="20"/>
                <w:color w:val="auto"/>
              </w:rPr>
            </w:pPr>
            <w:r>
              <w:rPr>
                <w:rFonts w:ascii="Arial" w:cs="Arial" w:eastAsia="Arial" w:hAnsi="Arial"/>
                <w:sz w:val="11"/>
                <w:szCs w:val="11"/>
                <w:color w:val="auto"/>
              </w:rPr>
              <w:t>Other borrowed funds</w:t>
            </w:r>
          </w:p>
        </w:tc>
        <w:tc>
          <w:tcPr>
            <w:tcW w:w="4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15,430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15,423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Accrued interest payable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1,678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1,801</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22,857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20,297</w:t>
            </w: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liabilities</w:t>
            </w: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1,371,767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1,295,164</w:t>
            </w:r>
          </w:p>
        </w:tc>
        <w:tc>
          <w:tcPr>
            <w:tcW w:w="0" w:type="dxa"/>
            <w:vAlign w:val="bottom"/>
          </w:tcPr>
          <w:p>
            <w:pPr>
              <w:spacing w:after="0"/>
              <w:rPr>
                <w:sz w:val="1"/>
                <w:szCs w:val="1"/>
                <w:color w:val="auto"/>
              </w:rPr>
            </w:pPr>
          </w:p>
        </w:tc>
      </w:tr>
      <w:tr>
        <w:trPr>
          <w:trHeight w:val="207"/>
        </w:trPr>
        <w:tc>
          <w:tcPr>
            <w:tcW w:w="8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160"/>
              <w:spacing w:after="0"/>
              <w:rPr>
                <w:sz w:val="20"/>
                <w:szCs w:val="20"/>
                <w:color w:val="auto"/>
              </w:rPr>
            </w:pPr>
            <w:r>
              <w:rPr>
                <w:rFonts w:ascii="Arial" w:cs="Arial" w:eastAsia="Arial" w:hAnsi="Arial"/>
                <w:sz w:val="11"/>
                <w:szCs w:val="11"/>
                <w:color w:val="auto"/>
              </w:rPr>
              <w:t>Preferred stock, $.01 par value; 1,000,000 shares authorized; no shares issued or outstanding at March 31, 2020 and December 31, 2019</w:t>
            </w:r>
          </w:p>
        </w:tc>
        <w:tc>
          <w:tcPr>
            <w:tcW w:w="4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85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Common stock, $.01 par value; 49,000,000 shares authorized; 13,816,723 and 13,894,842 issued and outstanding at March 31, 2020 and December 31, 2019,</w:t>
            </w:r>
          </w:p>
        </w:tc>
        <w:tc>
          <w:tcPr>
            <w:tcW w:w="4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5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respectively</w:t>
            </w:r>
          </w:p>
        </w:tc>
        <w:tc>
          <w:tcPr>
            <w:tcW w:w="4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208"/>
        </w:trPr>
        <w:tc>
          <w:tcPr>
            <w:tcW w:w="8580" w:type="dxa"/>
            <w:vAlign w:val="bottom"/>
          </w:tcPr>
          <w:p>
            <w:pPr>
              <w:ind w:left="140"/>
              <w:spacing w:after="0"/>
              <w:rPr>
                <w:sz w:val="20"/>
                <w:szCs w:val="20"/>
                <w:color w:val="auto"/>
              </w:rPr>
            </w:pPr>
            <w:r>
              <w:rPr>
                <w:rFonts w:ascii="Arial" w:cs="Arial" w:eastAsia="Arial" w:hAnsi="Arial"/>
                <w:sz w:val="11"/>
                <w:szCs w:val="11"/>
                <w:color w:val="auto"/>
              </w:rPr>
              <w:t>Additional paid-in capital</w:t>
            </w:r>
          </w:p>
        </w:tc>
        <w:tc>
          <w:tcPr>
            <w:tcW w:w="42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1"/>
                <w:szCs w:val="11"/>
                <w:b w:val="1"/>
                <w:bCs w:val="1"/>
                <w:color w:val="auto"/>
              </w:rPr>
              <w:t>50,786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1"/>
                <w:szCs w:val="11"/>
                <w:color w:val="auto"/>
              </w:rPr>
              <w:t>51,561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Retained earnings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84,389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81,618</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Accumulated other comprehensive income</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767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stockholders' equity</w:t>
            </w: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136,080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133,331</w:t>
            </w:r>
          </w:p>
        </w:tc>
        <w:tc>
          <w:tcPr>
            <w:tcW w:w="0" w:type="dxa"/>
            <w:vAlign w:val="bottom"/>
          </w:tcPr>
          <w:p>
            <w:pPr>
              <w:spacing w:after="0"/>
              <w:rPr>
                <w:sz w:val="1"/>
                <w:szCs w:val="1"/>
                <w:color w:val="auto"/>
              </w:rPr>
            </w:pPr>
          </w:p>
        </w:tc>
      </w:tr>
      <w:tr>
        <w:trPr>
          <w:trHeight w:val="186"/>
        </w:trPr>
        <w:tc>
          <w:tcPr>
            <w:tcW w:w="8580" w:type="dxa"/>
            <w:vAlign w:val="bottom"/>
          </w:tcPr>
          <w:p>
            <w:pPr>
              <w:ind w:left="400"/>
              <w:spacing w:after="0"/>
              <w:rPr>
                <w:sz w:val="20"/>
                <w:szCs w:val="20"/>
                <w:color w:val="auto"/>
              </w:rPr>
            </w:pPr>
            <w:r>
              <w:rPr>
                <w:rFonts w:ascii="Arial" w:cs="Arial" w:eastAsia="Arial" w:hAnsi="Arial"/>
                <w:sz w:val="11"/>
                <w:szCs w:val="11"/>
                <w:color w:val="auto"/>
              </w:rPr>
              <w:t>Total liabilities and stockholders' equity</w:t>
            </w:r>
          </w:p>
        </w:tc>
        <w:tc>
          <w:tcPr>
            <w:tcW w:w="42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1,507,847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1,428,495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8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291" w:right="31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Consolidated Statements of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894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18415</wp:posOffset>
            </wp:positionV>
            <wp:extent cx="19335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3575" cy="698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(dollars in thousands except per share data)</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Interest 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140"/>
              <w:spacing w:after="0"/>
              <w:rPr>
                <w:sz w:val="20"/>
                <w:szCs w:val="20"/>
                <w:color w:val="auto"/>
              </w:rPr>
            </w:pPr>
            <w:r>
              <w:rPr>
                <w:rFonts w:ascii="Arial" w:cs="Arial" w:eastAsia="Arial" w:hAnsi="Arial"/>
                <w:sz w:val="11"/>
                <w:szCs w:val="11"/>
                <w:color w:val="auto"/>
              </w:rPr>
              <w:t>Loans, including fees</w:t>
            </w:r>
          </w:p>
        </w:tc>
        <w:tc>
          <w:tcPr>
            <w:tcW w:w="340" w:type="dxa"/>
            <w:vAlign w:val="bottom"/>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21,074</w:t>
            </w:r>
          </w:p>
        </w:tc>
        <w:tc>
          <w:tcPr>
            <w:tcW w:w="120" w:type="dxa"/>
            <w:vAlign w:val="bottom"/>
          </w:tcPr>
          <w:p>
            <w:pPr>
              <w:spacing w:after="0"/>
              <w:rPr>
                <w:sz w:val="18"/>
                <w:szCs w:val="18"/>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17,844</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Investment securities available for sale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259</w:t>
            </w: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Federal funds sold and other</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215</w:t>
            </w:r>
          </w:p>
        </w:tc>
        <w:tc>
          <w:tcPr>
            <w:tcW w:w="100" w:type="dxa"/>
            <w:vAlign w:val="bottom"/>
            <w:tcBorders>
              <w:bottom w:val="single" w:sz="8" w:color="CCEEFF"/>
            </w:tcBorders>
          </w:tcPr>
          <w:p>
            <w:pPr>
              <w:spacing w:after="0"/>
              <w:rPr>
                <w:sz w:val="18"/>
                <w:szCs w:val="18"/>
                <w:color w:val="auto"/>
              </w:rPr>
            </w:pPr>
          </w:p>
        </w:tc>
      </w:tr>
      <w:tr>
        <w:trPr>
          <w:trHeight w:val="192"/>
        </w:trPr>
        <w:tc>
          <w:tcPr>
            <w:tcW w:w="8140" w:type="dxa"/>
            <w:vAlign w:val="bottom"/>
            <w:shd w:val="clear" w:color="auto" w:fill="CCEEFF"/>
          </w:tcPr>
          <w:p>
            <w:pPr>
              <w:ind w:left="480"/>
              <w:spacing w:after="0"/>
              <w:rPr>
                <w:sz w:val="20"/>
                <w:szCs w:val="20"/>
                <w:color w:val="auto"/>
              </w:rPr>
            </w:pPr>
            <w:r>
              <w:rPr>
                <w:rFonts w:ascii="Arial" w:cs="Arial" w:eastAsia="Arial" w:hAnsi="Arial"/>
                <w:sz w:val="11"/>
                <w:szCs w:val="11"/>
                <w:color w:val="auto"/>
              </w:rPr>
              <w:t>Total interest income</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21,744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18,318</w:t>
            </w:r>
          </w:p>
        </w:tc>
        <w:tc>
          <w:tcPr>
            <w:tcW w:w="100" w:type="dxa"/>
            <w:vAlign w:val="bottom"/>
            <w:shd w:val="clear" w:color="auto" w:fill="CCEEFF"/>
          </w:tcPr>
          <w:p>
            <w:pPr>
              <w:spacing w:after="0"/>
              <w:rPr>
                <w:sz w:val="16"/>
                <w:szCs w:val="16"/>
                <w:color w:val="auto"/>
              </w:rPr>
            </w:pPr>
          </w:p>
        </w:tc>
      </w:tr>
      <w:tr>
        <w:trPr>
          <w:trHeight w:val="207"/>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Interest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140"/>
              <w:spacing w:after="0"/>
              <w:rPr>
                <w:sz w:val="20"/>
                <w:szCs w:val="20"/>
                <w:color w:val="auto"/>
              </w:rPr>
            </w:pPr>
            <w:r>
              <w:rPr>
                <w:rFonts w:ascii="Arial" w:cs="Arial" w:eastAsia="Arial" w:hAnsi="Arial"/>
                <w:sz w:val="11"/>
                <w:szCs w:val="11"/>
                <w:color w:val="auto"/>
              </w:rPr>
              <w:t>Deposits, includes payments to related parties of $383 and $519 for the three months ended March 31, 2020 and March 31, 2019, respectively.</w:t>
            </w: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3,613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3,243</w:t>
            </w:r>
          </w:p>
        </w:tc>
        <w:tc>
          <w:tcPr>
            <w:tcW w:w="100" w:type="dxa"/>
            <w:vAlign w:val="bottom"/>
          </w:tcPr>
          <w:p>
            <w:pPr>
              <w:spacing w:after="0"/>
              <w:rPr>
                <w:sz w:val="18"/>
                <w:szCs w:val="18"/>
                <w:color w:val="auto"/>
              </w:rPr>
            </w:pPr>
          </w:p>
        </w:tc>
      </w:tr>
      <w:tr>
        <w:trPr>
          <w:trHeight w:val="212"/>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Borrowed funds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444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331</w:t>
            </w:r>
          </w:p>
        </w:tc>
        <w:tc>
          <w:tcPr>
            <w:tcW w:w="100" w:type="dxa"/>
            <w:vAlign w:val="bottom"/>
            <w:shd w:val="clear" w:color="auto" w:fill="CCEEFF"/>
          </w:tcPr>
          <w:p>
            <w:pPr>
              <w:spacing w:after="0"/>
              <w:rPr>
                <w:sz w:val="18"/>
                <w:szCs w:val="18"/>
                <w:color w:val="auto"/>
              </w:rPr>
            </w:pPr>
          </w:p>
        </w:tc>
      </w:tr>
      <w:tr>
        <w:trPr>
          <w:trHeight w:val="192"/>
        </w:trPr>
        <w:tc>
          <w:tcPr>
            <w:tcW w:w="8140" w:type="dxa"/>
            <w:vAlign w:val="bottom"/>
            <w:tcBorders>
              <w:bottom w:val="single" w:sz="8" w:color="CCEEFF"/>
            </w:tcBorders>
          </w:tcPr>
          <w:p>
            <w:pPr>
              <w:ind w:left="480"/>
              <w:spacing w:after="0"/>
              <w:rPr>
                <w:sz w:val="20"/>
                <w:szCs w:val="20"/>
                <w:color w:val="auto"/>
              </w:rPr>
            </w:pPr>
            <w:r>
              <w:rPr>
                <w:rFonts w:ascii="Arial" w:cs="Arial" w:eastAsia="Arial" w:hAnsi="Arial"/>
                <w:sz w:val="11"/>
                <w:szCs w:val="11"/>
                <w:color w:val="auto"/>
              </w:rPr>
              <w:t>Total interest expense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4,057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3,574</w:t>
            </w:r>
          </w:p>
        </w:tc>
        <w:tc>
          <w:tcPr>
            <w:tcW w:w="100" w:type="dxa"/>
            <w:vAlign w:val="bottom"/>
            <w:tcBorders>
              <w:bottom w:val="single" w:sz="8" w:color="CCEEFF"/>
            </w:tcBorders>
          </w:tcPr>
          <w:p>
            <w:pPr>
              <w:spacing w:after="0"/>
              <w:rPr>
                <w:sz w:val="16"/>
                <w:szCs w:val="16"/>
                <w:color w:val="auto"/>
              </w:rPr>
            </w:pPr>
          </w:p>
        </w:tc>
      </w:tr>
      <w:tr>
        <w:trPr>
          <w:trHeight w:val="207"/>
        </w:trPr>
        <w:tc>
          <w:tcPr>
            <w:tcW w:w="8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Net interest income</w:t>
            </w: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17,687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14,744</w:t>
            </w:r>
          </w:p>
        </w:tc>
        <w:tc>
          <w:tcPr>
            <w:tcW w:w="100" w:type="dxa"/>
            <w:vAlign w:val="bottom"/>
          </w:tcPr>
          <w:p>
            <w:pPr>
              <w:spacing w:after="0"/>
              <w:rPr>
                <w:sz w:val="18"/>
                <w:szCs w:val="18"/>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loan losses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2,409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121</w:t>
            </w:r>
          </w:p>
        </w:tc>
        <w:tc>
          <w:tcPr>
            <w:tcW w:w="100" w:type="dxa"/>
            <w:vAlign w:val="bottom"/>
            <w:shd w:val="clear" w:color="auto" w:fill="CCEEFF"/>
          </w:tcPr>
          <w:p>
            <w:pPr>
              <w:spacing w:after="0"/>
              <w:rPr>
                <w:sz w:val="18"/>
                <w:szCs w:val="18"/>
                <w:color w:val="auto"/>
              </w:rPr>
            </w:pPr>
          </w:p>
        </w:tc>
      </w:tr>
      <w:tr>
        <w:trPr>
          <w:trHeight w:val="19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interest income after provision for loan losses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15,278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14,623</w:t>
            </w:r>
          </w:p>
        </w:tc>
        <w:tc>
          <w:tcPr>
            <w:tcW w:w="100" w:type="dxa"/>
            <w:vAlign w:val="bottom"/>
            <w:tcBorders>
              <w:bottom w:val="single" w:sz="8" w:color="CCEEFF"/>
            </w:tcBorders>
          </w:tcPr>
          <w:p>
            <w:pPr>
              <w:spacing w:after="0"/>
              <w:rPr>
                <w:sz w:val="16"/>
                <w:szCs w:val="16"/>
                <w:color w:val="auto"/>
              </w:rPr>
            </w:pPr>
          </w:p>
        </w:tc>
      </w:tr>
      <w:tr>
        <w:trPr>
          <w:trHeight w:val="207"/>
        </w:trPr>
        <w:tc>
          <w:tcPr>
            <w:tcW w:w="8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Noninterest income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Service charges on deposits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140"/>
              <w:spacing w:after="0"/>
              <w:rPr>
                <w:sz w:val="20"/>
                <w:szCs w:val="20"/>
                <w:color w:val="auto"/>
              </w:rPr>
            </w:pPr>
            <w:r>
              <w:rPr>
                <w:rFonts w:ascii="Arial" w:cs="Arial" w:eastAsia="Arial" w:hAnsi="Arial"/>
                <w:sz w:val="11"/>
                <w:szCs w:val="11"/>
                <w:color w:val="auto"/>
              </w:rPr>
              <w:t>Credit card fees</w:t>
            </w: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2,008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1,492</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Mortgage banking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4,017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2,376</w:t>
            </w: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fees and charges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405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126</w:t>
            </w:r>
          </w:p>
        </w:tc>
        <w:tc>
          <w:tcPr>
            <w:tcW w:w="100" w:type="dxa"/>
            <w:vAlign w:val="bottom"/>
            <w:tcBorders>
              <w:bottom w:val="single" w:sz="8" w:color="CCEEFF"/>
            </w:tcBorders>
          </w:tcPr>
          <w:p>
            <w:pPr>
              <w:spacing w:after="0"/>
              <w:rPr>
                <w:sz w:val="18"/>
                <w:szCs w:val="18"/>
                <w:color w:val="auto"/>
              </w:rPr>
            </w:pPr>
          </w:p>
        </w:tc>
      </w:tr>
      <w:tr>
        <w:trPr>
          <w:trHeight w:val="192"/>
        </w:trPr>
        <w:tc>
          <w:tcPr>
            <w:tcW w:w="8140" w:type="dxa"/>
            <w:vAlign w:val="bottom"/>
            <w:shd w:val="clear" w:color="auto" w:fill="CCEEFF"/>
          </w:tcPr>
          <w:p>
            <w:pPr>
              <w:ind w:left="480"/>
              <w:spacing w:after="0"/>
              <w:rPr>
                <w:sz w:val="20"/>
                <w:szCs w:val="20"/>
                <w:color w:val="auto"/>
              </w:rPr>
            </w:pPr>
            <w:r>
              <w:rPr>
                <w:rFonts w:ascii="Arial" w:cs="Arial" w:eastAsia="Arial" w:hAnsi="Arial"/>
                <w:sz w:val="11"/>
                <w:szCs w:val="11"/>
                <w:color w:val="auto"/>
              </w:rPr>
              <w:t>Total noninterest income</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6,579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4,092</w:t>
            </w:r>
          </w:p>
        </w:tc>
        <w:tc>
          <w:tcPr>
            <w:tcW w:w="100" w:type="dxa"/>
            <w:vAlign w:val="bottom"/>
            <w:shd w:val="clear" w:color="auto" w:fill="CCEEFF"/>
          </w:tcPr>
          <w:p>
            <w:pPr>
              <w:spacing w:after="0"/>
              <w:rPr>
                <w:sz w:val="16"/>
                <w:szCs w:val="16"/>
                <w:color w:val="auto"/>
              </w:rPr>
            </w:pPr>
          </w:p>
        </w:tc>
      </w:tr>
      <w:tr>
        <w:trPr>
          <w:trHeight w:val="207"/>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Noninterest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140"/>
              <w:spacing w:after="0"/>
              <w:rPr>
                <w:sz w:val="20"/>
                <w:szCs w:val="20"/>
                <w:color w:val="auto"/>
              </w:rPr>
            </w:pPr>
            <w:r>
              <w:rPr>
                <w:rFonts w:ascii="Arial" w:cs="Arial" w:eastAsia="Arial" w:hAnsi="Arial"/>
                <w:sz w:val="11"/>
                <w:szCs w:val="11"/>
                <w:color w:val="auto"/>
              </w:rPr>
              <w:t>Salaries and employee benefits</w:t>
            </w: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8,457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6,787</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Occupancy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1,094</w:t>
            </w: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140"/>
              <w:spacing w:after="0"/>
              <w:rPr>
                <w:sz w:val="20"/>
                <w:szCs w:val="20"/>
                <w:color w:val="auto"/>
              </w:rPr>
            </w:pPr>
            <w:r>
              <w:rPr>
                <w:rFonts w:ascii="Arial" w:cs="Arial" w:eastAsia="Arial" w:hAnsi="Arial"/>
                <w:sz w:val="11"/>
                <w:szCs w:val="11"/>
                <w:color w:val="auto"/>
              </w:rPr>
              <w:t>Professional fees</w:t>
            </w: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770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619</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Data processing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4,117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3,313</w:t>
            </w: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140"/>
              <w:spacing w:after="0"/>
              <w:rPr>
                <w:sz w:val="20"/>
                <w:szCs w:val="20"/>
                <w:color w:val="auto"/>
              </w:rPr>
            </w:pPr>
            <w:r>
              <w:rPr>
                <w:rFonts w:ascii="Arial" w:cs="Arial" w:eastAsia="Arial" w:hAnsi="Arial"/>
                <w:sz w:val="11"/>
                <w:szCs w:val="11"/>
                <w:color w:val="auto"/>
              </w:rPr>
              <w:t>Advertising</w:t>
            </w: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636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443</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Loan processing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305</w:t>
            </w:r>
          </w:p>
        </w:tc>
        <w:tc>
          <w:tcPr>
            <w:tcW w:w="100" w:type="dxa"/>
            <w:vAlign w:val="bottom"/>
            <w:shd w:val="clear" w:color="auto" w:fill="CCEEFF"/>
          </w:tcPr>
          <w:p>
            <w:pPr>
              <w:spacing w:after="0"/>
              <w:rPr>
                <w:sz w:val="18"/>
                <w:szCs w:val="18"/>
                <w:color w:val="auto"/>
              </w:rPr>
            </w:pPr>
          </w:p>
        </w:tc>
      </w:tr>
      <w:tr>
        <w:trPr>
          <w:trHeight w:val="208"/>
        </w:trPr>
        <w:tc>
          <w:tcPr>
            <w:tcW w:w="8140" w:type="dxa"/>
            <w:vAlign w:val="bottom"/>
          </w:tcPr>
          <w:p>
            <w:pPr>
              <w:ind w:left="140"/>
              <w:spacing w:after="0"/>
              <w:rPr>
                <w:sz w:val="20"/>
                <w:szCs w:val="20"/>
                <w:color w:val="auto"/>
              </w:rPr>
            </w:pPr>
            <w:r>
              <w:rPr>
                <w:rFonts w:ascii="Arial" w:cs="Arial" w:eastAsia="Arial" w:hAnsi="Arial"/>
                <w:sz w:val="11"/>
                <w:szCs w:val="11"/>
                <w:color w:val="auto"/>
              </w:rPr>
              <w:t>Other real estate owned expenses, net</w:t>
            </w: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8"/>
                <w:szCs w:val="18"/>
                <w:color w:val="auto"/>
              </w:rPr>
            </w:pPr>
          </w:p>
        </w:tc>
      </w:tr>
      <w:tr>
        <w:trPr>
          <w:trHeight w:val="212"/>
        </w:trPr>
        <w:tc>
          <w:tcPr>
            <w:tcW w:w="8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operating</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2,193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1,747</w:t>
            </w:r>
          </w:p>
        </w:tc>
        <w:tc>
          <w:tcPr>
            <w:tcW w:w="100" w:type="dxa"/>
            <w:vAlign w:val="bottom"/>
            <w:shd w:val="clear" w:color="auto" w:fill="CCEEFF"/>
          </w:tcPr>
          <w:p>
            <w:pPr>
              <w:spacing w:after="0"/>
              <w:rPr>
                <w:sz w:val="18"/>
                <w:szCs w:val="18"/>
                <w:color w:val="auto"/>
              </w:rPr>
            </w:pPr>
          </w:p>
        </w:tc>
      </w:tr>
      <w:tr>
        <w:trPr>
          <w:trHeight w:val="192"/>
        </w:trPr>
        <w:tc>
          <w:tcPr>
            <w:tcW w:w="8140" w:type="dxa"/>
            <w:vAlign w:val="bottom"/>
            <w:tcBorders>
              <w:bottom w:val="single" w:sz="8" w:color="CCEEFF"/>
            </w:tcBorders>
          </w:tcPr>
          <w:p>
            <w:pPr>
              <w:ind w:left="480"/>
              <w:spacing w:after="0"/>
              <w:rPr>
                <w:sz w:val="20"/>
                <w:szCs w:val="20"/>
                <w:color w:val="auto"/>
              </w:rPr>
            </w:pPr>
            <w:r>
              <w:rPr>
                <w:rFonts w:ascii="Arial" w:cs="Arial" w:eastAsia="Arial" w:hAnsi="Arial"/>
                <w:sz w:val="11"/>
                <w:szCs w:val="11"/>
                <w:color w:val="auto"/>
              </w:rPr>
              <w:t>Total noninterest 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17,843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14,330</w:t>
            </w:r>
          </w:p>
        </w:tc>
        <w:tc>
          <w:tcPr>
            <w:tcW w:w="100" w:type="dxa"/>
            <w:vAlign w:val="bottom"/>
            <w:tcBorders>
              <w:bottom w:val="single" w:sz="8" w:color="CCEEFF"/>
            </w:tcBorders>
          </w:tcPr>
          <w:p>
            <w:pPr>
              <w:spacing w:after="0"/>
              <w:rPr>
                <w:sz w:val="16"/>
                <w:szCs w:val="16"/>
                <w:color w:val="auto"/>
              </w:rPr>
            </w:pP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4,014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4,385</w:t>
            </w:r>
          </w:p>
        </w:tc>
        <w:tc>
          <w:tcPr>
            <w:tcW w:w="100" w:type="dxa"/>
            <w:vAlign w:val="bottom"/>
            <w:shd w:val="clear" w:color="auto" w:fill="CCEEFF"/>
          </w:tcPr>
          <w:p>
            <w:pPr>
              <w:spacing w:after="0"/>
              <w:rPr>
                <w:sz w:val="17"/>
                <w:szCs w:val="17"/>
                <w:color w:val="auto"/>
              </w:rPr>
            </w:pPr>
          </w:p>
        </w:tc>
      </w:tr>
      <w:tr>
        <w:trPr>
          <w:trHeight w:val="20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tax expense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1,080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1,066</w:t>
            </w:r>
          </w:p>
        </w:tc>
        <w:tc>
          <w:tcPr>
            <w:tcW w:w="100" w:type="dxa"/>
            <w:vAlign w:val="bottom"/>
            <w:tcBorders>
              <w:bottom w:val="single" w:sz="8" w:color="CCEEFF"/>
            </w:tcBorders>
          </w:tcPr>
          <w:p>
            <w:pPr>
              <w:spacing w:after="0"/>
              <w:rPr>
                <w:sz w:val="18"/>
                <w:szCs w:val="18"/>
                <w:color w:val="auto"/>
              </w:rPr>
            </w:pPr>
          </w:p>
        </w:tc>
      </w:tr>
      <w:tr>
        <w:trPr>
          <w:trHeight w:val="18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2,934</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3,319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Basic earnings per share</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0.21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0.24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Diluted earnings per share</w:t>
            </w: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0.24</w:t>
            </w:r>
          </w:p>
        </w:tc>
        <w:tc>
          <w:tcPr>
            <w:tcW w:w="100" w:type="dxa"/>
            <w:vAlign w:val="bottom"/>
            <w:tcBorders>
              <w:bottom w:val="single" w:sz="8" w:color="CCEEFF"/>
            </w:tcBorders>
          </w:tcPr>
          <w:p>
            <w:pPr>
              <w:spacing w:after="0"/>
              <w:rPr>
                <w:sz w:val="16"/>
                <w:szCs w:val="16"/>
                <w:color w:val="auto"/>
              </w:rPr>
            </w:pPr>
          </w:p>
        </w:tc>
      </w:tr>
      <w:tr>
        <w:trPr>
          <w:trHeight w:val="184"/>
        </w:trPr>
        <w:tc>
          <w:tcPr>
            <w:tcW w:w="8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1"/>
                <w:szCs w:val="11"/>
                <w:color w:val="auto"/>
              </w:rPr>
              <w:t>Weighted average common shares outstanding:</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13,876,428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13,702,433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8140" w:type="dxa"/>
            <w:vAlign w:val="bottom"/>
          </w:tcPr>
          <w:p>
            <w:pPr>
              <w:ind w:left="140"/>
              <w:spacing w:after="0"/>
              <w:rPr>
                <w:sz w:val="20"/>
                <w:szCs w:val="20"/>
                <w:color w:val="auto"/>
              </w:rPr>
            </w:pPr>
            <w:r>
              <w:rPr>
                <w:rFonts w:ascii="Arial" w:cs="Arial" w:eastAsia="Arial" w:hAnsi="Arial"/>
                <w:sz w:val="11"/>
                <w:szCs w:val="11"/>
                <w:color w:val="auto"/>
              </w:rPr>
              <w:t>Diluted</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14,075,756</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13,877,625</w:t>
            </w:r>
          </w:p>
        </w:tc>
        <w:tc>
          <w:tcPr>
            <w:tcW w:w="100" w:type="dxa"/>
            <w:vAlign w:val="bottom"/>
          </w:tcPr>
          <w:p>
            <w:pPr>
              <w:spacing w:after="0"/>
              <w:rPr>
                <w:sz w:val="13"/>
                <w:szCs w:val="13"/>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605" w:right="31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Consolidated Statements of Comprehensive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894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5184140</wp:posOffset>
            </wp:positionH>
            <wp:positionV relativeFrom="paragraph">
              <wp:posOffset>18415</wp:posOffset>
            </wp:positionV>
            <wp:extent cx="19132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3255" cy="698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r>
      <w:tr>
        <w:trPr>
          <w:trHeight w:val="192"/>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2,934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3,319</w:t>
            </w:r>
          </w:p>
        </w:tc>
      </w:tr>
      <w:tr>
        <w:trPr>
          <w:trHeight w:val="210"/>
        </w:trPr>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5"/>
        </w:trPr>
        <w:tc>
          <w:tcPr>
            <w:tcW w:w="8160" w:type="dxa"/>
            <w:vAlign w:val="bottom"/>
          </w:tcPr>
          <w:p>
            <w:pPr>
              <w:ind w:left="20"/>
              <w:spacing w:after="0"/>
              <w:rPr>
                <w:sz w:val="20"/>
                <w:szCs w:val="20"/>
                <w:color w:val="auto"/>
              </w:rPr>
            </w:pPr>
            <w:r>
              <w:rPr>
                <w:rFonts w:ascii="Arial" w:cs="Arial" w:eastAsia="Arial" w:hAnsi="Arial"/>
                <w:sz w:val="13"/>
                <w:szCs w:val="13"/>
                <w:color w:val="auto"/>
              </w:rPr>
              <w:t>Unrealized gain on investment securities available for sale</w:t>
            </w:r>
          </w:p>
        </w:tc>
        <w:tc>
          <w:tcPr>
            <w:tcW w:w="34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b w:val="1"/>
                <w:bCs w:val="1"/>
                <w:color w:val="auto"/>
              </w:rPr>
              <w:t>1,040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370</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 on cash flow hedging derivative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92"/>
        </w:trPr>
        <w:tc>
          <w:tcPr>
            <w:tcW w:w="8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1,040</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365</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relating to the items above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92"/>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comprehensive income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754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265</w:t>
            </w:r>
          </w:p>
        </w:tc>
      </w:tr>
      <w:tr>
        <w:trPr>
          <w:trHeight w:val="18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3,688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3,584</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80"/>
          </w:cols>
          <w:pgMar w:left="300" w:top="605" w:right="41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Consolidated Statements of Changes in Stockholders’ Equity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960" w:type="dxa"/>
            <w:vAlign w:val="bottom"/>
          </w:tcPr>
          <w:p>
            <w:pPr>
              <w:spacing w:after="0"/>
              <w:rPr>
                <w:sz w:val="10"/>
                <w:szCs w:val="10"/>
                <w:color w:val="auto"/>
              </w:rPr>
            </w:pP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Additional</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Accumulated Other</w:t>
            </w:r>
          </w:p>
        </w:tc>
        <w:tc>
          <w:tcPr>
            <w:tcW w:w="180" w:type="dxa"/>
            <w:vAlign w:val="bottom"/>
          </w:tcPr>
          <w:p>
            <w:pPr>
              <w:spacing w:after="0"/>
              <w:rPr>
                <w:sz w:val="10"/>
                <w:szCs w:val="10"/>
                <w:color w:val="auto"/>
              </w:rPr>
            </w:pPr>
          </w:p>
        </w:tc>
        <w:tc>
          <w:tcPr>
            <w:tcW w:w="1040" w:type="dxa"/>
            <w:vAlign w:val="bottom"/>
          </w:tcPr>
          <w:p>
            <w:pPr>
              <w:jc w:val="center"/>
              <w:ind w:right="125"/>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jc w:val="center"/>
              <w:ind w:right="280"/>
              <w:spacing w:after="0" w:line="106" w:lineRule="exact"/>
              <w:rPr>
                <w:sz w:val="20"/>
                <w:szCs w:val="20"/>
                <w:color w:val="auto"/>
              </w:rPr>
            </w:pPr>
            <w:r>
              <w:rPr>
                <w:rFonts w:ascii="Arial" w:cs="Arial" w:eastAsia="Arial" w:hAnsi="Arial"/>
                <w:sz w:val="10"/>
                <w:szCs w:val="10"/>
                <w:b w:val="1"/>
                <w:bCs w:val="1"/>
                <w:color w:val="auto"/>
                <w:w w:val="95"/>
              </w:rPr>
              <w:t>Paid-in</w:t>
            </w:r>
          </w:p>
        </w:tc>
        <w:tc>
          <w:tcPr>
            <w:tcW w:w="200" w:type="dxa"/>
            <w:vAlign w:val="bottom"/>
          </w:tcPr>
          <w:p>
            <w:pPr>
              <w:spacing w:after="0"/>
              <w:rPr>
                <w:sz w:val="2"/>
                <w:szCs w:val="2"/>
                <w:color w:val="auto"/>
              </w:rPr>
            </w:pPr>
          </w:p>
        </w:tc>
        <w:tc>
          <w:tcPr>
            <w:tcW w:w="940" w:type="dxa"/>
            <w:vAlign w:val="bottom"/>
            <w:gridSpan w:val="2"/>
            <w:vMerge w:val="restart"/>
          </w:tcPr>
          <w:p>
            <w:pPr>
              <w:ind w:left="100"/>
              <w:spacing w:after="0" w:line="106"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2"/>
                <w:szCs w:val="2"/>
                <w:color w:val="auto"/>
              </w:rPr>
            </w:pPr>
          </w:p>
        </w:tc>
        <w:tc>
          <w:tcPr>
            <w:tcW w:w="1420" w:type="dxa"/>
            <w:vAlign w:val="bottom"/>
            <w:gridSpan w:val="2"/>
            <w:vMerge w:val="restart"/>
          </w:tcPr>
          <w:p>
            <w:pPr>
              <w:jc w:val="center"/>
              <w:ind w:right="220"/>
              <w:spacing w:after="0" w:line="106" w:lineRule="exact"/>
              <w:rPr>
                <w:sz w:val="20"/>
                <w:szCs w:val="20"/>
                <w:color w:val="auto"/>
              </w:rPr>
            </w:pPr>
            <w:r>
              <w:rPr>
                <w:rFonts w:ascii="Arial" w:cs="Arial" w:eastAsia="Arial" w:hAnsi="Arial"/>
                <w:sz w:val="10"/>
                <w:szCs w:val="10"/>
                <w:b w:val="1"/>
                <w:bCs w:val="1"/>
                <w:color w:val="auto"/>
                <w:w w:val="99"/>
              </w:rPr>
              <w:t>Comprehensive Income</w:t>
            </w:r>
          </w:p>
        </w:tc>
        <w:tc>
          <w:tcPr>
            <w:tcW w:w="180" w:type="dxa"/>
            <w:vAlign w:val="bottom"/>
          </w:tcPr>
          <w:p>
            <w:pPr>
              <w:spacing w:after="0"/>
              <w:rPr>
                <w:sz w:val="2"/>
                <w:szCs w:val="2"/>
                <w:color w:val="auto"/>
              </w:rPr>
            </w:pPr>
          </w:p>
        </w:tc>
        <w:tc>
          <w:tcPr>
            <w:tcW w:w="1040" w:type="dxa"/>
            <w:vAlign w:val="bottom"/>
            <w:vMerge w:val="restart"/>
          </w:tcPr>
          <w:p>
            <w:pPr>
              <w:jc w:val="center"/>
              <w:ind w:right="125"/>
              <w:spacing w:after="0" w:line="106"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59"/>
        </w:trPr>
        <w:tc>
          <w:tcPr>
            <w:tcW w:w="3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3960" w:type="dxa"/>
            <w:vAlign w:val="bottom"/>
          </w:tcPr>
          <w:p>
            <w:pPr>
              <w:ind w:left="20"/>
              <w:spacing w:after="0"/>
              <w:rPr>
                <w:sz w:val="20"/>
                <w:szCs w:val="20"/>
                <w:color w:val="auto"/>
              </w:rPr>
            </w:pPr>
            <w:r>
              <w:rPr>
                <w:rFonts w:ascii="Arial" w:cs="Arial" w:eastAsia="Arial" w:hAnsi="Arial"/>
                <w:sz w:val="8"/>
                <w:szCs w:val="8"/>
                <w:color w:val="auto"/>
              </w:rPr>
              <w:t>(dollars in thousands)</w:t>
            </w:r>
          </w:p>
        </w:tc>
        <w:tc>
          <w:tcPr>
            <w:tcW w:w="1260" w:type="dxa"/>
            <w:vAlign w:val="bottom"/>
            <w:gridSpan w:val="2"/>
          </w:tcPr>
          <w:p>
            <w:pPr>
              <w:ind w:left="40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Capital</w:t>
            </w:r>
          </w:p>
        </w:tc>
        <w:tc>
          <w:tcPr>
            <w:tcW w:w="2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0"/>
                <w:szCs w:val="10"/>
                <w:b w:val="1"/>
                <w:bCs w:val="1"/>
                <w:color w:val="auto"/>
              </w:rPr>
              <w:t>Earnings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9"/>
              </w:rPr>
              <w:t>(Loss)</w:t>
            </w:r>
          </w:p>
        </w:tc>
        <w:tc>
          <w:tcPr>
            <w:tcW w:w="180" w:type="dxa"/>
            <w:vAlign w:val="bottom"/>
          </w:tcPr>
          <w:p>
            <w:pPr>
              <w:spacing w:after="0"/>
              <w:rPr>
                <w:sz w:val="11"/>
                <w:szCs w:val="11"/>
                <w:color w:val="auto"/>
              </w:rPr>
            </w:pPr>
          </w:p>
        </w:tc>
        <w:tc>
          <w:tcPr>
            <w:tcW w:w="1040" w:type="dxa"/>
            <w:vAlign w:val="bottom"/>
          </w:tcPr>
          <w:p>
            <w:pPr>
              <w:jc w:val="center"/>
              <w:ind w:right="125"/>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9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2018</w:t>
            </w:r>
          </w:p>
        </w:tc>
        <w:tc>
          <w:tcPr>
            <w:tcW w:w="11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13,672,479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49,321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65,701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1"/>
                <w:szCs w:val="11"/>
                <w:color w:val="auto"/>
              </w:rPr>
              <w:t>(595)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114,564</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Arial" w:cs="Arial" w:eastAsia="Arial" w:hAnsi="Arial"/>
                <w:sz w:val="11"/>
                <w:szCs w:val="11"/>
                <w:color w:val="auto"/>
              </w:rPr>
              <w:t>Adoption of ASC 842 Leases</w:t>
            </w:r>
          </w:p>
        </w:tc>
        <w:tc>
          <w:tcPr>
            <w:tcW w:w="12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40" w:type="dxa"/>
            <w:vAlign w:val="bottom"/>
          </w:tcPr>
          <w:p>
            <w:pPr>
              <w:jc w:val="right"/>
              <w:ind w:right="5"/>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3,319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3,319</w:t>
            </w:r>
          </w:p>
        </w:tc>
        <w:tc>
          <w:tcPr>
            <w:tcW w:w="0" w:type="dxa"/>
            <w:vAlign w:val="bottom"/>
          </w:tcPr>
          <w:p>
            <w:pPr>
              <w:spacing w:after="0"/>
              <w:rPr>
                <w:sz w:val="1"/>
                <w:szCs w:val="1"/>
                <w:color w:val="auto"/>
              </w:rPr>
            </w:pPr>
          </w:p>
        </w:tc>
      </w:tr>
      <w:tr>
        <w:trPr>
          <w:trHeight w:val="152"/>
        </w:trPr>
        <w:tc>
          <w:tcPr>
            <w:tcW w:w="3960" w:type="dxa"/>
            <w:vAlign w:val="bottom"/>
          </w:tcPr>
          <w:p>
            <w:pPr>
              <w:ind w:left="20"/>
              <w:spacing w:after="0"/>
              <w:rPr>
                <w:sz w:val="20"/>
                <w:szCs w:val="20"/>
                <w:color w:val="auto"/>
              </w:rPr>
            </w:pPr>
            <w:r>
              <w:rPr>
                <w:rFonts w:ascii="Arial" w:cs="Arial" w:eastAsia="Arial" w:hAnsi="Arial"/>
                <w:sz w:val="11"/>
                <w:szCs w:val="11"/>
                <w:color w:val="auto"/>
              </w:rPr>
              <w:t>Unrealized gain on investment securities available for sale, net of income</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960" w:type="dxa"/>
            <w:vAlign w:val="bottom"/>
          </w:tcPr>
          <w:p>
            <w:pPr>
              <w:ind w:left="160"/>
              <w:spacing w:after="0"/>
              <w:rPr>
                <w:sz w:val="20"/>
                <w:szCs w:val="20"/>
                <w:color w:val="auto"/>
              </w:rPr>
            </w:pPr>
            <w:r>
              <w:rPr>
                <w:rFonts w:ascii="Arial" w:cs="Arial" w:eastAsia="Arial" w:hAnsi="Arial"/>
                <w:sz w:val="11"/>
                <w:szCs w:val="11"/>
                <w:color w:val="auto"/>
              </w:rPr>
              <w:t>taxes</w:t>
            </w: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ind w:right="42"/>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45"/>
              <w:spacing w:after="0"/>
              <w:rPr>
                <w:sz w:val="20"/>
                <w:szCs w:val="20"/>
                <w:color w:val="auto"/>
              </w:rPr>
            </w:pPr>
            <w:r>
              <w:rPr>
                <w:rFonts w:ascii="Arial" w:cs="Arial" w:eastAsia="Arial" w:hAnsi="Arial"/>
                <w:sz w:val="11"/>
                <w:szCs w:val="11"/>
                <w:color w:val="auto"/>
              </w:rPr>
              <w:t>270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loss on cash flow hedging derivative, net of income taxes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Arial" w:cs="Arial" w:eastAsia="Arial" w:hAnsi="Arial"/>
                <w:sz w:val="11"/>
                <w:szCs w:val="11"/>
                <w:color w:val="auto"/>
              </w:rPr>
              <w:t>Stock options exercised</w:t>
            </w: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21,706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as compensation</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18,380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199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1"/>
                <w:szCs w:val="11"/>
                <w:color w:val="auto"/>
              </w:rPr>
              <w:t>199</w:t>
            </w:r>
          </w:p>
        </w:tc>
        <w:tc>
          <w:tcPr>
            <w:tcW w:w="0" w:type="dxa"/>
            <w:vAlign w:val="bottom"/>
          </w:tcPr>
          <w:p>
            <w:pPr>
              <w:spacing w:after="0"/>
              <w:rPr>
                <w:sz w:val="1"/>
                <w:szCs w:val="1"/>
                <w:color w:val="auto"/>
              </w:rPr>
            </w:pPr>
          </w:p>
        </w:tc>
      </w:tr>
      <w:tr>
        <w:trPr>
          <w:trHeight w:val="186"/>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March 31, 2019</w:t>
            </w:r>
          </w:p>
        </w:tc>
        <w:tc>
          <w:tcPr>
            <w:tcW w:w="11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13,712,565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137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49,825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color w:val="auto"/>
              </w:rPr>
              <w:t>68,918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1"/>
                <w:szCs w:val="11"/>
                <w:color w:val="auto"/>
              </w:rPr>
              <w:t>(330)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118,550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2019</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13,894,842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1"/>
                <w:szCs w:val="11"/>
                <w:b w:val="1"/>
                <w:bCs w:val="1"/>
                <w:color w:val="auto"/>
              </w:rPr>
              <w:t>139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51,561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1"/>
                <w:szCs w:val="11"/>
                <w:b w:val="1"/>
                <w:bCs w:val="1"/>
                <w:color w:val="auto"/>
              </w:rPr>
              <w:t>81,618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1"/>
                <w:szCs w:val="11"/>
                <w:b w:val="1"/>
                <w:bCs w:val="1"/>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133,331</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8"/>
                <w:szCs w:val="18"/>
                <w:color w:val="auto"/>
              </w:rPr>
            </w:pPr>
          </w:p>
        </w:tc>
        <w:tc>
          <w:tcPr>
            <w:tcW w:w="820" w:type="dxa"/>
            <w:vAlign w:val="bottom"/>
          </w:tcPr>
          <w:p>
            <w:pPr>
              <w:jc w:val="right"/>
              <w:ind w:right="42"/>
              <w:spacing w:after="0"/>
              <w:rPr>
                <w:sz w:val="20"/>
                <w:szCs w:val="20"/>
                <w:color w:val="auto"/>
              </w:rPr>
            </w:pPr>
            <w:r>
              <w:rPr>
                <w:rFonts w:ascii="Arial" w:cs="Arial" w:eastAsia="Arial" w:hAnsi="Arial"/>
                <w:sz w:val="11"/>
                <w:szCs w:val="11"/>
                <w:b w:val="1"/>
                <w:bCs w:val="1"/>
                <w:color w:val="auto"/>
              </w:rPr>
              <w:t>2,934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1"/>
                <w:szCs w:val="11"/>
                <w:b w:val="1"/>
                <w:bCs w:val="1"/>
                <w:color w:val="auto"/>
              </w:rPr>
              <w:t>2,934</w:t>
            </w: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gain on investment securities available for sale, net of income</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42"/>
              <w:spacing w:after="0"/>
              <w:rPr>
                <w:sz w:val="20"/>
                <w:szCs w:val="20"/>
                <w:color w:val="auto"/>
              </w:rPr>
            </w:pPr>
            <w:r>
              <w:rPr>
                <w:rFonts w:ascii="Arial" w:cs="Arial" w:eastAsia="Arial" w:hAnsi="Arial"/>
                <w:sz w:val="11"/>
                <w:szCs w:val="11"/>
                <w:b w:val="1"/>
                <w:bCs w:val="1"/>
                <w:color w:val="auto"/>
              </w:rPr>
              <w:t>754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754</w:t>
            </w:r>
          </w:p>
        </w:tc>
        <w:tc>
          <w:tcPr>
            <w:tcW w:w="0" w:type="dxa"/>
            <w:vAlign w:val="bottom"/>
          </w:tcPr>
          <w:p>
            <w:pPr>
              <w:spacing w:after="0"/>
              <w:rPr>
                <w:sz w:val="1"/>
                <w:szCs w:val="1"/>
                <w:color w:val="auto"/>
              </w:rPr>
            </w:pPr>
          </w:p>
        </w:tc>
      </w:tr>
      <w:tr>
        <w:trPr>
          <w:trHeight w:val="145"/>
        </w:trPr>
        <w:tc>
          <w:tcPr>
            <w:tcW w:w="39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taxes</w:t>
            </w:r>
          </w:p>
        </w:tc>
        <w:tc>
          <w:tcPr>
            <w:tcW w:w="12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Arial" w:cs="Arial" w:eastAsia="Arial" w:hAnsi="Arial"/>
                <w:sz w:val="11"/>
                <w:szCs w:val="11"/>
                <w:color w:val="auto"/>
              </w:rPr>
              <w:t>Stock options exercised</w:t>
            </w:r>
          </w:p>
        </w:tc>
        <w:tc>
          <w:tcPr>
            <w:tcW w:w="1140" w:type="dxa"/>
            <w:vAlign w:val="bottom"/>
          </w:tcPr>
          <w:p>
            <w:pPr>
              <w:jc w:val="right"/>
              <w:ind w:right="63"/>
              <w:spacing w:after="0"/>
              <w:rPr>
                <w:sz w:val="20"/>
                <w:szCs w:val="20"/>
                <w:color w:val="auto"/>
              </w:rPr>
            </w:pPr>
            <w:r>
              <w:rPr>
                <w:rFonts w:ascii="Arial" w:cs="Arial" w:eastAsia="Arial" w:hAnsi="Arial"/>
                <w:sz w:val="11"/>
                <w:szCs w:val="11"/>
                <w:b w:val="1"/>
                <w:bCs w:val="1"/>
                <w:color w:val="auto"/>
              </w:rPr>
              <w:t>34,015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b w:val="1"/>
                <w:bCs w:val="1"/>
                <w:color w:val="auto"/>
              </w:rPr>
              <w:t>263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1"/>
                <w:szCs w:val="11"/>
                <w:b w:val="1"/>
                <w:bCs w:val="1"/>
                <w:color w:val="auto"/>
              </w:rPr>
              <w:t>(163)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1"/>
                <w:szCs w:val="11"/>
                <w:b w:val="1"/>
                <w:bCs w:val="1"/>
                <w:color w:val="auto"/>
              </w:rPr>
              <w:t>100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244</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Arial" w:cs="Arial" w:eastAsia="Arial" w:hAnsi="Arial"/>
                <w:sz w:val="11"/>
                <w:szCs w:val="11"/>
                <w:color w:val="auto"/>
              </w:rPr>
              <w:t>Shares repurchased and retired</w:t>
            </w:r>
          </w:p>
        </w:tc>
        <w:tc>
          <w:tcPr>
            <w:tcW w:w="1140" w:type="dxa"/>
            <w:vAlign w:val="bottom"/>
          </w:tcPr>
          <w:p>
            <w:pPr>
              <w:jc w:val="right"/>
              <w:ind w:right="23"/>
              <w:spacing w:after="0"/>
              <w:rPr>
                <w:sz w:val="20"/>
                <w:szCs w:val="20"/>
                <w:color w:val="auto"/>
              </w:rPr>
            </w:pPr>
            <w:r>
              <w:rPr>
                <w:rFonts w:ascii="Arial" w:cs="Arial" w:eastAsia="Arial" w:hAnsi="Arial"/>
                <w:sz w:val="11"/>
                <w:szCs w:val="11"/>
                <w:b w:val="1"/>
                <w:bCs w:val="1"/>
                <w:color w:val="auto"/>
              </w:rPr>
              <w:t>(112,134)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5"/>
              <w:spacing w:after="0"/>
              <w:rPr>
                <w:sz w:val="20"/>
                <w:szCs w:val="20"/>
                <w:color w:val="auto"/>
              </w:rPr>
            </w:pPr>
            <w:r>
              <w:rPr>
                <w:rFonts w:ascii="Arial" w:cs="Arial" w:eastAsia="Arial" w:hAnsi="Arial"/>
                <w:sz w:val="11"/>
                <w:szCs w:val="11"/>
                <w:b w:val="1"/>
                <w:bCs w:val="1"/>
                <w:color w:val="auto"/>
              </w:rPr>
              <w:t>(1,282)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1040" w:type="dxa"/>
            <w:vAlign w:val="bottom"/>
          </w:tcPr>
          <w:p>
            <w:pPr>
              <w:jc w:val="right"/>
              <w:ind w:right="5"/>
              <w:spacing w:after="0"/>
              <w:rPr>
                <w:sz w:val="20"/>
                <w:szCs w:val="20"/>
                <w:color w:val="auto"/>
              </w:rPr>
            </w:pPr>
            <w:r>
              <w:rPr>
                <w:rFonts w:ascii="Arial" w:cs="Arial" w:eastAsia="Arial" w:hAnsi="Arial"/>
                <w:sz w:val="11"/>
                <w:szCs w:val="11"/>
                <w:b w:val="1"/>
                <w:bCs w:val="1"/>
                <w:color w:val="auto"/>
              </w:rPr>
              <w:t>(1,283)</w:t>
            </w:r>
          </w:p>
        </w:tc>
        <w:tc>
          <w:tcPr>
            <w:tcW w:w="0" w:type="dxa"/>
            <w:vAlign w:val="bottom"/>
          </w:tcPr>
          <w:p>
            <w:pPr>
              <w:spacing w:after="0"/>
              <w:rPr>
                <w:sz w:val="1"/>
                <w:szCs w:val="1"/>
                <w:color w:val="auto"/>
              </w:rPr>
            </w:pPr>
          </w:p>
        </w:tc>
      </w:tr>
      <w:tr>
        <w:trPr>
          <w:trHeight w:val="186"/>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March 31, 2020</w:t>
            </w:r>
          </w:p>
        </w:tc>
        <w:tc>
          <w:tcPr>
            <w:tcW w:w="11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13,816,723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b w:val="1"/>
                <w:bCs w:val="1"/>
                <w:color w:val="auto"/>
              </w:rPr>
              <w:t>138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50,786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w:t>
            </w:r>
          </w:p>
        </w:tc>
        <w:tc>
          <w:tcPr>
            <w:tcW w:w="8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b w:val="1"/>
                <w:bCs w:val="1"/>
                <w:color w:val="auto"/>
              </w:rPr>
              <w:t>84,389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1"/>
                <w:szCs w:val="11"/>
                <w:b w:val="1"/>
                <w:bCs w:val="1"/>
                <w:color w:val="auto"/>
              </w:rPr>
              <w:t>767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136,080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605" w:right="3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156210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119380</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0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18415</wp:posOffset>
            </wp:positionV>
            <wp:extent cx="19265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6590" cy="698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5"/>
        </w:trPr>
        <w:tc>
          <w:tcPr>
            <w:tcW w:w="822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2,934</w:t>
            </w:r>
          </w:p>
        </w:tc>
        <w:tc>
          <w:tcPr>
            <w:tcW w:w="100" w:type="dxa"/>
            <w:vAlign w:val="bottom"/>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3,319</w:t>
            </w:r>
          </w:p>
        </w:tc>
      </w:tr>
      <w:tr>
        <w:trPr>
          <w:trHeight w:val="220"/>
        </w:trPr>
        <w:tc>
          <w:tcPr>
            <w:tcW w:w="8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Provision for loan losses</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2,409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121</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Provision for losses on mortgage loans sold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Provision for (recovery of) off balance sheet credit risk</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(10)</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amortization on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522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594</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Director and employee compensation paid in stock</w:t>
            </w: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150</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 benefit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Amortization of debt issuance expense</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8</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Mortgage banking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(4,017)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(2,376)</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Proceeds from sales of loans held for sale</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181,513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74,068</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Originations of loans held for 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(180,421)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(74,796)</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Changes in assets and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8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Accrued interest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w:t>
            </w:r>
          </w:p>
        </w:tc>
      </w:tr>
      <w:tr>
        <w:trPr>
          <w:trHeight w:val="205"/>
        </w:trPr>
        <w:tc>
          <w:tcPr>
            <w:tcW w:w="8220" w:type="dxa"/>
            <w:vAlign w:val="bottom"/>
          </w:tcPr>
          <w:p>
            <w:pPr>
              <w:ind w:left="300"/>
              <w:spacing w:after="0"/>
              <w:rPr>
                <w:sz w:val="20"/>
                <w:szCs w:val="20"/>
                <w:color w:val="auto"/>
              </w:rPr>
            </w:pPr>
            <w:r>
              <w:rPr>
                <w:rFonts w:ascii="Arial" w:cs="Arial" w:eastAsia="Arial" w:hAnsi="Arial"/>
                <w:sz w:val="13"/>
                <w:szCs w:val="13"/>
                <w:color w:val="auto"/>
              </w:rPr>
              <w:t>Prepaid income taxes and taxes payable</w:t>
            </w: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4</w:t>
            </w:r>
          </w:p>
        </w:tc>
      </w:tr>
      <w:tr>
        <w:trPr>
          <w:trHeight w:val="220"/>
        </w:trPr>
        <w:tc>
          <w:tcPr>
            <w:tcW w:w="8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(737)</w:t>
            </w:r>
          </w:p>
        </w:tc>
      </w:tr>
      <w:tr>
        <w:trPr>
          <w:trHeight w:val="205"/>
        </w:trPr>
        <w:tc>
          <w:tcPr>
            <w:tcW w:w="8220" w:type="dxa"/>
            <w:vAlign w:val="bottom"/>
          </w:tcPr>
          <w:p>
            <w:pPr>
              <w:ind w:left="300"/>
              <w:spacing w:after="0"/>
              <w:rPr>
                <w:sz w:val="20"/>
                <w:szCs w:val="20"/>
                <w:color w:val="auto"/>
              </w:rPr>
            </w:pPr>
            <w:r>
              <w:rPr>
                <w:rFonts w:ascii="Arial" w:cs="Arial" w:eastAsia="Arial" w:hAnsi="Arial"/>
                <w:sz w:val="13"/>
                <w:szCs w:val="13"/>
                <w:color w:val="auto"/>
              </w:rPr>
              <w:t>Accrued interest payable</w:t>
            </w:r>
          </w:p>
        </w:tc>
        <w:tc>
          <w:tcPr>
            <w:tcW w:w="34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405</w:t>
            </w:r>
          </w:p>
        </w:tc>
      </w:tr>
      <w:tr>
        <w:trPr>
          <w:trHeight w:val="212"/>
        </w:trPr>
        <w:tc>
          <w:tcPr>
            <w:tcW w:w="8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904</w:t>
            </w:r>
          </w:p>
        </w:tc>
      </w:tr>
      <w:tr>
        <w:trPr>
          <w:trHeight w:val="192"/>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3,065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1,789</w:t>
            </w:r>
          </w:p>
        </w:tc>
      </w:tr>
      <w:tr>
        <w:trPr>
          <w:trHeight w:val="210"/>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8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Maturities, calls and principal paydowns of securities available for 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1,191</w:t>
            </w:r>
          </w:p>
        </w:tc>
      </w:tr>
      <w:tr>
        <w:trPr>
          <w:trHeight w:val="205"/>
        </w:trPr>
        <w:tc>
          <w:tcPr>
            <w:tcW w:w="8220" w:type="dxa"/>
            <w:vAlign w:val="bottom"/>
          </w:tcPr>
          <w:p>
            <w:pPr>
              <w:ind w:left="120"/>
              <w:spacing w:after="0"/>
              <w:rPr>
                <w:sz w:val="20"/>
                <w:szCs w:val="20"/>
                <w:color w:val="auto"/>
              </w:rPr>
            </w:pPr>
            <w:r>
              <w:rPr>
                <w:rFonts w:ascii="Arial" w:cs="Arial" w:eastAsia="Arial" w:hAnsi="Arial"/>
                <w:sz w:val="13"/>
                <w:szCs w:val="13"/>
                <w:color w:val="auto"/>
              </w:rPr>
              <w:t>Sales (purchases) of restricted investments</w:t>
            </w:r>
          </w:p>
        </w:tc>
        <w:tc>
          <w:tcPr>
            <w:tcW w:w="34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19</w:t>
            </w:r>
          </w:p>
        </w:tc>
      </w:tr>
      <w:tr>
        <w:trPr>
          <w:trHeight w:val="220"/>
        </w:trPr>
        <w:tc>
          <w:tcPr>
            <w:tcW w:w="8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increase in loans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(17,892)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(7,799)</w:t>
            </w:r>
          </w:p>
        </w:tc>
      </w:tr>
      <w:tr>
        <w:trPr>
          <w:trHeight w:val="205"/>
        </w:trPr>
        <w:tc>
          <w:tcPr>
            <w:tcW w:w="8220" w:type="dxa"/>
            <w:vAlign w:val="bottom"/>
          </w:tcPr>
          <w:p>
            <w:pPr>
              <w:ind w:left="120"/>
              <w:spacing w:after="0"/>
              <w:rPr>
                <w:sz w:val="20"/>
                <w:szCs w:val="20"/>
                <w:color w:val="auto"/>
              </w:rPr>
            </w:pPr>
            <w:r>
              <w:rPr>
                <w:rFonts w:ascii="Arial" w:cs="Arial" w:eastAsia="Arial" w:hAnsi="Arial"/>
                <w:sz w:val="13"/>
                <w:szCs w:val="13"/>
                <w:color w:val="auto"/>
              </w:rPr>
              <w:t>Net disposals (purchases) of premises and equipment</w:t>
            </w:r>
          </w:p>
        </w:tc>
        <w:tc>
          <w:tcPr>
            <w:tcW w:w="34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111</w:t>
            </w:r>
          </w:p>
        </w:tc>
      </w:tr>
      <w:tr>
        <w:trPr>
          <w:trHeight w:val="212"/>
        </w:trPr>
        <w:tc>
          <w:tcPr>
            <w:tcW w:w="8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of foreclosed real estate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r>
      <w:tr>
        <w:trPr>
          <w:trHeight w:val="192"/>
        </w:trPr>
        <w:tc>
          <w:tcPr>
            <w:tcW w:w="8220" w:type="dxa"/>
            <w:vAlign w:val="bottom"/>
          </w:tcPr>
          <w:p>
            <w:pPr>
              <w:ind w:left="380"/>
              <w:spacing w:after="0"/>
              <w:rPr>
                <w:sz w:val="20"/>
                <w:szCs w:val="20"/>
                <w:color w:val="auto"/>
              </w:rPr>
            </w:pPr>
            <w:r>
              <w:rPr>
                <w:rFonts w:ascii="Arial" w:cs="Arial" w:eastAsia="Arial" w:hAnsi="Arial"/>
                <w:sz w:val="13"/>
                <w:szCs w:val="13"/>
                <w:color w:val="auto"/>
              </w:rPr>
              <w:t>Net cash used by investing activities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(15,995)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(6,428)</w:t>
            </w:r>
          </w:p>
        </w:tc>
      </w:t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5"/>
        </w:trPr>
        <w:tc>
          <w:tcPr>
            <w:tcW w:w="8220" w:type="dxa"/>
            <w:vAlign w:val="bottom"/>
          </w:tcPr>
          <w:p>
            <w:pPr>
              <w:ind w:left="120"/>
              <w:spacing w:after="0"/>
              <w:rPr>
                <w:sz w:val="20"/>
                <w:szCs w:val="20"/>
                <w:color w:val="auto"/>
              </w:rPr>
            </w:pPr>
            <w:r>
              <w:rPr>
                <w:rFonts w:ascii="Arial" w:cs="Arial" w:eastAsia="Arial" w:hAnsi="Arial"/>
                <w:sz w:val="13"/>
                <w:szCs w:val="13"/>
                <w:color w:val="auto"/>
              </w:rPr>
              <w:t>Net increase (decrease)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Noninterest-bearing deposits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71,646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19,976</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Interest-bearing deposits</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5,846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(7,494)</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Securities sold under agreements to repurchase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(322)</w:t>
            </w:r>
          </w:p>
        </w:tc>
      </w:tr>
      <w:tr>
        <w:trPr>
          <w:trHeight w:val="205"/>
        </w:trPr>
        <w:tc>
          <w:tcPr>
            <w:tcW w:w="8220" w:type="dxa"/>
            <w:vAlign w:val="bottom"/>
          </w:tcPr>
          <w:p>
            <w:pPr>
              <w:ind w:left="220"/>
              <w:spacing w:after="0"/>
              <w:rPr>
                <w:sz w:val="20"/>
                <w:szCs w:val="20"/>
                <w:color w:val="auto"/>
              </w:rPr>
            </w:pPr>
            <w:r>
              <w:rPr>
                <w:rFonts w:ascii="Arial" w:cs="Arial" w:eastAsia="Arial" w:hAnsi="Arial"/>
                <w:sz w:val="13"/>
                <w:szCs w:val="13"/>
                <w:color w:val="auto"/>
              </w:rPr>
              <w:t>Federal funds purchased</w:t>
            </w:r>
          </w:p>
        </w:tc>
        <w:tc>
          <w:tcPr>
            <w:tcW w:w="3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(2,000)</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Federal Home Loan Bank advances,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(2,000)</w:t>
            </w:r>
          </w:p>
        </w:tc>
      </w:tr>
      <w:tr>
        <w:trPr>
          <w:trHeight w:val="205"/>
        </w:trPr>
        <w:tc>
          <w:tcPr>
            <w:tcW w:w="8220" w:type="dxa"/>
            <w:vAlign w:val="bottom"/>
          </w:tcPr>
          <w:p>
            <w:pPr>
              <w:ind w:left="120"/>
              <w:spacing w:after="0"/>
              <w:rPr>
                <w:sz w:val="20"/>
                <w:szCs w:val="20"/>
                <w:color w:val="auto"/>
              </w:rPr>
            </w:pPr>
            <w:r>
              <w:rPr>
                <w:rFonts w:ascii="Arial" w:cs="Arial" w:eastAsia="Arial" w:hAnsi="Arial"/>
                <w:sz w:val="13"/>
                <w:szCs w:val="13"/>
                <w:color w:val="auto"/>
              </w:rPr>
              <w:t>Repurchase of common stock</w:t>
            </w:r>
          </w:p>
        </w:tc>
        <w:tc>
          <w:tcPr>
            <w:tcW w:w="34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(1,283)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12"/>
        </w:trPr>
        <w:tc>
          <w:tcPr>
            <w:tcW w:w="8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w:t>
            </w:r>
          </w:p>
        </w:tc>
      </w:tr>
      <w:tr>
        <w:trPr>
          <w:trHeight w:val="192"/>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72,976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8,267</w:t>
            </w:r>
          </w:p>
        </w:tc>
      </w:tr>
      <w:tr>
        <w:trPr>
          <w:trHeight w:val="210"/>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60,046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3,628</w:t>
            </w:r>
          </w:p>
        </w:tc>
      </w:tr>
      <w:tr>
        <w:trPr>
          <w:trHeight w:val="220"/>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and cash equivalents, beginning of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114,824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34,723</w:t>
            </w:r>
          </w:p>
        </w:tc>
      </w:tr>
      <w:tr>
        <w:trPr>
          <w:trHeight w:val="210"/>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and cash equivalents, end of period</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174,870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38,351</w:t>
            </w:r>
          </w:p>
        </w:tc>
      </w:tr>
      <w:tr>
        <w:trPr>
          <w:trHeight w:val="186"/>
        </w:trPr>
        <w:tc>
          <w:tcPr>
            <w:tcW w:w="8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60"/>
          </w:cols>
          <w:pgMar w:left="320" w:top="265"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156210</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119380</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0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18415</wp:posOffset>
            </wp:positionV>
            <wp:extent cx="192659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6590" cy="698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r>
      <w:tr>
        <w:trPr>
          <w:trHeight w:val="204"/>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Noncash activities: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Loans transferred to foreclosed real estate</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1,018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Change in unrealized gains on investments</w:t>
            </w:r>
          </w:p>
        </w:tc>
        <w:tc>
          <w:tcPr>
            <w:tcW w:w="940" w:type="dxa"/>
            <w:vAlign w:val="bottom"/>
            <w:tcBorders>
              <w:bottom w:val="single" w:sz="8" w:color="auto"/>
            </w:tcBorders>
          </w:tcPr>
          <w:p>
            <w:pPr>
              <w:jc w:val="right"/>
              <w:ind w:right="797"/>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1,040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370</w:t>
            </w:r>
          </w:p>
        </w:tc>
      </w:tr>
      <w:tr>
        <w:trPr>
          <w:trHeight w:val="163"/>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Change in fair value of cash flow hedging derivative</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Establishment of lease right-of-use asset</w:t>
            </w:r>
          </w:p>
        </w:tc>
        <w:tc>
          <w:tcPr>
            <w:tcW w:w="940" w:type="dxa"/>
            <w:vAlign w:val="bottom"/>
            <w:tcBorders>
              <w:bottom w:val="single" w:sz="8" w:color="auto"/>
            </w:tcBorders>
          </w:tcPr>
          <w:p>
            <w:pPr>
              <w:jc w:val="right"/>
              <w:ind w:right="797"/>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5,158</w:t>
            </w:r>
          </w:p>
        </w:tc>
      </w:tr>
      <w:tr>
        <w:trPr>
          <w:trHeight w:val="163"/>
        </w:trPr>
        <w:tc>
          <w:tcPr>
            <w:tcW w:w="8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Establishment of lease liability</w:t>
            </w: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5,358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paid during the period for: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9"/>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Taxes</w:t>
            </w:r>
          </w:p>
        </w:tc>
        <w:tc>
          <w:tcPr>
            <w:tcW w:w="940" w:type="dxa"/>
            <w:vAlign w:val="bottom"/>
            <w:tcBorders>
              <w:bottom w:val="single" w:sz="8" w:color="auto"/>
            </w:tcBorders>
          </w:tcPr>
          <w:p>
            <w:pPr>
              <w:jc w:val="right"/>
              <w:ind w:right="797"/>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r>
      <w:tr>
        <w:trPr>
          <w:trHeight w:val="163"/>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4,180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3,169</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60"/>
          </w:cols>
          <w:pgMar w:left="320" w:top="265"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Capital Bancorp,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529590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Nature of operations:</w:t>
      </w:r>
    </w:p>
    <w:p>
      <w:pPr>
        <w:spacing w:after="0" w:line="195" w:lineRule="exact"/>
        <w:rPr>
          <w:sz w:val="20"/>
          <w:szCs w:val="20"/>
          <w:color w:val="auto"/>
        </w:rPr>
      </w:pPr>
    </w:p>
    <w:p>
      <w:pPr>
        <w:jc w:val="both"/>
        <w:ind w:firstLine="255"/>
        <w:spacing w:after="0" w:line="247" w:lineRule="auto"/>
        <w:rPr>
          <w:sz w:val="20"/>
          <w:szCs w:val="20"/>
          <w:color w:val="auto"/>
        </w:rPr>
      </w:pPr>
      <w:r>
        <w:rPr>
          <w:rFonts w:ascii="Arial" w:cs="Arial" w:eastAsia="Arial" w:hAnsi="Arial"/>
          <w:sz w:val="14"/>
          <w:szCs w:val="14"/>
          <w:color w:val="auto"/>
        </w:rPr>
        <w:t>Capital Bancorp, Inc. is a Maryland corporation and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our residential mortgage banking arm, and issues credit cards through OpenSky</w:t>
      </w:r>
      <w:r>
        <w:rPr>
          <w:rFonts w:ascii="Arial" w:cs="Arial" w:eastAsia="Arial" w:hAnsi="Arial"/>
          <w:sz w:val="16"/>
          <w:szCs w:val="16"/>
          <w:color w:val="auto"/>
          <w:vertAlign w:val="superscript"/>
        </w:rPr>
        <w:t>®</w:t>
      </w:r>
      <w:r>
        <w:rPr>
          <w:rFonts w:ascii="Arial" w:cs="Arial" w:eastAsia="Arial" w:hAnsi="Arial"/>
          <w:sz w:val="14"/>
          <w:szCs w:val="14"/>
          <w:color w:val="auto"/>
        </w:rPr>
        <w:t>, a secured, digitally-driven nationwide credit card platform.</w:t>
      </w:r>
    </w:p>
    <w:p>
      <w:pPr>
        <w:spacing w:after="0" w:line="166"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formed Church Street Capital, LLC (“Church Street Capital”) in 2014 to provide short-term secured real estate financing to Washington, D.C. area investors and developers that may not meet all Bank credit criteria.</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 October 2018, the Company completed its initial public offering (“IPO”), in which 1,834,310 shares of common stock were issued at $12.50 per share, generating net proceeds of $19.8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Basis of presentation:</w:t>
      </w:r>
    </w:p>
    <w:p>
      <w:pPr>
        <w:spacing w:after="0" w:line="19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Risks and Uncertainties</w:t>
      </w:r>
    </w:p>
    <w:p>
      <w:pPr>
        <w:spacing w:after="0" w:line="17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novel coronavirus (“COVID-19”) spread rapidly across the world in the first quarter of 2020 and was declared a pandemic by the World Health Organization. The government and private sector responses to contain its spread began to significantly affect our operations in March and will likely adversely affect our operations in subsequent quarters, although such effects may vary significantly. The duration and extent of the effects over longer terms cannot be reasonably estimated at this time. The risks and uncertainties resulting from the pandemic most likely to affect our future earnings, cash flows and financial condition in future quarters primarily include the nature and duration of the financial effects felt by our customers and the related impact on the customers' ability to fulfill their financial obligations to the Company as well as the potential decline of real estate values resulting from market disruption which may impair the recorded values of collateral-dependent loans. Accordingly, significant estimates used in the preparation of our financial statements may be subject to significant adjustments in future periods. The greater the duration and severity of the pandemic the more likely that estimates will be materially impacted by its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244" w:right="31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Significant Accounting Policies:</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preparation of consolidated financial statements in accordance with GAAP requires estimates and judgments that affect the reported amounts of assets, liabilities, revenues and expenses and related disclosures of contingent assets and liabilities. The basis of the estimates is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Estimates are evaluated on an ongoing basis. Actual results may differ from these estimates under different assumptions or conditions.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Investment securities</w:t>
      </w:r>
    </w:p>
    <w:p>
      <w:pPr>
        <w:spacing w:after="0" w:line="17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will be charged to income.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Loans held for sale</w:t>
      </w:r>
    </w:p>
    <w:p>
      <w:pPr>
        <w:spacing w:after="0" w:line="17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servicing rights recorded for the value of such servicing. Interest on loans held for sale is credited to income based on the principal amounts outstanding.</w:t>
      </w:r>
    </w:p>
    <w:p>
      <w:pPr>
        <w:spacing w:after="0" w:line="159" w:lineRule="exact"/>
        <w:rPr>
          <w:sz w:val="20"/>
          <w:szCs w:val="20"/>
          <w:color w:val="auto"/>
        </w:rPr>
      </w:pPr>
    </w:p>
    <w:p>
      <w:pPr>
        <w:jc w:val="both"/>
        <w:ind w:firstLine="255"/>
        <w:spacing w:after="0" w:line="170" w:lineRule="exact"/>
        <w:rPr>
          <w:sz w:val="20"/>
          <w:szCs w:val="20"/>
          <w:color w:val="auto"/>
        </w:rPr>
      </w:pPr>
      <w:r>
        <w:rPr>
          <w:rFonts w:ascii="Arial" w:cs="Arial" w:eastAsia="Arial" w:hAnsi="Arial"/>
          <w:sz w:val="14"/>
          <w:szCs w:val="14"/>
          <w:color w:val="auto"/>
        </w:rPr>
        <w:t>Upon sale and delivery, loans are legally isolated from the Company and the Company has no ability to restrict or constrain the ability of third</w:t>
      </w:r>
      <w:r>
        <w:rPr>
          <w:rFonts w:ascii="MS PGothic" w:cs="MS PGothic" w:eastAsia="MS PGothic" w:hAnsi="MS PGothic"/>
          <w:sz w:val="14"/>
          <w:szCs w:val="14"/>
          <w:color w:val="auto"/>
        </w:rPr>
        <w:t>‑</w:t>
      </w:r>
      <w:r>
        <w:rPr>
          <w:rFonts w:ascii="Arial" w:cs="Arial" w:eastAsia="Arial" w:hAnsi="Arial"/>
          <w:sz w:val="14"/>
          <w:szCs w:val="14"/>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4"/>
          <w:szCs w:val="14"/>
          <w:color w:val="auto"/>
        </w:rPr>
        <w:t>‑</w:t>
      </w:r>
      <w:r>
        <w:rPr>
          <w:rFonts w:ascii="Arial" w:cs="Arial" w:eastAsia="Arial" w:hAnsi="Arial"/>
          <w:sz w:val="14"/>
          <w:szCs w:val="14"/>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7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elected to measure loans held for sale at fair value to better align reported results with the underlying economic changes in value of the loans on the Company’s balance sheet.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Loans and the Allowance for Loan Losses</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Loans are stated at the principal amount outstanding, adjusted for deferred origination fees and costs, discounts on loans acquired, and the allowance for loan losses. Interest is accrued based on the loan</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605" w:right="31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principal balances and stated interest rates. Origination fees and costs are recognized as an adjustment to the related loan yield using approximate interest methods. The Company discontinues the accrual of interest when any portion of the principal and interest is 90 days past due and collateral is insufficient to discharge the debt in full. Generally, interest payments on nonaccrual loans are recorded as a reduction of the principal balance.</w:t>
      </w:r>
    </w:p>
    <w:p>
      <w:pPr>
        <w:spacing w:after="0" w:line="158"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16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152"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(with a specific evaluation of COVID-19 impact); commitments and concentrations of credit; changes in the quality of the Company’s loan review system; and the volume of loans with identified incomplete financial documentation. Actual loan performance may differ from those estimates. A loss is recognized as a charge to the allowance when management believes that collection of the loan is unlikely. Collections of loans previously charged off are added to the allowance at the time of recovery.</w:t>
      </w:r>
    </w:p>
    <w:p>
      <w:pPr>
        <w:spacing w:after="0" w:line="16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Company determines the allowance for loan losses based on the accumulation of various components that are calculated independently in accordance with ASC 450 for pools of loans, and ASC 310 for Troubled Debt Restructuring and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 losses, qualitative factors, and the potential COVID-19 impact can be found in the risk factors and Note 4 - loans receivable.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Premises and equipment</w:t>
      </w:r>
    </w:p>
    <w:p>
      <w:pPr>
        <w:spacing w:after="0" w:line="17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 useful lives of the improvements, approximately ten years, or the term of the lease, whichever is less. Expenditures for maintenance, repairs, and minor replacements are charged to noninterest expenses as incurred.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605" w:right="31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Leases</w:t>
      </w:r>
    </w:p>
    <w:p>
      <w:pPr>
        <w:spacing w:after="0" w:line="16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 xml:space="preserve">During the first quarter of 2019, the Company adopted Accounting Standards Update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16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Company is largely accounting for existing operating leases consistent with prior guidance except for the incremental balance sheet recognition for leases. The adoption of this standard resulted in the Company recognizing lease right-of-use assets and related lease liabilities totaling $5.2 million and $5.4 million, respectively, as of January 1, 2019. The difference between the lease assets and the lease liabilities was $146 thousand of deferred rent, which was reclassified to lease liabilities, and the remainder was recorded as an adjustment to retained earnings in the amount of $54 thousand. The adoption of this ASU did not have a significant impact on the Company’s consolidated statement of income. Additional information is included in Note 6 - Leases.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w:t>
      </w:r>
    </w:p>
    <w:p>
      <w:pPr>
        <w:spacing w:after="0" w:line="17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6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 xml:space="preserve">The Company accounts for derivative instruments and hedging activities according to guidelines established in Financial Accounting Standards Board (“FASB”) Accounting Standards Codification (“ASC”) 815-10, </w:t>
      </w:r>
      <w:r>
        <w:rPr>
          <w:rFonts w:ascii="Arial" w:cs="Arial" w:eastAsia="Arial" w:hAnsi="Arial"/>
          <w:sz w:val="14"/>
          <w:szCs w:val="14"/>
          <w:i w:val="1"/>
          <w:iCs w:val="1"/>
          <w:color w:val="auto"/>
        </w:rPr>
        <w:t>Accounting for Derivative Instruments and Hedging Activities</w:t>
      </w:r>
      <w:r>
        <w:rPr>
          <w:rFonts w:ascii="Arial" w:cs="Arial" w:eastAsia="Arial" w:hAnsi="Arial"/>
          <w:sz w:val="14"/>
          <w:szCs w:val="14"/>
          <w:color w:val="auto"/>
        </w:rPr>
        <w:t>, as amended. The Company recognizes all derivatives as either assets or liabilities on the 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Fair Value Measurements</w:t>
      </w:r>
    </w:p>
    <w:p>
      <w:pPr>
        <w:spacing w:after="0" w:line="17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605"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Financial assets that are recorded at fair value on a recurring basis include investment securities available for sale, loans held for sale, and derivative financial instruments.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Financial liabilities that are recorded at fair value on a recurring basis are comprised of derivative financial instruments. Additional information is included in Note 7 -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Income Taxes</w:t>
      </w:r>
    </w:p>
    <w:p>
      <w:pPr>
        <w:spacing w:after="0" w:line="17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Earnings per share:</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March 31, 2020 and 2019, there were 251,251 and 273,600 stock options, respectively, that were not included in the calculation as their effect would have been anti-dilutive.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8"/>
          </w:tcPr>
          <w:p>
            <w:pPr>
              <w:spacing w:after="0"/>
              <w:rPr>
                <w:sz w:val="20"/>
                <w:szCs w:val="20"/>
                <w:color w:val="auto"/>
              </w:rPr>
            </w:pPr>
            <w:r>
              <w:rPr>
                <w:rFonts w:ascii="Arial" w:cs="Arial" w:eastAsia="Arial" w:hAnsi="Arial"/>
                <w:sz w:val="11"/>
                <w:szCs w:val="11"/>
                <w:b w:val="1"/>
                <w:bCs w:val="1"/>
                <w:color w:val="auto"/>
              </w:rPr>
              <w:t>For the Three Months Ended March 31,</w:t>
            </w: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203"/>
        </w:trPr>
        <w:tc>
          <w:tcPr>
            <w:tcW w:w="4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2"/>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05"/>
        </w:trPr>
        <w:tc>
          <w:tcPr>
            <w:tcW w:w="4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rPr>
              <w:t>Income</w:t>
            </w:r>
          </w:p>
        </w:tc>
        <w:tc>
          <w:tcPr>
            <w:tcW w:w="1260" w:type="dxa"/>
            <w:vAlign w:val="bottom"/>
          </w:tcPr>
          <w:p>
            <w:pPr>
              <w:jc w:val="right"/>
              <w:ind w:right="342"/>
              <w:spacing w:after="0" w:line="106" w:lineRule="exact"/>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240"/>
              <w:spacing w:after="0" w:line="106" w:lineRule="exact"/>
              <w:rPr>
                <w:sz w:val="20"/>
                <w:szCs w:val="20"/>
                <w:color w:val="auto"/>
              </w:rPr>
            </w:pPr>
            <w:r>
              <w:rPr>
                <w:rFonts w:ascii="Arial" w:cs="Arial" w:eastAsia="Arial" w:hAnsi="Arial"/>
                <w:sz w:val="10"/>
                <w:szCs w:val="10"/>
                <w:b w:val="1"/>
                <w:bCs w:val="1"/>
                <w:color w:val="auto"/>
                <w:w w:val="98"/>
              </w:rPr>
              <w:t>Per Share</w:t>
            </w:r>
          </w:p>
        </w:tc>
        <w:tc>
          <w:tcPr>
            <w:tcW w:w="200" w:type="dxa"/>
            <w:vAlign w:val="bottom"/>
          </w:tcPr>
          <w:p>
            <w:pPr>
              <w:spacing w:after="0"/>
              <w:rPr>
                <w:sz w:val="9"/>
                <w:szCs w:val="9"/>
                <w:color w:val="auto"/>
              </w:rPr>
            </w:pPr>
          </w:p>
        </w:tc>
        <w:tc>
          <w:tcPr>
            <w:tcW w:w="1020" w:type="dxa"/>
            <w:vAlign w:val="bottom"/>
            <w:gridSpan w:val="2"/>
          </w:tcPr>
          <w:p>
            <w:pPr>
              <w:jc w:val="center"/>
              <w:ind w:right="300"/>
              <w:spacing w:after="0" w:line="106" w:lineRule="exact"/>
              <w:rPr>
                <w:sz w:val="20"/>
                <w:szCs w:val="20"/>
                <w:color w:val="auto"/>
              </w:rPr>
            </w:pPr>
            <w:r>
              <w:rPr>
                <w:rFonts w:ascii="Arial" w:cs="Arial" w:eastAsia="Arial" w:hAnsi="Arial"/>
                <w:sz w:val="10"/>
                <w:szCs w:val="10"/>
                <w:color w:val="auto"/>
                <w:w w:val="97"/>
              </w:rPr>
              <w:t>Income</w:t>
            </w:r>
          </w:p>
        </w:tc>
        <w:tc>
          <w:tcPr>
            <w:tcW w:w="1440" w:type="dxa"/>
            <w:vAlign w:val="bottom"/>
            <w:gridSpan w:val="2"/>
          </w:tcPr>
          <w:p>
            <w:pPr>
              <w:jc w:val="center"/>
              <w:ind w:right="80"/>
              <w:spacing w:after="0" w:line="106" w:lineRule="exact"/>
              <w:rPr>
                <w:sz w:val="20"/>
                <w:szCs w:val="20"/>
                <w:color w:val="auto"/>
              </w:rPr>
            </w:pPr>
            <w:r>
              <w:rPr>
                <w:rFonts w:ascii="Arial" w:cs="Arial" w:eastAsia="Arial" w:hAnsi="Arial"/>
                <w:sz w:val="10"/>
                <w:szCs w:val="10"/>
                <w:color w:val="auto"/>
              </w:rPr>
              <w:t>Shares</w:t>
            </w:r>
          </w:p>
        </w:tc>
        <w:tc>
          <w:tcPr>
            <w:tcW w:w="140" w:type="dxa"/>
            <w:vAlign w:val="bottom"/>
          </w:tcPr>
          <w:p>
            <w:pPr>
              <w:spacing w:after="0"/>
              <w:rPr>
                <w:sz w:val="9"/>
                <w:szCs w:val="9"/>
                <w:color w:val="auto"/>
              </w:rPr>
            </w:pPr>
          </w:p>
        </w:tc>
        <w:tc>
          <w:tcPr>
            <w:tcW w:w="640" w:type="dxa"/>
            <w:vAlign w:val="bottom"/>
          </w:tcPr>
          <w:p>
            <w:pPr>
              <w:jc w:val="right"/>
              <w:ind w:right="103"/>
              <w:spacing w:after="0" w:line="106" w:lineRule="exact"/>
              <w:rPr>
                <w:sz w:val="20"/>
                <w:szCs w:val="20"/>
                <w:color w:val="auto"/>
              </w:rPr>
            </w:pPr>
            <w:r>
              <w:rPr>
                <w:rFonts w:ascii="Arial" w:cs="Arial" w:eastAsia="Arial" w:hAnsi="Arial"/>
                <w:sz w:val="10"/>
                <w:szCs w:val="10"/>
                <w:color w:val="auto"/>
              </w:rPr>
              <w:t>Per Share</w:t>
            </w:r>
          </w:p>
        </w:tc>
      </w:tr>
      <w:tr>
        <w:trPr>
          <w:trHeight w:val="137"/>
        </w:trPr>
        <w:tc>
          <w:tcPr>
            <w:tcW w:w="4180" w:type="dxa"/>
            <w:vAlign w:val="bottom"/>
          </w:tcPr>
          <w:p>
            <w:pPr>
              <w:ind w:left="20"/>
              <w:spacing w:after="0"/>
              <w:rPr>
                <w:sz w:val="20"/>
                <w:szCs w:val="20"/>
                <w:color w:val="auto"/>
              </w:rPr>
            </w:pPr>
            <w:r>
              <w:rPr>
                <w:rFonts w:ascii="Arial" w:cs="Arial" w:eastAsia="Arial" w:hAnsi="Arial"/>
                <w:sz w:val="8"/>
                <w:szCs w:val="8"/>
                <w:color w:val="auto"/>
              </w:rPr>
              <w:t>(dollars in thousands, except per share information)</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(Numerator)</w:t>
            </w:r>
          </w:p>
        </w:tc>
        <w:tc>
          <w:tcPr>
            <w:tcW w:w="1260" w:type="dxa"/>
            <w:vAlign w:val="bottom"/>
          </w:tcPr>
          <w:p>
            <w:pPr>
              <w:jc w:val="right"/>
              <w:ind w:right="182"/>
              <w:spacing w:after="0"/>
              <w:rPr>
                <w:sz w:val="20"/>
                <w:szCs w:val="20"/>
                <w:color w:val="auto"/>
              </w:rPr>
            </w:pPr>
            <w:r>
              <w:rPr>
                <w:rFonts w:ascii="Arial" w:cs="Arial" w:eastAsia="Arial" w:hAnsi="Arial"/>
                <w:sz w:val="10"/>
                <w:szCs w:val="10"/>
                <w:b w:val="1"/>
                <w:bCs w:val="1"/>
                <w:color w:val="auto"/>
              </w:rPr>
              <w:t>(Denominator)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0"/>
                <w:szCs w:val="10"/>
                <w:color w:val="auto"/>
                <w:w w:val="96"/>
              </w:rPr>
              <w:t>(Numerator)</w:t>
            </w:r>
          </w:p>
        </w:tc>
        <w:tc>
          <w:tcPr>
            <w:tcW w:w="1440" w:type="dxa"/>
            <w:vAlign w:val="bottom"/>
            <w:gridSpan w:val="2"/>
          </w:tcPr>
          <w:p>
            <w:pPr>
              <w:jc w:val="center"/>
              <w:ind w:right="80"/>
              <w:spacing w:after="0"/>
              <w:rPr>
                <w:sz w:val="20"/>
                <w:szCs w:val="20"/>
                <w:color w:val="auto"/>
              </w:rPr>
            </w:pPr>
            <w:r>
              <w:rPr>
                <w:rFonts w:ascii="Arial" w:cs="Arial" w:eastAsia="Arial" w:hAnsi="Arial"/>
                <w:sz w:val="10"/>
                <w:szCs w:val="10"/>
                <w:color w:val="auto"/>
              </w:rPr>
              <w:t>(Denominator)</w:t>
            </w:r>
          </w:p>
        </w:tc>
        <w:tc>
          <w:tcPr>
            <w:tcW w:w="140" w:type="dxa"/>
            <w:vAlign w:val="bottom"/>
          </w:tcPr>
          <w:p>
            <w:pPr>
              <w:spacing w:after="0"/>
              <w:rPr>
                <w:sz w:val="11"/>
                <w:szCs w:val="11"/>
                <w:color w:val="auto"/>
              </w:rPr>
            </w:pPr>
          </w:p>
        </w:tc>
        <w:tc>
          <w:tcPr>
            <w:tcW w:w="640" w:type="dxa"/>
            <w:vAlign w:val="bottom"/>
          </w:tcPr>
          <w:p>
            <w:pPr>
              <w:jc w:val="right"/>
              <w:ind w:right="163"/>
              <w:spacing w:after="0"/>
              <w:rPr>
                <w:sz w:val="20"/>
                <w:szCs w:val="20"/>
                <w:color w:val="auto"/>
              </w:rPr>
            </w:pPr>
            <w:r>
              <w:rPr>
                <w:rFonts w:ascii="Arial" w:cs="Arial" w:eastAsia="Arial" w:hAnsi="Arial"/>
                <w:sz w:val="10"/>
                <w:szCs w:val="10"/>
                <w:color w:val="auto"/>
              </w:rPr>
              <w:t>Amount</w:t>
            </w:r>
          </w:p>
        </w:tc>
      </w:tr>
      <w:tr>
        <w:trPr>
          <w:trHeight w:val="21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Basic</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9"/>
        </w:trPr>
        <w:tc>
          <w:tcPr>
            <w:tcW w:w="4180" w:type="dxa"/>
            <w:vAlign w:val="bottom"/>
          </w:tcPr>
          <w:p>
            <w:pPr>
              <w:ind w:left="20"/>
              <w:spacing w:after="0"/>
              <w:rPr>
                <w:sz w:val="20"/>
                <w:szCs w:val="20"/>
                <w:color w:val="auto"/>
              </w:rPr>
            </w:pPr>
            <w:r>
              <w:rPr>
                <w:rFonts w:ascii="Arial" w:cs="Arial" w:eastAsia="Arial" w:hAnsi="Arial"/>
                <w:sz w:val="13"/>
                <w:szCs w:val="13"/>
                <w:color w:val="auto"/>
              </w:rPr>
              <w:t>Net income available to common stockholders</w:t>
            </w:r>
          </w:p>
        </w:tc>
        <w:tc>
          <w:tcPr>
            <w:tcW w:w="20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3"/>
                <w:szCs w:val="13"/>
                <w:b w:val="1"/>
                <w:bCs w:val="1"/>
                <w:color w:val="auto"/>
              </w:rPr>
              <w:t>2,934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13,876,428</w:t>
            </w: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43"/>
              <w:spacing w:after="0"/>
              <w:rPr>
                <w:sz w:val="20"/>
                <w:szCs w:val="20"/>
                <w:color w:val="auto"/>
              </w:rPr>
            </w:pPr>
            <w:r>
              <w:rPr>
                <w:rFonts w:ascii="Arial" w:cs="Arial" w:eastAsia="Arial" w:hAnsi="Arial"/>
                <w:sz w:val="13"/>
                <w:szCs w:val="13"/>
                <w:b w:val="1"/>
                <w:bCs w:val="1"/>
                <w:color w:val="auto"/>
              </w:rPr>
              <w:t>0.21</w:t>
            </w:r>
          </w:p>
        </w:tc>
        <w:tc>
          <w:tcPr>
            <w:tcW w:w="1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42"/>
              <w:spacing w:after="0"/>
              <w:rPr>
                <w:sz w:val="20"/>
                <w:szCs w:val="20"/>
                <w:color w:val="auto"/>
              </w:rPr>
            </w:pPr>
            <w:r>
              <w:rPr>
                <w:rFonts w:ascii="Arial" w:cs="Arial" w:eastAsia="Arial" w:hAnsi="Arial"/>
                <w:sz w:val="13"/>
                <w:szCs w:val="13"/>
                <w:color w:val="auto"/>
              </w:rPr>
              <w:t>3,319</w:t>
            </w:r>
          </w:p>
        </w:tc>
        <w:tc>
          <w:tcPr>
            <w:tcW w:w="10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3"/>
                <w:szCs w:val="13"/>
                <w:color w:val="auto"/>
              </w:rPr>
              <w:t>13,702,433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3"/>
              <w:spacing w:after="0"/>
              <w:rPr>
                <w:sz w:val="20"/>
                <w:szCs w:val="20"/>
                <w:color w:val="auto"/>
              </w:rPr>
            </w:pPr>
            <w:r>
              <w:rPr>
                <w:rFonts w:ascii="Arial" w:cs="Arial" w:eastAsia="Arial" w:hAnsi="Arial"/>
                <w:sz w:val="13"/>
                <w:szCs w:val="13"/>
                <w:color w:val="auto"/>
              </w:rPr>
              <w:t>0.24</w:t>
            </w:r>
          </w:p>
        </w:tc>
      </w:tr>
      <w:tr>
        <w:trPr>
          <w:trHeight w:val="179"/>
        </w:trPr>
        <w:tc>
          <w:tcPr>
            <w:tcW w:w="4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Effect of dilutive securities</w:t>
            </w:r>
          </w:p>
        </w:tc>
        <w:tc>
          <w:tcPr>
            <w:tcW w:w="200" w:type="dxa"/>
            <w:vAlign w:val="bottom"/>
            <w:tcBorders>
              <w:top w:val="single" w:sz="8" w:color="CCEEFF"/>
              <w:bottom w:val="single" w:sz="8" w:color="auto"/>
            </w:tcBorders>
            <w:shd w:val="clear" w:color="auto" w:fill="CCEEFF"/>
          </w:tcPr>
          <w:p>
            <w:pPr>
              <w:spacing w:after="0"/>
              <w:rPr>
                <w:sz w:val="15"/>
                <w:szCs w:val="15"/>
                <w:color w:val="auto"/>
              </w:rPr>
            </w:pPr>
          </w:p>
        </w:tc>
        <w:tc>
          <w:tcPr>
            <w:tcW w:w="960" w:type="dxa"/>
            <w:vAlign w:val="bottom"/>
            <w:tcBorders>
              <w:top w:val="single" w:sz="8" w:color="CCEEFF"/>
              <w:bottom w:val="single" w:sz="8" w:color="auto"/>
            </w:tcBorders>
            <w:shd w:val="clear" w:color="auto" w:fill="CCEEFF"/>
          </w:tcPr>
          <w:p>
            <w:pPr>
              <w:jc w:val="right"/>
              <w:ind w:right="62"/>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199,328</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auto"/>
            </w:tcBorders>
            <w:shd w:val="clear" w:color="auto" w:fill="CCEEFF"/>
          </w:tcPr>
          <w:p>
            <w:pPr>
              <w:spacing w:after="0"/>
              <w:rPr>
                <w:sz w:val="15"/>
                <w:szCs w:val="15"/>
                <w:color w:val="auto"/>
              </w:rPr>
            </w:pPr>
          </w:p>
        </w:tc>
        <w:tc>
          <w:tcPr>
            <w:tcW w:w="920" w:type="dxa"/>
            <w:vAlign w:val="bottom"/>
            <w:tcBorders>
              <w:top w:val="single" w:sz="8" w:color="CCEEFF"/>
              <w:bottom w:val="single" w:sz="8" w:color="auto"/>
            </w:tcBorders>
            <w:shd w:val="clear" w:color="auto" w:fill="CCEEFF"/>
          </w:tcPr>
          <w:p>
            <w:pPr>
              <w:jc w:val="right"/>
              <w:ind w:right="42"/>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auto"/>
            </w:tcBorders>
            <w:shd w:val="clear" w:color="auto" w:fill="CCEEFF"/>
          </w:tcPr>
          <w:p>
            <w:pPr>
              <w:jc w:val="right"/>
              <w:ind w:right="42"/>
              <w:spacing w:after="0"/>
              <w:rPr>
                <w:sz w:val="20"/>
                <w:szCs w:val="20"/>
                <w:color w:val="auto"/>
              </w:rPr>
            </w:pPr>
            <w:r>
              <w:rPr>
                <w:rFonts w:ascii="Arial" w:cs="Arial" w:eastAsia="Arial" w:hAnsi="Arial"/>
                <w:sz w:val="13"/>
                <w:szCs w:val="13"/>
                <w:color w:val="auto"/>
              </w:rPr>
              <w:t>175,192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187"/>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Earnings per share - Diluted</w:t>
            </w:r>
          </w:p>
        </w:tc>
        <w:tc>
          <w:tcPr>
            <w:tcW w:w="20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3"/>
                <w:szCs w:val="13"/>
                <w:b w:val="1"/>
                <w:bCs w:val="1"/>
                <w:color w:val="auto"/>
              </w:rPr>
              <w:t>2,934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14,075,756</w:t>
            </w: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43"/>
              <w:spacing w:after="0"/>
              <w:rPr>
                <w:sz w:val="20"/>
                <w:szCs w:val="20"/>
                <w:color w:val="auto"/>
              </w:rPr>
            </w:pPr>
            <w:r>
              <w:rPr>
                <w:rFonts w:ascii="Arial" w:cs="Arial" w:eastAsia="Arial" w:hAnsi="Arial"/>
                <w:sz w:val="13"/>
                <w:szCs w:val="13"/>
                <w:b w:val="1"/>
                <w:bCs w:val="1"/>
                <w:color w:val="auto"/>
              </w:rPr>
              <w:t>0.21</w:t>
            </w:r>
          </w:p>
        </w:tc>
        <w:tc>
          <w:tcPr>
            <w:tcW w:w="12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42"/>
              <w:spacing w:after="0"/>
              <w:rPr>
                <w:sz w:val="20"/>
                <w:szCs w:val="20"/>
                <w:color w:val="auto"/>
              </w:rPr>
            </w:pPr>
            <w:r>
              <w:rPr>
                <w:rFonts w:ascii="Arial" w:cs="Arial" w:eastAsia="Arial" w:hAnsi="Arial"/>
                <w:sz w:val="13"/>
                <w:szCs w:val="13"/>
                <w:color w:val="auto"/>
              </w:rPr>
              <w:t>3,319</w:t>
            </w:r>
          </w:p>
        </w:tc>
        <w:tc>
          <w:tcPr>
            <w:tcW w:w="100" w:type="dxa"/>
            <w:vAlign w:val="bottom"/>
          </w:tcPr>
          <w:p>
            <w:pPr>
              <w:spacing w:after="0"/>
              <w:rPr>
                <w:sz w:val="16"/>
                <w:szCs w:val="16"/>
                <w:color w:val="auto"/>
              </w:rPr>
            </w:pPr>
          </w:p>
        </w:tc>
        <w:tc>
          <w:tcPr>
            <w:tcW w:w="1340" w:type="dxa"/>
            <w:vAlign w:val="bottom"/>
          </w:tcPr>
          <w:p>
            <w:pPr>
              <w:jc w:val="right"/>
              <w:ind w:right="42"/>
              <w:spacing w:after="0"/>
              <w:rPr>
                <w:sz w:val="20"/>
                <w:szCs w:val="20"/>
                <w:color w:val="auto"/>
              </w:rPr>
            </w:pPr>
            <w:r>
              <w:rPr>
                <w:rFonts w:ascii="Arial" w:cs="Arial" w:eastAsia="Arial" w:hAnsi="Arial"/>
                <w:sz w:val="13"/>
                <w:szCs w:val="13"/>
                <w:color w:val="auto"/>
              </w:rPr>
              <w:t>13,877,625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3"/>
              <w:spacing w:after="0"/>
              <w:rPr>
                <w:sz w:val="20"/>
                <w:szCs w:val="20"/>
                <w:color w:val="auto"/>
              </w:rPr>
            </w:pPr>
            <w:r>
              <w:rPr>
                <w:rFonts w:ascii="Arial" w:cs="Arial" w:eastAsia="Arial" w:hAnsi="Arial"/>
                <w:sz w:val="13"/>
                <w:szCs w:val="13"/>
                <w:color w:val="auto"/>
              </w:rPr>
              <w:t>0.24</w:t>
            </w:r>
          </w:p>
        </w:tc>
      </w:tr>
      <w:tr>
        <w:trPr>
          <w:trHeight w:val="20"/>
        </w:trPr>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Comprehensive income:</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605" w:right="31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37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Company's only component of other comprehensive income is unrealized gains and losses on investment securities available for sale, net of income taxes. Information concerning the Company's accumulated other comprehensive income (loss) as of March 31, 2020 and December 31, 2019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March 31, 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December 31, 2019</w:t>
            </w:r>
          </w:p>
        </w:tc>
      </w:tr>
      <w:tr>
        <w:trPr>
          <w:trHeight w:val="20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Unrealized gains on securities available for sale</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8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8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w:t>
            </w:r>
          </w:p>
        </w:tc>
      </w:tr>
      <w:tr>
        <w:trPr>
          <w:trHeight w:val="205"/>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Deferred tax expense</w:t>
            </w: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(290)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87"/>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Total accumulated comprehensive income</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w:t>
            </w:r>
          </w:p>
        </w:tc>
        <w:tc>
          <w:tcPr>
            <w:tcW w:w="1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767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Recently issued accounting pronouncements:</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June 2016, the FASB issued guidance to change the accounting for credit losses and modify the impairment model for certain debt securities. The FASB subsequently revised ASU 2019-10, which delayed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32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will apply the amendments to the ASU through a cumulative-effect adjustment to retained earnings as of the beginning of the year of adoption. While early adoption has been permitted since first quarter 2019, the Company does not expect to early adopt. In addition to the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15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April 2019, the FASB issued guidance that clarifies and improves areas of guidance related to the recently issued standards on loan losses, hedging, and recognition and measurement of financial instruments. The amendments related to loan losses will be effective for the Company for reporting periods beginning after December 15, 2022. The amendments related to hedging were effective for the Company for interim and annual periods beginning after December 15, 2018. The amendments related to recognition and measurement of financial instruments were adopted by the Company during the first quarter of 2018.</w:t>
      </w:r>
    </w:p>
    <w:p>
      <w:pPr>
        <w:spacing w:after="0" w:line="15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November 2019, the FASB issued guidance to defer the effective dates for private companies, not-for-profit organizations, and certain smaller reporting companies applying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 within those fiscal years. Early adoption is permitted in any interim period as long as an entity has adopted</w:t>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605" w:right="31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the amendments in ASU 2016-13. The Company does not expect these amendments to have a material effect on its financial statements.</w:t>
      </w:r>
    </w:p>
    <w:p>
      <w:pPr>
        <w:spacing w:after="0" w:line="17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 by clarifying and amending existing guidance. The amendments are effective for fiscal years beginning after December 15, 2020, including interim periods within those fiscal years. Early adoption is permitted. The Company does not expect these amendments to have a material effect on its financial statements.</w:t>
      </w:r>
    </w:p>
    <w:p>
      <w:pPr>
        <w:spacing w:after="0" w:line="15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the ability to elect its temporary optional expedients and exceptions are effective for the Company as of March 12, 2020 through December 31, 2022.</w:t>
      </w:r>
    </w:p>
    <w:p>
      <w:pPr>
        <w:spacing w:after="0" w:line="161"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March 2020, various regulatory agencies, including the Board of Governors of the Federal Reserve System and the Federal Deposit Insurance Corporation, (“the agencies”) issued an interagency statement on loan modifications and reporting for financial institutions working with customers affected by the Coronavirus. The interagency statement was effective immediately and impacted accounting for loan modifications. Under Accounting Standards Codification 310-40, “Receivables - Troubled Debt Restructurings by Creditors,” (“ASC 310-40”), a restructuring of debt constitutes a troubled debt restructuring (“TDR”) if the creditor, for economic or legal reasons related to the debtor’s financial difficulties, grants a concession to the debtor that it would not otherwise consider. The agencies confirmed with the staff of the FASB that short-term modifications made on a good faith basis in response to COVID-19 to borrowers who were current prior to any relief, are not to be considered TDRs. This includes short-term (e.g., six months) modifications such as payment deferrals, fee waivers, extensions of repayment terms, or other delays in payment that are insignificant. Borrowers considered current are those that are less than 30 days past due on their contractual payments at the time a modification program is implemented. As of March 31, 2020, the Company has offered payment deferrals for commercial and consumer customers for up to six months. The loan modifications offered to specific loan types are as follows:</w:t>
      </w:r>
    </w:p>
    <w:p>
      <w:pPr>
        <w:spacing w:after="0" w:line="164" w:lineRule="exact"/>
        <w:rPr>
          <w:sz w:val="20"/>
          <w:szCs w:val="20"/>
          <w:color w:val="auto"/>
        </w:rPr>
      </w:pPr>
    </w:p>
    <w:p>
      <w:pPr>
        <w:jc w:val="both"/>
        <w:ind w:left="1020" w:hanging="251"/>
        <w:spacing w:after="0" w:line="25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auto"/>
        </w:rPr>
        <w:t>Full payment-balloon or full amortization loans</w:t>
      </w:r>
      <w:r>
        <w:rPr>
          <w:rFonts w:ascii="Arial" w:cs="Arial" w:eastAsia="Arial" w:hAnsi="Arial"/>
          <w:sz w:val="14"/>
          <w:szCs w:val="14"/>
          <w:color w:val="auto"/>
        </w:rPr>
        <w:t xml:space="preserve"> - Once the deferral period has ended, the Company will go back to billing principal and interest. As payments are made, all funds will go towards interest until all accrued interest has been caught up. Once the accrued interest is satisfied, future payments will be broken out for both principal and interest. The amount of principal that had been deferred will be re-amortized when the balloon maturity/payoff date occurs.</w:t>
      </w:r>
    </w:p>
    <w:p>
      <w:pPr>
        <w:spacing w:after="0" w:line="157" w:lineRule="exact"/>
        <w:rPr>
          <w:rFonts w:ascii="Arial" w:cs="Arial" w:eastAsia="Arial" w:hAnsi="Arial"/>
          <w:sz w:val="14"/>
          <w:szCs w:val="14"/>
          <w:color w:val="auto"/>
        </w:rPr>
      </w:pPr>
    </w:p>
    <w:p>
      <w:pPr>
        <w:jc w:val="both"/>
        <w:ind w:left="1020" w:hanging="251"/>
        <w:spacing w:after="0" w:line="25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auto"/>
        </w:rPr>
        <w:t>Full payment ARM loans</w:t>
      </w:r>
      <w:r>
        <w:rPr>
          <w:rFonts w:ascii="Arial" w:cs="Arial" w:eastAsia="Arial" w:hAnsi="Arial"/>
          <w:sz w:val="14"/>
          <w:szCs w:val="14"/>
          <w:color w:val="auto"/>
        </w:rPr>
        <w:t xml:space="preserve"> - Once the deferral period has ended, the Company will go back to billing principal and interest. As payments are made, all funds will go towards interest until all accrued interest has been caught up. Once the accrued interest is satisfied, future payments will be broken out for both principal and interest. The amount of principal that had been deferred will be re-amortized when the ARM repricing occurs.</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605" w:right="31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377" w:lineRule="exact"/>
        <w:rPr>
          <w:sz w:val="20"/>
          <w:szCs w:val="20"/>
          <w:color w:val="auto"/>
        </w:rPr>
      </w:pPr>
    </w:p>
    <w:p>
      <w:pPr>
        <w:jc w:val="both"/>
        <w:ind w:left="1020" w:hanging="251"/>
        <w:spacing w:after="0" w:line="25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u w:val="single" w:color="auto"/>
          <w:color w:val="auto"/>
        </w:rPr>
        <w:t>Full Payment Rate Reset Loans</w:t>
      </w:r>
      <w:r>
        <w:rPr>
          <w:rFonts w:ascii="Arial" w:cs="Arial" w:eastAsia="Arial" w:hAnsi="Arial"/>
          <w:sz w:val="14"/>
          <w:szCs w:val="14"/>
          <w:color w:val="auto"/>
        </w:rPr>
        <w:t xml:space="preserve"> - Once the deferral period has ended, the Company will go back to billing principal and interest. As payments are made, all funds will go towards interest until all accrued interest has been caught up. Once the accrued interest is satisfied, future payments will be broken out for both principal and interest. The amount of principal that had been deferred will be re-amortized when the rate reset occurs.</w:t>
      </w:r>
    </w:p>
    <w:p>
      <w:pPr>
        <w:spacing w:after="0" w:line="157" w:lineRule="exact"/>
        <w:rPr>
          <w:rFonts w:ascii="Arial" w:cs="Arial" w:eastAsia="Arial" w:hAnsi="Arial"/>
          <w:sz w:val="14"/>
          <w:szCs w:val="14"/>
          <w:color w:val="auto"/>
        </w:rPr>
      </w:pPr>
    </w:p>
    <w:p>
      <w:pPr>
        <w:ind w:left="1020" w:hanging="251"/>
        <w:spacing w:after="0" w:line="266"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u w:val="single" w:color="auto"/>
          <w:color w:val="auto"/>
        </w:rPr>
        <w:t>Principal deferral only loans (any type)</w:t>
      </w:r>
      <w:r>
        <w:rPr>
          <w:rFonts w:ascii="Arial" w:cs="Arial" w:eastAsia="Arial" w:hAnsi="Arial"/>
          <w:sz w:val="14"/>
          <w:szCs w:val="14"/>
          <w:color w:val="auto"/>
        </w:rPr>
        <w:t xml:space="preserve"> - Once the deferral period has ended, the Company will go back to billing principal and interest. The principal amount that has been deferred will be re-amortized when either the maturity, ARM repricing or rate reset occurs.</w:t>
      </w:r>
    </w:p>
    <w:p>
      <w:pPr>
        <w:spacing w:after="0" w:line="152" w:lineRule="exact"/>
        <w:rPr>
          <w:rFonts w:ascii="Arial" w:cs="Arial" w:eastAsia="Arial" w:hAnsi="Arial"/>
          <w:sz w:val="14"/>
          <w:szCs w:val="14"/>
          <w:color w:val="auto"/>
        </w:rPr>
      </w:pPr>
    </w:p>
    <w:p>
      <w:pPr>
        <w:ind w:left="1020" w:hanging="251"/>
        <w:spacing w:after="0" w:line="266"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u w:val="single" w:color="auto"/>
          <w:color w:val="auto"/>
        </w:rPr>
        <w:t>Consumer loans</w:t>
      </w:r>
      <w:r>
        <w:rPr>
          <w:rFonts w:ascii="Arial" w:cs="Arial" w:eastAsia="Arial" w:hAnsi="Arial"/>
          <w:sz w:val="14"/>
          <w:szCs w:val="14"/>
          <w:color w:val="auto"/>
        </w:rPr>
        <w:t xml:space="preserve"> - Borrowers are required to sign a change in the terms and agreements at the time of deferral, which re-amortizes the loan and extends the maturity date based on the number of months deferred.</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This interagency guidance is expected to have a material impact on the Company’s financial statements; however, this impact cannot be quantified at this time.Other accounting standards that have been issued or proposed by the FASB or other standards-setting bodies are not expected to have a material impact on the Company's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Reclassifications:</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Certain reclassifications have been made to the amounts reported in prior periods to conform to the current period presentation. The reclassifications had no effect on net income or total stockholders' equity.</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605" w:right="31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667639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7639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67639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7639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2 - Cash and Cash Equivalents</w:t>
      </w:r>
    </w:p>
    <w:p>
      <w:pPr>
        <w:spacing w:after="0" w:line="377"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Cash and cash equivalents include cash and due from banks, interest bearing deposits and federal funds sold. The Bank is required by regulations to maintain an average cash reserve balance based on a percentage of deposits. At March 31, 2020 and December 31, 2019, the requirements were satisfied by amounts on deposit with the Federal Reserve Bank and cash on hand.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Investment Securities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amortized cost and estimated fair value of investment securities at March 31, 2020 and December 31, 2019 are summarized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Investment Securities Available for Sale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64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38"/>
        </w:trPr>
        <w:tc>
          <w:tcPr>
            <w:tcW w:w="4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Amortized</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Unrealized</w:t>
            </w: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Unrealized</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Fair</w:t>
            </w:r>
          </w:p>
        </w:tc>
      </w:tr>
      <w:tr>
        <w:trPr>
          <w:trHeight w:val="155"/>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Cost</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Gains</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Losses</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Value</w:t>
            </w:r>
          </w:p>
        </w:tc>
      </w:tr>
      <w:tr>
        <w:trPr>
          <w:trHeight w:val="207"/>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Available for sale</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U.S. government-sponsored enterprises</w:t>
            </w:r>
          </w:p>
        </w:tc>
        <w:tc>
          <w:tcPr>
            <w:tcW w:w="1100" w:type="dxa"/>
            <w:vAlign w:val="bottom"/>
          </w:tcPr>
          <w:p>
            <w:pPr>
              <w:jc w:val="right"/>
              <w:ind w:right="96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63"/>
              <w:spacing w:after="0"/>
              <w:rPr>
                <w:sz w:val="20"/>
                <w:szCs w:val="20"/>
                <w:color w:val="auto"/>
              </w:rPr>
            </w:pPr>
            <w:r>
              <w:rPr>
                <w:rFonts w:ascii="Arial" w:cs="Arial" w:eastAsia="Arial" w:hAnsi="Arial"/>
                <w:sz w:val="11"/>
                <w:szCs w:val="11"/>
                <w:b w:val="1"/>
                <w:bCs w:val="1"/>
                <w:color w:val="auto"/>
              </w:rPr>
              <w:t>1,000</w:t>
            </w:r>
          </w:p>
        </w:tc>
        <w:tc>
          <w:tcPr>
            <w:tcW w:w="100" w:type="dxa"/>
            <w:vAlign w:val="bottom"/>
          </w:tcPr>
          <w:p>
            <w:pPr>
              <w:spacing w:after="0"/>
              <w:rPr>
                <w:sz w:val="18"/>
                <w:szCs w:val="18"/>
                <w:color w:val="auto"/>
              </w:rPr>
            </w:pPr>
          </w:p>
        </w:tc>
        <w:tc>
          <w:tcPr>
            <w:tcW w:w="1140" w:type="dxa"/>
            <w:vAlign w:val="bottom"/>
          </w:tcPr>
          <w:p>
            <w:pPr>
              <w:jc w:val="right"/>
              <w:ind w:right="983"/>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63"/>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8"/>
                <w:szCs w:val="18"/>
                <w:color w:val="auto"/>
              </w:rPr>
            </w:pPr>
          </w:p>
        </w:tc>
        <w:tc>
          <w:tcPr>
            <w:tcW w:w="1140" w:type="dxa"/>
            <w:vAlign w:val="bottom"/>
          </w:tcPr>
          <w:p>
            <w:pPr>
              <w:jc w:val="right"/>
              <w:ind w:right="1003"/>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ind w:right="43"/>
              <w:spacing w:after="0"/>
              <w:rPr>
                <w:sz w:val="20"/>
                <w:szCs w:val="20"/>
                <w:color w:val="auto"/>
              </w:rPr>
            </w:pPr>
            <w:r>
              <w:rPr>
                <w:rFonts w:ascii="Arial" w:cs="Arial" w:eastAsia="Arial" w:hAnsi="Arial"/>
                <w:sz w:val="11"/>
                <w:szCs w:val="11"/>
                <w:b w:val="1"/>
                <w:bCs w:val="1"/>
                <w:color w:val="auto"/>
              </w:rPr>
              <w:t>1,002</w:t>
            </w: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Municipal</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514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471</w:t>
            </w: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Corporate</w:t>
            </w:r>
          </w:p>
        </w:tc>
        <w:tc>
          <w:tcPr>
            <w:tcW w:w="1100" w:type="dxa"/>
            <w:vAlign w:val="bottom"/>
          </w:tcPr>
          <w:p>
            <w:pPr>
              <w:spacing w:after="0"/>
              <w:rPr>
                <w:sz w:val="18"/>
                <w:szCs w:val="18"/>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b w:val="1"/>
                <w:bCs w:val="1"/>
                <w:color w:val="auto"/>
              </w:rPr>
              <w:t>2,260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ind w:right="63"/>
              <w:spacing w:after="0"/>
              <w:rPr>
                <w:sz w:val="20"/>
                <w:szCs w:val="20"/>
                <w:color w:val="auto"/>
              </w:rPr>
            </w:pPr>
            <w:r>
              <w:rPr>
                <w:rFonts w:ascii="Arial" w:cs="Arial" w:eastAsia="Arial" w:hAnsi="Arial"/>
                <w:sz w:val="11"/>
                <w:szCs w:val="11"/>
                <w:b w:val="1"/>
                <w:bCs w:val="1"/>
                <w:color w:val="auto"/>
              </w:rPr>
              <w:t>25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ind w:right="23"/>
              <w:spacing w:after="0"/>
              <w:rPr>
                <w:sz w:val="20"/>
                <w:szCs w:val="20"/>
                <w:color w:val="auto"/>
              </w:rPr>
            </w:pPr>
            <w:r>
              <w:rPr>
                <w:rFonts w:ascii="Arial" w:cs="Arial" w:eastAsia="Arial" w:hAnsi="Arial"/>
                <w:sz w:val="11"/>
                <w:szCs w:val="11"/>
                <w:b w:val="1"/>
                <w:bCs w:val="1"/>
                <w:color w:val="auto"/>
              </w:rPr>
              <w:t>(82)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b w:val="1"/>
                <w:bCs w:val="1"/>
                <w:color w:val="auto"/>
              </w:rPr>
              <w:t>2,203</w:t>
            </w:r>
          </w:p>
        </w:tc>
      </w:tr>
      <w:tr>
        <w:trPr>
          <w:trHeight w:val="212"/>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Mortgage-backed securities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54,693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1,155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55,848</w:t>
            </w:r>
          </w:p>
        </w:tc>
      </w:tr>
      <w:tr>
        <w:trPr>
          <w:trHeight w:val="222"/>
        </w:trPr>
        <w:tc>
          <w:tcPr>
            <w:tcW w:w="4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63"/>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58,467</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rPr>
              <w:t>$</w:t>
            </w:r>
          </w:p>
        </w:tc>
        <w:tc>
          <w:tcPr>
            <w:tcW w:w="4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1,182</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03"/>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(125)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59,524</w:t>
            </w:r>
          </w:p>
        </w:tc>
      </w:tr>
      <w:tr>
        <w:trPr>
          <w:trHeight w:val="209"/>
        </w:trPr>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 2019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r>
      <w:tr>
        <w:trPr>
          <w:trHeight w:val="19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Available for sale</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U.S. government-sponsored enterprises</w:t>
            </w:r>
          </w:p>
        </w:tc>
        <w:tc>
          <w:tcPr>
            <w:tcW w:w="1100" w:type="dxa"/>
            <w:vAlign w:val="bottom"/>
          </w:tcPr>
          <w:p>
            <w:pPr>
              <w:jc w:val="right"/>
              <w:ind w:right="96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8"/>
                <w:szCs w:val="18"/>
                <w:color w:val="auto"/>
              </w:rPr>
            </w:pPr>
          </w:p>
        </w:tc>
        <w:tc>
          <w:tcPr>
            <w:tcW w:w="1140" w:type="dxa"/>
            <w:vAlign w:val="bottom"/>
          </w:tcPr>
          <w:p>
            <w:pPr>
              <w:jc w:val="right"/>
              <w:ind w:right="983"/>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100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999</w:t>
            </w: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Municipal</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515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528</w:t>
            </w: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Corporate</w:t>
            </w:r>
          </w:p>
        </w:tc>
        <w:tc>
          <w:tcPr>
            <w:tcW w:w="1100" w:type="dxa"/>
            <w:vAlign w:val="bottom"/>
          </w:tcPr>
          <w:p>
            <w:pPr>
              <w:spacing w:after="0"/>
              <w:rPr>
                <w:sz w:val="18"/>
                <w:szCs w:val="18"/>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2,542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ind w:right="63"/>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ind w:right="23"/>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2,565</w:t>
            </w:r>
          </w:p>
        </w:tc>
      </w:tr>
      <w:tr>
        <w:trPr>
          <w:trHeight w:val="212"/>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Mortgage-backed securities</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56,754</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117</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56,736</w:t>
            </w:r>
          </w:p>
        </w:tc>
      </w:tr>
      <w:tr>
        <w:trPr>
          <w:trHeight w:val="182"/>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96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60,811</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98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176</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100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60,828</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securities sold during the three months ended March 31, 2020 and 2019.</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605" w:right="31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3 - Investment Securities (continued)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Information related to unrealized losses in the investment portfolio as of March 31, 2020 and December 31, 2019 is summarized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Investment Securities Unrealized Losses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6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1"/>
                <w:szCs w:val="11"/>
                <w:b w:val="1"/>
                <w:bCs w:val="1"/>
                <w:color w:val="auto"/>
              </w:rPr>
              <w:t>Less than 12 months</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1"/>
                <w:szCs w:val="11"/>
                <w:b w:val="1"/>
                <w:bCs w:val="1"/>
                <w:color w:val="auto"/>
              </w:rPr>
              <w:t>12 months or longer</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Total</w:t>
            </w:r>
          </w:p>
        </w:tc>
        <w:tc>
          <w:tcPr>
            <w:tcW w:w="960" w:type="dxa"/>
            <w:vAlign w:val="bottom"/>
            <w:tcBorders>
              <w:bottom w:val="single" w:sz="8" w:color="auto"/>
            </w:tcBorders>
          </w:tcPr>
          <w:p>
            <w:pPr>
              <w:spacing w:after="0"/>
              <w:rPr>
                <w:sz w:val="13"/>
                <w:szCs w:val="13"/>
                <w:color w:val="auto"/>
              </w:rPr>
            </w:pPr>
          </w:p>
        </w:tc>
      </w:tr>
      <w:tr>
        <w:trPr>
          <w:trHeight w:val="133"/>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Fair</w:t>
            </w:r>
          </w:p>
        </w:tc>
        <w:tc>
          <w:tcPr>
            <w:tcW w:w="960" w:type="dxa"/>
            <w:vAlign w:val="bottom"/>
          </w:tcPr>
          <w:p>
            <w:pPr>
              <w:jc w:val="center"/>
              <w:ind w:left="243"/>
              <w:spacing w:after="0"/>
              <w:rPr>
                <w:sz w:val="20"/>
                <w:szCs w:val="20"/>
                <w:color w:val="auto"/>
              </w:rPr>
            </w:pPr>
            <w:r>
              <w:rPr>
                <w:rFonts w:ascii="Arial" w:cs="Arial" w:eastAsia="Arial" w:hAnsi="Arial"/>
                <w:sz w:val="11"/>
                <w:szCs w:val="11"/>
                <w:b w:val="1"/>
                <w:bCs w:val="1"/>
                <w:color w:val="auto"/>
              </w:rPr>
              <w:t>Unrealized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left="343"/>
              <w:spacing w:after="0"/>
              <w:rPr>
                <w:sz w:val="20"/>
                <w:szCs w:val="20"/>
                <w:color w:val="auto"/>
              </w:rPr>
            </w:pPr>
            <w:r>
              <w:rPr>
                <w:rFonts w:ascii="Arial" w:cs="Arial" w:eastAsia="Arial" w:hAnsi="Arial"/>
                <w:sz w:val="11"/>
                <w:szCs w:val="11"/>
                <w:b w:val="1"/>
                <w:bCs w:val="1"/>
                <w:color w:val="auto"/>
              </w:rPr>
              <w:t>Fair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left="243"/>
              <w:spacing w:after="0"/>
              <w:rPr>
                <w:sz w:val="20"/>
                <w:szCs w:val="20"/>
                <w:color w:val="auto"/>
              </w:rPr>
            </w:pPr>
            <w:r>
              <w:rPr>
                <w:rFonts w:ascii="Arial" w:cs="Arial" w:eastAsia="Arial" w:hAnsi="Arial"/>
                <w:sz w:val="11"/>
                <w:szCs w:val="11"/>
                <w:b w:val="1"/>
                <w:bCs w:val="1"/>
                <w:color w:val="auto"/>
              </w:rPr>
              <w:t>Unrealized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43"/>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Unrealized</w:t>
            </w:r>
          </w:p>
        </w:tc>
      </w:tr>
      <w:tr>
        <w:trPr>
          <w:trHeight w:val="15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rPr>
              <w:t>Losses</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rPr>
              <w:t>Value</w:t>
            </w:r>
          </w:p>
        </w:tc>
        <w:tc>
          <w:tcPr>
            <w:tcW w:w="94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rPr>
              <w:t>Losses</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Losses</w:t>
            </w:r>
          </w:p>
        </w:tc>
      </w:tr>
      <w:tr>
        <w:trPr>
          <w:trHeight w:val="203"/>
        </w:trPr>
        <w:tc>
          <w:tcPr>
            <w:tcW w:w="3960" w:type="dxa"/>
            <w:vAlign w:val="bottom"/>
            <w:gridSpan w:val="2"/>
          </w:tcPr>
          <w:p>
            <w:pPr>
              <w:ind w:left="20"/>
              <w:spacing w:after="0"/>
              <w:rPr>
                <w:sz w:val="20"/>
                <w:szCs w:val="20"/>
                <w:color w:val="auto"/>
              </w:rPr>
            </w:pPr>
            <w:r>
              <w:rPr>
                <w:rFonts w:ascii="Arial" w:cs="Arial" w:eastAsia="Arial" w:hAnsi="Arial"/>
                <w:sz w:val="11"/>
                <w:szCs w:val="11"/>
                <w:color w:val="auto"/>
              </w:rPr>
              <w:t>Municipal</w:t>
            </w:r>
          </w:p>
        </w:tc>
        <w:tc>
          <w:tcPr>
            <w:tcW w:w="2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b w:val="1"/>
                <w:bCs w:val="1"/>
                <w:color w:val="auto"/>
              </w:rPr>
              <w:t>471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jc w:val="right"/>
              <w:ind w:right="23"/>
              <w:spacing w:after="0"/>
              <w:rPr>
                <w:sz w:val="20"/>
                <w:szCs w:val="20"/>
                <w:color w:val="auto"/>
              </w:rPr>
            </w:pPr>
            <w:r>
              <w:rPr>
                <w:rFonts w:ascii="Arial" w:cs="Arial" w:eastAsia="Arial" w:hAnsi="Arial"/>
                <w:sz w:val="11"/>
                <w:szCs w:val="11"/>
                <w:b w:val="1"/>
                <w:bCs w:val="1"/>
                <w:color w:val="auto"/>
              </w:rPr>
              <w:t>(43)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7"/>
                <w:szCs w:val="17"/>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471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(43)</w:t>
            </w:r>
          </w:p>
        </w:tc>
      </w:tr>
      <w:tr>
        <w:trPr>
          <w:trHeight w:val="21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Corporate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999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179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(82)</w:t>
            </w:r>
          </w:p>
        </w:tc>
      </w:tr>
      <w:tr>
        <w:trPr>
          <w:trHeight w:val="222"/>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ind w:right="63"/>
              <w:spacing w:after="0"/>
              <w:rPr>
                <w:sz w:val="20"/>
                <w:szCs w:val="20"/>
                <w:color w:val="auto"/>
              </w:rPr>
            </w:pPr>
            <w:r>
              <w:rPr>
                <w:rFonts w:ascii="Arial" w:cs="Arial" w:eastAsia="Arial" w:hAnsi="Arial"/>
                <w:sz w:val="11"/>
                <w:szCs w:val="11"/>
                <w:b w:val="1"/>
                <w:bCs w:val="1"/>
                <w:color w:val="auto"/>
              </w:rPr>
              <w:t>1,470</w:t>
            </w:r>
          </w:p>
        </w:tc>
        <w:tc>
          <w:tcPr>
            <w:tcW w:w="100" w:type="dxa"/>
            <w:vAlign w:val="bottom"/>
          </w:tcPr>
          <w:p>
            <w:pPr>
              <w:spacing w:after="0"/>
              <w:rPr>
                <w:sz w:val="19"/>
                <w:szCs w:val="19"/>
                <w:color w:val="auto"/>
              </w:rPr>
            </w:pPr>
          </w:p>
        </w:tc>
        <w:tc>
          <w:tcPr>
            <w:tcW w:w="960" w:type="dxa"/>
            <w:vAlign w:val="bottom"/>
          </w:tcPr>
          <w:p>
            <w:pPr>
              <w:jc w:val="center"/>
              <w:ind w:right="783"/>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23"/>
              <w:spacing w:after="0"/>
              <w:rPr>
                <w:sz w:val="20"/>
                <w:szCs w:val="20"/>
                <w:color w:val="auto"/>
              </w:rPr>
            </w:pPr>
            <w:r>
              <w:rPr>
                <w:rFonts w:ascii="Arial" w:cs="Arial" w:eastAsia="Arial" w:hAnsi="Arial"/>
                <w:sz w:val="11"/>
                <w:szCs w:val="11"/>
                <w:b w:val="1"/>
                <w:bCs w:val="1"/>
                <w:color w:val="auto"/>
              </w:rPr>
              <w:t>(45)</w:t>
            </w:r>
          </w:p>
        </w:tc>
        <w:tc>
          <w:tcPr>
            <w:tcW w:w="120" w:type="dxa"/>
            <w:vAlign w:val="bottom"/>
          </w:tcPr>
          <w:p>
            <w:pPr>
              <w:spacing w:after="0"/>
              <w:rPr>
                <w:sz w:val="19"/>
                <w:szCs w:val="19"/>
                <w:color w:val="auto"/>
              </w:rPr>
            </w:pPr>
          </w:p>
        </w:tc>
        <w:tc>
          <w:tcPr>
            <w:tcW w:w="620" w:type="dxa"/>
            <w:vAlign w:val="bottom"/>
          </w:tcPr>
          <w:p>
            <w:pPr>
              <w:jc w:val="right"/>
              <w:ind w:right="483"/>
              <w:spacing w:after="0"/>
              <w:rPr>
                <w:sz w:val="20"/>
                <w:szCs w:val="20"/>
                <w:color w:val="auto"/>
              </w:rPr>
            </w:pPr>
            <w:r>
              <w:rPr>
                <w:rFonts w:ascii="Arial" w:cs="Arial" w:eastAsia="Arial" w:hAnsi="Arial"/>
                <w:sz w:val="11"/>
                <w:szCs w:val="11"/>
                <w:b w:val="1"/>
                <w:bCs w:val="1"/>
                <w:color w:val="auto"/>
                <w:w w:val="97"/>
              </w:rPr>
              <w:t>$</w:t>
            </w:r>
          </w:p>
        </w:tc>
        <w:tc>
          <w:tcPr>
            <w:tcW w:w="400" w:type="dxa"/>
            <w:vAlign w:val="bottom"/>
          </w:tcPr>
          <w:p>
            <w:pPr>
              <w:jc w:val="right"/>
              <w:ind w:right="63"/>
              <w:spacing w:after="0"/>
              <w:rPr>
                <w:sz w:val="20"/>
                <w:szCs w:val="20"/>
                <w:color w:val="auto"/>
              </w:rPr>
            </w:pPr>
            <w:r>
              <w:rPr>
                <w:rFonts w:ascii="Arial" w:cs="Arial" w:eastAsia="Arial" w:hAnsi="Arial"/>
                <w:sz w:val="11"/>
                <w:szCs w:val="11"/>
                <w:b w:val="1"/>
                <w:bCs w:val="1"/>
                <w:color w:val="auto"/>
              </w:rPr>
              <w:t>179</w:t>
            </w:r>
          </w:p>
        </w:tc>
        <w:tc>
          <w:tcPr>
            <w:tcW w:w="120" w:type="dxa"/>
            <w:vAlign w:val="bottom"/>
          </w:tcPr>
          <w:p>
            <w:pPr>
              <w:spacing w:after="0"/>
              <w:rPr>
                <w:sz w:val="19"/>
                <w:szCs w:val="19"/>
                <w:color w:val="auto"/>
              </w:rPr>
            </w:pPr>
          </w:p>
        </w:tc>
        <w:tc>
          <w:tcPr>
            <w:tcW w:w="940" w:type="dxa"/>
            <w:vAlign w:val="bottom"/>
          </w:tcPr>
          <w:p>
            <w:pPr>
              <w:jc w:val="center"/>
              <w:ind w:right="783"/>
              <w:spacing w:after="0"/>
              <w:rPr>
                <w:sz w:val="20"/>
                <w:szCs w:val="20"/>
                <w:color w:val="auto"/>
              </w:rPr>
            </w:pPr>
            <w:r>
              <w:rPr>
                <w:rFonts w:ascii="Arial" w:cs="Arial" w:eastAsia="Arial" w:hAnsi="Arial"/>
                <w:sz w:val="11"/>
                <w:szCs w:val="11"/>
                <w:b w:val="1"/>
                <w:bCs w:val="1"/>
                <w:color w:val="auto"/>
                <w:w w:val="97"/>
              </w:rPr>
              <w:t>$</w:t>
            </w:r>
          </w:p>
        </w:tc>
        <w:tc>
          <w:tcPr>
            <w:tcW w:w="300" w:type="dxa"/>
            <w:vAlign w:val="bottom"/>
          </w:tcPr>
          <w:p>
            <w:pPr>
              <w:jc w:val="right"/>
              <w:ind w:right="23"/>
              <w:spacing w:after="0"/>
              <w:rPr>
                <w:sz w:val="20"/>
                <w:szCs w:val="20"/>
                <w:color w:val="auto"/>
              </w:rPr>
            </w:pPr>
            <w:r>
              <w:rPr>
                <w:rFonts w:ascii="Arial" w:cs="Arial" w:eastAsia="Arial" w:hAnsi="Arial"/>
                <w:sz w:val="11"/>
                <w:szCs w:val="11"/>
                <w:b w:val="1"/>
                <w:bCs w:val="1"/>
                <w:color w:val="auto"/>
              </w:rPr>
              <w:t>(80)</w:t>
            </w:r>
          </w:p>
        </w:tc>
        <w:tc>
          <w:tcPr>
            <w:tcW w:w="100" w:type="dxa"/>
            <w:vAlign w:val="bottom"/>
          </w:tcPr>
          <w:p>
            <w:pPr>
              <w:spacing w:after="0"/>
              <w:rPr>
                <w:sz w:val="19"/>
                <w:szCs w:val="19"/>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43"/>
              <w:spacing w:after="0"/>
              <w:rPr>
                <w:sz w:val="20"/>
                <w:szCs w:val="20"/>
                <w:color w:val="auto"/>
              </w:rPr>
            </w:pPr>
            <w:r>
              <w:rPr>
                <w:rFonts w:ascii="Arial" w:cs="Arial" w:eastAsia="Arial" w:hAnsi="Arial"/>
                <w:sz w:val="11"/>
                <w:szCs w:val="11"/>
                <w:b w:val="1"/>
                <w:bCs w:val="1"/>
                <w:color w:val="auto"/>
              </w:rPr>
              <w:t>1,649</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(125)</w:t>
            </w:r>
          </w:p>
        </w:tc>
      </w:tr>
      <w:tr>
        <w:trPr>
          <w:trHeight w:val="188"/>
        </w:trPr>
        <w:tc>
          <w:tcPr>
            <w:tcW w:w="3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 2019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r>
      <w:tr>
        <w:trPr>
          <w:trHeight w:val="19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U.S. government-sponsored enterprises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center"/>
              <w:ind w:right="783"/>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8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999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783"/>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999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r>
      <w:tr>
        <w:trPr>
          <w:trHeight w:val="208"/>
        </w:trPr>
        <w:tc>
          <w:tcPr>
            <w:tcW w:w="3960" w:type="dxa"/>
            <w:vAlign w:val="bottom"/>
            <w:gridSpan w:val="2"/>
          </w:tcPr>
          <w:p>
            <w:pPr>
              <w:ind w:left="20"/>
              <w:spacing w:after="0"/>
              <w:rPr>
                <w:sz w:val="20"/>
                <w:szCs w:val="20"/>
                <w:color w:val="auto"/>
              </w:rPr>
            </w:pPr>
            <w:r>
              <w:rPr>
                <w:rFonts w:ascii="Arial" w:cs="Arial" w:eastAsia="Arial" w:hAnsi="Arial"/>
                <w:sz w:val="11"/>
                <w:szCs w:val="11"/>
                <w:color w:val="auto"/>
              </w:rPr>
              <w:t>Corporate</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8"/>
                <w:szCs w:val="18"/>
                <w:color w:val="auto"/>
              </w:rPr>
            </w:pP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519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jc w:val="right"/>
              <w:ind w:right="23"/>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519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(23)</w:t>
            </w:r>
          </w:p>
        </w:tc>
      </w:tr>
      <w:tr>
        <w:trPr>
          <w:trHeight w:val="21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Mortgage-backed securities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21,487</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(78)</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4"/>
              </w:rPr>
              <w:t>5,246</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26,733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(135)</w:t>
            </w:r>
          </w:p>
        </w:tc>
      </w:tr>
      <w:tr>
        <w:trPr>
          <w:trHeight w:val="182"/>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21,487</w:t>
            </w:r>
          </w:p>
        </w:tc>
        <w:tc>
          <w:tcPr>
            <w:tcW w:w="100" w:type="dxa"/>
            <w:vAlign w:val="bottom"/>
          </w:tcPr>
          <w:p>
            <w:pPr>
              <w:spacing w:after="0"/>
              <w:rPr>
                <w:sz w:val="15"/>
                <w:szCs w:val="15"/>
                <w:color w:val="auto"/>
              </w:rPr>
            </w:pPr>
          </w:p>
        </w:tc>
        <w:tc>
          <w:tcPr>
            <w:tcW w:w="960" w:type="dxa"/>
            <w:vAlign w:val="bottom"/>
          </w:tcPr>
          <w:p>
            <w:pPr>
              <w:jc w:val="center"/>
              <w:ind w:right="783"/>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23"/>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15"/>
                <w:szCs w:val="15"/>
                <w:color w:val="auto"/>
              </w:rPr>
            </w:pPr>
          </w:p>
        </w:tc>
        <w:tc>
          <w:tcPr>
            <w:tcW w:w="620" w:type="dxa"/>
            <w:vAlign w:val="bottom"/>
          </w:tcPr>
          <w:p>
            <w:pPr>
              <w:jc w:val="right"/>
              <w:ind w:right="483"/>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w w:val="94"/>
              </w:rPr>
              <w:t>6,764</w:t>
            </w:r>
          </w:p>
        </w:tc>
        <w:tc>
          <w:tcPr>
            <w:tcW w:w="120" w:type="dxa"/>
            <w:vAlign w:val="bottom"/>
          </w:tcPr>
          <w:p>
            <w:pPr>
              <w:spacing w:after="0"/>
              <w:rPr>
                <w:sz w:val="15"/>
                <w:szCs w:val="15"/>
                <w:color w:val="auto"/>
              </w:rPr>
            </w:pPr>
          </w:p>
        </w:tc>
        <w:tc>
          <w:tcPr>
            <w:tcW w:w="940" w:type="dxa"/>
            <w:vAlign w:val="bottom"/>
          </w:tcPr>
          <w:p>
            <w:pPr>
              <w:jc w:val="center"/>
              <w:ind w:right="783"/>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ind w:right="23"/>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5"/>
                <w:szCs w:val="15"/>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28,251</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(159)</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At March 31, 2020, there was one corporate security that had been in a loss position for greater than twelve months. At December 31, 2019, there was one U.S. government-sponsored enterprises security, two corporate securities, and four mortgage-backed securities that had been in a loss position for greater than twelve months. Management believes that the unrealized loss at March 31, 2020 has resulted from changes in the interest rates and current market conditions and not as a result of credit deterioration. Management has the ability and the intent to hold these investment securities until maturity or until they recover in value.</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summary of pledged securities at March 31, 2020 and December 31, 2019 is shown below:</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Pledged Securities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1"/>
                <w:szCs w:val="11"/>
                <w:b w:val="1"/>
                <w:bCs w:val="1"/>
                <w:color w:val="auto"/>
              </w:rPr>
              <w:t>March 31, 2020</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2019</w:t>
            </w:r>
          </w:p>
        </w:tc>
        <w:tc>
          <w:tcPr>
            <w:tcW w:w="760" w:type="dxa"/>
            <w:vAlign w:val="bottom"/>
            <w:tcBorders>
              <w:bottom w:val="single" w:sz="8" w:color="auto"/>
            </w:tcBorders>
          </w:tcPr>
          <w:p>
            <w:pPr>
              <w:spacing w:after="0"/>
              <w:rPr>
                <w:sz w:val="13"/>
                <w:szCs w:val="13"/>
                <w:color w:val="auto"/>
              </w:rPr>
            </w:pPr>
          </w:p>
        </w:tc>
      </w:tr>
      <w:tr>
        <w:trPr>
          <w:trHeight w:val="133"/>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820" w:type="dxa"/>
            <w:vAlign w:val="bottom"/>
          </w:tcPr>
          <w:p>
            <w:pPr>
              <w:jc w:val="center"/>
              <w:ind w:left="363"/>
              <w:spacing w:after="0"/>
              <w:rPr>
                <w:sz w:val="20"/>
                <w:szCs w:val="20"/>
                <w:color w:val="auto"/>
              </w:rPr>
            </w:pPr>
            <w:r>
              <w:rPr>
                <w:rFonts w:ascii="Arial" w:cs="Arial" w:eastAsia="Arial" w:hAnsi="Arial"/>
                <w:sz w:val="11"/>
                <w:szCs w:val="11"/>
                <w:b w:val="1"/>
                <w:bCs w:val="1"/>
                <w:color w:val="auto"/>
                <w:w w:val="98"/>
              </w:rPr>
              <w:t>Fair</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1"/>
                <w:szCs w:val="11"/>
                <w:color w:val="auto"/>
              </w:rPr>
              <w:t>Amortized</w:t>
            </w:r>
          </w:p>
        </w:tc>
        <w:tc>
          <w:tcPr>
            <w:tcW w:w="460" w:type="dxa"/>
            <w:vAlign w:val="bottom"/>
          </w:tcPr>
          <w:p>
            <w:pPr>
              <w:spacing w:after="0"/>
              <w:rPr>
                <w:sz w:val="11"/>
                <w:szCs w:val="11"/>
                <w:color w:val="auto"/>
              </w:rPr>
            </w:pPr>
          </w:p>
        </w:tc>
        <w:tc>
          <w:tcPr>
            <w:tcW w:w="760" w:type="dxa"/>
            <w:vAlign w:val="bottom"/>
          </w:tcPr>
          <w:p>
            <w:pPr>
              <w:jc w:val="center"/>
              <w:ind w:right="383"/>
              <w:spacing w:after="0"/>
              <w:rPr>
                <w:sz w:val="20"/>
                <w:szCs w:val="20"/>
                <w:color w:val="auto"/>
              </w:rPr>
            </w:pPr>
            <w:r>
              <w:rPr>
                <w:rFonts w:ascii="Arial" w:cs="Arial" w:eastAsia="Arial" w:hAnsi="Arial"/>
                <w:sz w:val="11"/>
                <w:szCs w:val="11"/>
                <w:color w:val="auto"/>
              </w:rPr>
              <w:t>Fair</w:t>
            </w:r>
          </w:p>
        </w:tc>
      </w:tr>
      <w:tr>
        <w:trPr>
          <w:trHeight w:val="155"/>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b w:val="1"/>
                <w:bCs w:val="1"/>
                <w:color w:val="auto"/>
              </w:rPr>
              <w:t>Cost</w:t>
            </w: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b w:val="1"/>
                <w:bCs w:val="1"/>
                <w:color w:val="auto"/>
              </w:rPr>
              <w:t>Value</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color w:val="auto"/>
              </w:rPr>
              <w:t>Cost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83"/>
              <w:spacing w:after="0"/>
              <w:rPr>
                <w:sz w:val="20"/>
                <w:szCs w:val="20"/>
                <w:color w:val="auto"/>
              </w:rPr>
            </w:pPr>
            <w:r>
              <w:rPr>
                <w:rFonts w:ascii="Arial" w:cs="Arial" w:eastAsia="Arial" w:hAnsi="Arial"/>
                <w:sz w:val="11"/>
                <w:szCs w:val="11"/>
                <w:color w:val="auto"/>
                <w:w w:val="99"/>
              </w:rPr>
              <w:t>Value</w:t>
            </w:r>
          </w:p>
        </w:tc>
      </w:tr>
      <w:tr>
        <w:trPr>
          <w:trHeight w:val="18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Federal Home Loan Bank advances</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1,435</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1,481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1,508</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1,522</w:t>
            </w: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605" w:right="31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3 - Investment Securities (continued)</w:t>
      </w:r>
    </w:p>
    <w:p>
      <w:pPr>
        <w:spacing w:after="0" w:line="377"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Contractual maturities of U.S. government-sponsored enterprises, municipals and corporate securities at March 31, 2020 and December 31, 2019 are shown below. Actual maturities will differ from contractual maturities because borrowers may have the right to call or prepay obligations with or without call or prepayment penalties.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Contractual Maturities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March 31, 2020</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2019</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Amortized</w:t>
            </w:r>
          </w:p>
        </w:tc>
        <w:tc>
          <w:tcPr>
            <w:tcW w:w="4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11"/>
                <w:szCs w:val="11"/>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color w:val="auto"/>
              </w:rPr>
              <w:t>Amortized</w:t>
            </w:r>
          </w:p>
        </w:tc>
        <w:tc>
          <w:tcPr>
            <w:tcW w:w="460" w:type="dxa"/>
            <w:vAlign w:val="bottom"/>
          </w:tcPr>
          <w:p>
            <w:pPr>
              <w:spacing w:after="0"/>
              <w:rPr>
                <w:sz w:val="11"/>
                <w:szCs w:val="11"/>
                <w:color w:val="auto"/>
              </w:rPr>
            </w:pPr>
          </w:p>
        </w:tc>
        <w:tc>
          <w:tcPr>
            <w:tcW w:w="760" w:type="dxa"/>
            <w:vAlign w:val="bottom"/>
          </w:tcPr>
          <w:p>
            <w:pPr>
              <w:jc w:val="right"/>
              <w:ind w:right="443"/>
              <w:spacing w:after="0"/>
              <w:rPr>
                <w:sz w:val="20"/>
                <w:szCs w:val="20"/>
                <w:color w:val="auto"/>
              </w:rPr>
            </w:pPr>
            <w:r>
              <w:rPr>
                <w:rFonts w:ascii="Arial" w:cs="Arial" w:eastAsia="Arial" w:hAnsi="Arial"/>
                <w:sz w:val="11"/>
                <w:szCs w:val="11"/>
                <w:color w:val="auto"/>
              </w:rPr>
              <w:t>Fair</w:t>
            </w:r>
          </w:p>
        </w:tc>
        <w:tc>
          <w:tcPr>
            <w:tcW w:w="0" w:type="dxa"/>
            <w:vAlign w:val="bottom"/>
          </w:tcPr>
          <w:p>
            <w:pPr>
              <w:spacing w:after="0"/>
              <w:rPr>
                <w:sz w:val="1"/>
                <w:szCs w:val="1"/>
                <w:color w:val="auto"/>
              </w:rPr>
            </w:pPr>
          </w:p>
        </w:tc>
      </w:tr>
      <w:tr>
        <w:trPr>
          <w:trHeight w:val="155"/>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Cost</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w w:val="99"/>
              </w:rPr>
              <w:t>Value</w:t>
            </w:r>
          </w:p>
        </w:tc>
        <w:tc>
          <w:tcPr>
            <w:tcW w:w="0" w:type="dxa"/>
            <w:vAlign w:val="bottom"/>
          </w:tcPr>
          <w:p>
            <w:pPr>
              <w:spacing w:after="0"/>
              <w:rPr>
                <w:sz w:val="1"/>
                <w:szCs w:val="1"/>
                <w:color w:val="auto"/>
              </w:rPr>
            </w:pPr>
          </w:p>
        </w:tc>
      </w:tr>
      <w:tr>
        <w:trPr>
          <w:trHeight w:val="192"/>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Within one year</w:t>
            </w:r>
          </w:p>
        </w:tc>
        <w:tc>
          <w:tcPr>
            <w:tcW w:w="22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63"/>
              <w:spacing w:after="0"/>
              <w:rPr>
                <w:sz w:val="20"/>
                <w:szCs w:val="20"/>
                <w:color w:val="auto"/>
              </w:rPr>
            </w:pPr>
            <w:r>
              <w:rPr>
                <w:rFonts w:ascii="Arial" w:cs="Arial" w:eastAsia="Arial" w:hAnsi="Arial"/>
                <w:sz w:val="11"/>
                <w:szCs w:val="11"/>
                <w:b w:val="1"/>
                <w:bCs w:val="1"/>
                <w:color w:val="auto"/>
              </w:rPr>
              <w:t>1,000</w:t>
            </w:r>
          </w:p>
        </w:tc>
        <w:tc>
          <w:tcPr>
            <w:tcW w:w="120" w:type="dxa"/>
            <w:vAlign w:val="bottom"/>
          </w:tcPr>
          <w:p>
            <w:pPr>
              <w:spacing w:after="0"/>
              <w:rPr>
                <w:sz w:val="16"/>
                <w:szCs w:val="16"/>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b w:val="1"/>
                <w:bCs w:val="1"/>
                <w:color w:val="auto"/>
              </w:rPr>
              <w:t>1,002</w:t>
            </w:r>
          </w:p>
        </w:tc>
        <w:tc>
          <w:tcPr>
            <w:tcW w:w="12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1,542</w:t>
            </w:r>
          </w:p>
        </w:tc>
        <w:tc>
          <w:tcPr>
            <w:tcW w:w="100" w:type="dxa"/>
            <w:vAlign w:val="bottom"/>
          </w:tcPr>
          <w:p>
            <w:pPr>
              <w:spacing w:after="0"/>
              <w:rPr>
                <w:sz w:val="16"/>
                <w:szCs w:val="16"/>
                <w:color w:val="auto"/>
              </w:rPr>
            </w:pP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1,518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Over one to five years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8"/>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Over five to ten years</w:t>
            </w:r>
          </w:p>
        </w:tc>
        <w:tc>
          <w:tcPr>
            <w:tcW w:w="22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b w:val="1"/>
                <w:bCs w:val="1"/>
                <w:color w:val="auto"/>
              </w:rPr>
              <w:t>2,000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2,000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2,046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Over ten years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774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651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528</w:t>
            </w:r>
          </w:p>
        </w:tc>
        <w:tc>
          <w:tcPr>
            <w:tcW w:w="0" w:type="dxa"/>
            <w:vAlign w:val="bottom"/>
          </w:tcPr>
          <w:p>
            <w:pPr>
              <w:spacing w:after="0"/>
              <w:rPr>
                <w:sz w:val="1"/>
                <w:szCs w:val="1"/>
                <w:color w:val="auto"/>
              </w:rPr>
            </w:pPr>
          </w:p>
        </w:tc>
      </w:tr>
      <w:tr>
        <w:trPr>
          <w:trHeight w:val="212"/>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Mortgage-backed securities</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54,693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55,848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56,754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56,736</w:t>
            </w:r>
          </w:p>
        </w:tc>
        <w:tc>
          <w:tcPr>
            <w:tcW w:w="0" w:type="dxa"/>
            <w:vAlign w:val="bottom"/>
          </w:tcPr>
          <w:p>
            <w:pPr>
              <w:spacing w:after="0"/>
              <w:rPr>
                <w:sz w:val="1"/>
                <w:szCs w:val="1"/>
                <w:color w:val="auto"/>
              </w:rPr>
            </w:pPr>
          </w:p>
        </w:tc>
      </w:tr>
      <w:tr>
        <w:trPr>
          <w:trHeight w:val="177"/>
        </w:trPr>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58,467</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59,524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60,811</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60,828</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60" w:hanging="255"/>
        <w:spacing w:after="0" w:line="209" w:lineRule="auto"/>
        <w:tabs>
          <w:tab w:leader="none" w:pos="260"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Mortgage-backed securities contractually repay in monthly installments.</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605" w:right="31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Major classifications of loans as are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Loan Categories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color w:val="auto"/>
              </w:rPr>
              <w:t>December 31, 2019</w:t>
            </w:r>
          </w:p>
        </w:tc>
      </w:tr>
      <w:tr>
        <w:trPr>
          <w:trHeight w:val="200"/>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Real estate</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Residential</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430,870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427,926</w:t>
            </w:r>
          </w:p>
        </w:tc>
      </w:tr>
      <w:tr>
        <w:trPr>
          <w:trHeight w:val="205"/>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Commercial</w:t>
            </w:r>
          </w:p>
        </w:tc>
        <w:tc>
          <w:tcPr>
            <w:tcW w:w="360" w:type="dxa"/>
            <w:vAlign w:val="bottom"/>
          </w:tcPr>
          <w:p>
            <w:pPr>
              <w:spacing w:after="0"/>
              <w:rPr>
                <w:sz w:val="17"/>
                <w:szCs w:val="17"/>
                <w:color w:val="auto"/>
              </w:rPr>
            </w:pPr>
          </w:p>
        </w:tc>
        <w:tc>
          <w:tcPr>
            <w:tcW w:w="1680" w:type="dxa"/>
            <w:vAlign w:val="bottom"/>
          </w:tcPr>
          <w:p>
            <w:pPr>
              <w:jc w:val="right"/>
              <w:ind w:right="57"/>
              <w:spacing w:after="0"/>
              <w:rPr>
                <w:sz w:val="20"/>
                <w:szCs w:val="20"/>
                <w:color w:val="auto"/>
              </w:rPr>
            </w:pPr>
            <w:r>
              <w:rPr>
                <w:rFonts w:ascii="Arial" w:cs="Arial" w:eastAsia="Arial" w:hAnsi="Arial"/>
                <w:sz w:val="13"/>
                <w:szCs w:val="13"/>
                <w:b w:val="1"/>
                <w:bCs w:val="1"/>
                <w:color w:val="auto"/>
              </w:rPr>
              <w:t>360,601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57"/>
              <w:spacing w:after="0"/>
              <w:rPr>
                <w:sz w:val="20"/>
                <w:szCs w:val="20"/>
                <w:color w:val="auto"/>
              </w:rPr>
            </w:pPr>
            <w:r>
              <w:rPr>
                <w:rFonts w:ascii="Arial" w:cs="Arial" w:eastAsia="Arial" w:hAnsi="Arial"/>
                <w:sz w:val="13"/>
                <w:szCs w:val="13"/>
                <w:color w:val="auto"/>
              </w:rPr>
              <w:t>348,091</w:t>
            </w:r>
          </w:p>
        </w:tc>
      </w:tr>
      <w:tr>
        <w:trPr>
          <w:trHeight w:val="220"/>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204,047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198,702</w:t>
            </w:r>
          </w:p>
        </w:tc>
      </w:tr>
      <w:tr>
        <w:trPr>
          <w:trHeight w:val="205"/>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Commercial</w:t>
            </w:r>
          </w:p>
        </w:tc>
        <w:tc>
          <w:tcPr>
            <w:tcW w:w="360" w:type="dxa"/>
            <w:vAlign w:val="bottom"/>
          </w:tcPr>
          <w:p>
            <w:pPr>
              <w:spacing w:after="0"/>
              <w:rPr>
                <w:sz w:val="17"/>
                <w:szCs w:val="17"/>
                <w:color w:val="auto"/>
              </w:rPr>
            </w:pPr>
          </w:p>
        </w:tc>
        <w:tc>
          <w:tcPr>
            <w:tcW w:w="1680" w:type="dxa"/>
            <w:vAlign w:val="bottom"/>
          </w:tcPr>
          <w:p>
            <w:pPr>
              <w:jc w:val="right"/>
              <w:ind w:right="57"/>
              <w:spacing w:after="0"/>
              <w:rPr>
                <w:sz w:val="20"/>
                <w:szCs w:val="20"/>
                <w:color w:val="auto"/>
              </w:rPr>
            </w:pPr>
            <w:r>
              <w:rPr>
                <w:rFonts w:ascii="Arial" w:cs="Arial" w:eastAsia="Arial" w:hAnsi="Arial"/>
                <w:sz w:val="13"/>
                <w:szCs w:val="13"/>
                <w:b w:val="1"/>
                <w:bCs w:val="1"/>
                <w:color w:val="auto"/>
              </w:rPr>
              <w:t>151,551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57"/>
              <w:spacing w:after="0"/>
              <w:rPr>
                <w:sz w:val="20"/>
                <w:szCs w:val="20"/>
                <w:color w:val="auto"/>
              </w:rPr>
            </w:pPr>
            <w:r>
              <w:rPr>
                <w:rFonts w:ascii="Arial" w:cs="Arial" w:eastAsia="Arial" w:hAnsi="Arial"/>
                <w:sz w:val="13"/>
                <w:szCs w:val="13"/>
                <w:color w:val="auto"/>
              </w:rPr>
              <w:t>151,109</w:t>
            </w:r>
          </w:p>
        </w:tc>
      </w:tr>
      <w:tr>
        <w:trPr>
          <w:trHeight w:val="22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41,881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46,412</w:t>
            </w:r>
          </w:p>
        </w:tc>
      </w:tr>
      <w:tr>
        <w:trPr>
          <w:trHeight w:val="205"/>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consumer</w:t>
            </w: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1,285</w:t>
            </w:r>
          </w:p>
        </w:tc>
      </w:tr>
      <w:tr>
        <w:trPr>
          <w:trHeight w:val="200"/>
        </w:trPr>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1,190,053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1,173,525</w:t>
            </w:r>
          </w:p>
        </w:tc>
      </w:tr>
      <w:tr>
        <w:trPr>
          <w:trHeight w:val="205"/>
        </w:trPr>
        <w:tc>
          <w:tcPr>
            <w:tcW w:w="7080" w:type="dxa"/>
            <w:vAlign w:val="bottom"/>
            <w:gridSpan w:val="2"/>
          </w:tcPr>
          <w:p>
            <w:pPr>
              <w:ind w:left="20"/>
              <w:spacing w:after="0"/>
              <w:rPr>
                <w:sz w:val="20"/>
                <w:szCs w:val="20"/>
                <w:color w:val="auto"/>
              </w:rPr>
            </w:pPr>
            <w:r>
              <w:rPr>
                <w:rFonts w:ascii="Arial" w:cs="Arial" w:eastAsia="Arial" w:hAnsi="Arial"/>
                <w:sz w:val="13"/>
                <w:szCs w:val="13"/>
                <w:color w:val="auto"/>
              </w:rPr>
              <w:t>Deferred origination fees, net</w:t>
            </w:r>
          </w:p>
        </w:tc>
        <w:tc>
          <w:tcPr>
            <w:tcW w:w="360" w:type="dxa"/>
            <w:vAlign w:val="bottom"/>
          </w:tcPr>
          <w:p>
            <w:pPr>
              <w:spacing w:after="0"/>
              <w:rPr>
                <w:sz w:val="17"/>
                <w:szCs w:val="17"/>
                <w:color w:val="auto"/>
              </w:rPr>
            </w:pPr>
          </w:p>
        </w:tc>
        <w:tc>
          <w:tcPr>
            <w:tcW w:w="1680" w:type="dxa"/>
            <w:vAlign w:val="bottom"/>
          </w:tcPr>
          <w:p>
            <w:pPr>
              <w:jc w:val="right"/>
              <w:ind w:right="17"/>
              <w:spacing w:after="0"/>
              <w:rPr>
                <w:sz w:val="20"/>
                <w:szCs w:val="20"/>
                <w:color w:val="auto"/>
              </w:rPr>
            </w:pPr>
            <w:r>
              <w:rPr>
                <w:rFonts w:ascii="Arial" w:cs="Arial" w:eastAsia="Arial" w:hAnsi="Arial"/>
                <w:sz w:val="13"/>
                <w:szCs w:val="13"/>
                <w:b w:val="1"/>
                <w:bCs w:val="1"/>
                <w:color w:val="auto"/>
              </w:rPr>
              <w:t>(2,254)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17"/>
              <w:spacing w:after="0"/>
              <w:rPr>
                <w:sz w:val="20"/>
                <w:szCs w:val="20"/>
                <w:color w:val="auto"/>
              </w:rPr>
            </w:pPr>
            <w:r>
              <w:rPr>
                <w:rFonts w:ascii="Arial" w:cs="Arial" w:eastAsia="Arial" w:hAnsi="Arial"/>
                <w:sz w:val="13"/>
                <w:szCs w:val="13"/>
                <w:color w:val="auto"/>
              </w:rPr>
              <w:t>(2,404)</w:t>
            </w:r>
          </w:p>
        </w:tc>
      </w:tr>
      <w:tr>
        <w:trPr>
          <w:trHeight w:val="212"/>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Allowance for loan losses</w:t>
            </w:r>
          </w:p>
        </w:tc>
        <w:tc>
          <w:tcPr>
            <w:tcW w:w="3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(15,514)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(13,301)</w:t>
            </w:r>
          </w:p>
        </w:tc>
      </w:tr>
      <w:tr>
        <w:trPr>
          <w:trHeight w:val="187"/>
        </w:trPr>
        <w:tc>
          <w:tcPr>
            <w:tcW w:w="7080" w:type="dxa"/>
            <w:vAlign w:val="bottom"/>
            <w:gridSpan w:val="2"/>
          </w:tcPr>
          <w:p>
            <w:pPr>
              <w:ind w:left="140"/>
              <w:spacing w:after="0"/>
              <w:rPr>
                <w:sz w:val="20"/>
                <w:szCs w:val="20"/>
                <w:color w:val="auto"/>
              </w:rPr>
            </w:pPr>
            <w:r>
              <w:rPr>
                <w:rFonts w:ascii="Arial" w:cs="Arial" w:eastAsia="Arial" w:hAnsi="Arial"/>
                <w:sz w:val="13"/>
                <w:szCs w:val="13"/>
                <w:color w:val="auto"/>
              </w:rPr>
              <w:t>Loans receivable, net</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1,172,285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1,157,820</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makes loans to customers located primarily in the Washington, D.C. and Baltimore metropolitan areas. Although the loan portfolio is diversified, its performance is influenced by the regional economy. The Company’s loan categories are described below.</w:t>
      </w:r>
    </w:p>
    <w:p>
      <w:pPr>
        <w:spacing w:after="0" w:line="138"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i w:val="1"/>
          <w:iCs w:val="1"/>
          <w:color w:val="auto"/>
        </w:rPr>
        <w:t>Residential Real Estate Loans</w:t>
      </w:r>
      <w:r>
        <w:rPr>
          <w:rFonts w:ascii="Arial" w:cs="Arial" w:eastAsia="Arial" w:hAnsi="Arial"/>
          <w:sz w:val="14"/>
          <w:szCs w:val="14"/>
          <w:color w:val="auto"/>
        </w:rPr>
        <w:t>. One-to-four family mortgage loans are primarily secured by owner-occupied primary residences and, to a lesser extent, investor owned</w:t>
      </w:r>
      <w:r>
        <w:rPr>
          <w:rFonts w:ascii="Arial" w:cs="Arial" w:eastAsia="Arial" w:hAnsi="Arial"/>
          <w:sz w:val="14"/>
          <w:szCs w:val="14"/>
          <w:i w:val="1"/>
          <w:iCs w:val="1"/>
          <w:color w:val="auto"/>
        </w:rPr>
        <w:t xml:space="preserve"> </w:t>
      </w:r>
      <w:r>
        <w:rPr>
          <w:rFonts w:ascii="Arial" w:cs="Arial" w:eastAsia="Arial" w:hAnsi="Arial"/>
          <w:sz w:val="14"/>
          <w:szCs w:val="14"/>
          <w:color w:val="auto"/>
        </w:rPr>
        <w:t>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Residential real estate loans have represented a stable and growing portion of our loan portfolio.</w:t>
      </w:r>
    </w:p>
    <w:p>
      <w:pPr>
        <w:spacing w:after="0" w:line="14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i w:val="1"/>
          <w:iCs w:val="1"/>
          <w:color w:val="auto"/>
        </w:rPr>
        <w:t>Commercial Real Estate Loans</w:t>
      </w:r>
      <w:r>
        <w:rPr>
          <w:rFonts w:ascii="Arial" w:cs="Arial" w:eastAsia="Arial" w:hAnsi="Arial"/>
          <w:sz w:val="14"/>
          <w:szCs w:val="14"/>
          <w:color w:val="auto"/>
        </w:rPr>
        <w:t>. Commercial real estate loans are originated on owner-occupied and non-owner-occupied properties. These loans may be more adversely</w:t>
      </w:r>
      <w:r>
        <w:rPr>
          <w:rFonts w:ascii="Arial" w:cs="Arial" w:eastAsia="Arial" w:hAnsi="Arial"/>
          <w:sz w:val="14"/>
          <w:szCs w:val="14"/>
          <w:i w:val="1"/>
          <w:iCs w:val="1"/>
          <w:color w:val="auto"/>
        </w:rPr>
        <w:t xml:space="preserve"> </w:t>
      </w:r>
      <w:r>
        <w:rPr>
          <w:rFonts w:ascii="Arial" w:cs="Arial" w:eastAsia="Arial" w:hAnsi="Arial"/>
          <w:sz w:val="14"/>
          <w:szCs w:val="14"/>
          <w:color w:val="auto"/>
        </w:rPr>
        <w:t>affected by conditions in the real estate markets or in the general economy. Commercial loans that are secured by owner-occupied commercial real estate and primarily collateralized by operating cash flows are also included in this category of loans. As of March 31, 2020, there were approximately $163.8 million of owner-occupied commercial real estate loans, representing approximately 45.4% of the commercial real estate portfolio. Commercial real estate loan terms are generally extended for 10 years or less and amortize generally over 25 years or less. The interest rates on commercial real estate loans have initial fixed rate terms that adjust typically at 5 years and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somewhat diverse in terms and type. This diversity may help reduce the exposure to adverse economic events that affect any single industry.</w:t>
      </w:r>
    </w:p>
    <w:p>
      <w:pPr>
        <w:spacing w:after="0" w:line="149"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Construction Loans</w:t>
      </w:r>
      <w:r>
        <w:rPr>
          <w:rFonts w:ascii="Arial" w:cs="Arial" w:eastAsia="Arial" w:hAnsi="Arial"/>
          <w:sz w:val="14"/>
          <w:szCs w:val="14"/>
          <w:color w:val="auto"/>
        </w:rPr>
        <w:t>. Construction loans are offered within the Company’s Washington, D.C. and Baltimore, Maryland metropolitan operating areas to builders primarily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605" w:right="31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established by an independent appraisal, cannot exceed 75% for investor-owned and 80% for owner-occupied properties. Semi-annual stress testing of the construction loan portfolio is conducted, and underlying real estate conditions are closely monitored as well as the borrower’s trends of sales valuations as compared to underwriting valuations as part of ongoing risk management efforts. The borrowers’ progress in construction buildout is closely monitored and the original underwriting guidelines for construction milestones and completion timelines are strictly enforced.</w:t>
      </w:r>
    </w:p>
    <w:p>
      <w:pPr>
        <w:spacing w:after="0" w:line="145"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i w:val="1"/>
          <w:iCs w:val="1"/>
          <w:color w:val="auto"/>
        </w:rPr>
        <w:t>Commercial Business Loans</w:t>
      </w:r>
      <w:r>
        <w:rPr>
          <w:rFonts w:ascii="Arial" w:cs="Arial" w:eastAsia="Arial" w:hAnsi="Arial"/>
          <w:sz w:val="14"/>
          <w:szCs w:val="14"/>
          <w:color w:val="auto"/>
        </w:rPr>
        <w:t>. In addition to other loan products, general commercial loans, including commercial lines of credit, working capital loans, term loans, equipment</w:t>
      </w:r>
      <w:r>
        <w:rPr>
          <w:rFonts w:ascii="Arial" w:cs="Arial" w:eastAsia="Arial" w:hAnsi="Arial"/>
          <w:sz w:val="14"/>
          <w:szCs w:val="14"/>
          <w:i w:val="1"/>
          <w:iCs w:val="1"/>
          <w:color w:val="auto"/>
        </w:rPr>
        <w:t xml:space="preserve"> </w:t>
      </w:r>
      <w:r>
        <w:rPr>
          <w:rFonts w:ascii="Arial" w:cs="Arial" w:eastAsia="Arial" w:hAnsi="Arial"/>
          <w:sz w:val="14"/>
          <w:szCs w:val="14"/>
          <w:color w:val="auto"/>
        </w:rPr>
        <w:t>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4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i w:val="1"/>
          <w:iCs w:val="1"/>
          <w:color w:val="auto"/>
        </w:rPr>
        <w:t>Credit Cards</w:t>
      </w:r>
      <w:r>
        <w:rPr>
          <w:rFonts w:ascii="Arial" w:cs="Arial" w:eastAsia="Arial" w:hAnsi="Arial"/>
          <w:sz w:val="14"/>
          <w:szCs w:val="14"/>
          <w:color w:val="auto"/>
        </w:rPr>
        <w:t>. Our OpenSky® credit card division provides credit cards on a nationwide basis to under-banked populations and those looking to rebuild their credit scores</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a fully digital and mobile platform. Substantially all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$39.6 million and $43.3 million of the credit card balances were secured by savings deposits held by the Company as of March 31, 2020 and December 31, 2019, respectively.</w:t>
      </w:r>
    </w:p>
    <w:p>
      <w:pPr>
        <w:spacing w:after="0" w:line="316"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Other Consumer Loans</w:t>
      </w:r>
      <w:r>
        <w:rPr>
          <w:rFonts w:ascii="Arial" w:cs="Arial" w:eastAsia="Arial" w:hAnsi="Arial"/>
          <w:sz w:val="14"/>
          <w:szCs w:val="14"/>
          <w:color w:val="auto"/>
        </w:rPr>
        <w:t>. To a limited extent and typically as an accommodation to existing customers, personal consumer loans such as term loans, car loans or boat loans are</w:t>
      </w:r>
      <w:r>
        <w:rPr>
          <w:rFonts w:ascii="Arial" w:cs="Arial" w:eastAsia="Arial" w:hAnsi="Arial"/>
          <w:sz w:val="14"/>
          <w:szCs w:val="14"/>
          <w:i w:val="1"/>
          <w:iCs w:val="1"/>
          <w:color w:val="auto"/>
        </w:rPr>
        <w:t xml:space="preserve"> </w:t>
      </w:r>
      <w:r>
        <w:rPr>
          <w:rFonts w:ascii="Arial" w:cs="Arial" w:eastAsia="Arial" w:hAnsi="Arial"/>
          <w:sz w:val="14"/>
          <w:szCs w:val="14"/>
          <w:color w:val="auto"/>
        </w:rPr>
        <w:t>offered.</w:t>
      </w:r>
    </w:p>
    <w:p>
      <w:pPr>
        <w:spacing w:after="0" w:line="13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The remaining nonaccretable discounts on loans acquired was $285 thousand as of March 31, 2020 and December 31, 2019. Loans with nonaccretable discounts had a carrying value of $855 thousand and $864 thousand as of March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605" w:right="31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Accretable discounts on loans acquired is summarized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Accretable Discounts on Loans Acquired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46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r>
      <w:tr>
        <w:trPr>
          <w:trHeight w:val="128"/>
        </w:trPr>
        <w:tc>
          <w:tcPr>
            <w:tcW w:w="7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0"/>
              <w:spacing w:after="0"/>
              <w:rPr>
                <w:sz w:val="20"/>
                <w:szCs w:val="20"/>
                <w:color w:val="auto"/>
              </w:rPr>
            </w:pPr>
            <w:r>
              <w:rPr>
                <w:rFonts w:ascii="Arial" w:cs="Arial" w:eastAsia="Arial" w:hAnsi="Arial"/>
                <w:sz w:val="11"/>
                <w:szCs w:val="11"/>
                <w:b w:val="1"/>
                <w:bCs w:val="1"/>
                <w:color w:val="auto"/>
              </w:rPr>
              <w:t>For the Three Months Ended</w:t>
            </w:r>
          </w:p>
        </w:tc>
        <w:tc>
          <w:tcPr>
            <w:tcW w:w="120" w:type="dxa"/>
            <w:vAlign w:val="bottom"/>
          </w:tcPr>
          <w:p>
            <w:pPr>
              <w:spacing w:after="0"/>
              <w:rPr>
                <w:sz w:val="11"/>
                <w:szCs w:val="11"/>
                <w:color w:val="auto"/>
              </w:rPr>
            </w:pPr>
          </w:p>
        </w:tc>
        <w:tc>
          <w:tcPr>
            <w:tcW w:w="2000" w:type="dxa"/>
            <w:vAlign w:val="bottom"/>
          </w:tcPr>
          <w:p>
            <w:pPr>
              <w:jc w:val="right"/>
              <w:ind w:right="99"/>
              <w:spacing w:after="0"/>
              <w:rPr>
                <w:sz w:val="20"/>
                <w:szCs w:val="20"/>
                <w:color w:val="auto"/>
              </w:rPr>
            </w:pPr>
            <w:r>
              <w:rPr>
                <w:rFonts w:ascii="Arial" w:cs="Arial" w:eastAsia="Arial" w:hAnsi="Arial"/>
                <w:sz w:val="11"/>
                <w:szCs w:val="11"/>
                <w:b w:val="1"/>
                <w:bCs w:val="1"/>
                <w:color w:val="auto"/>
              </w:rPr>
              <w:t>For the Year Ended December 31,</w:t>
            </w:r>
          </w:p>
        </w:tc>
      </w:tr>
      <w:tr>
        <w:trPr>
          <w:trHeight w:val="155"/>
        </w:trPr>
        <w:tc>
          <w:tcPr>
            <w:tcW w:w="7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Pr>
          <w:p>
            <w:pPr>
              <w:spacing w:after="0"/>
              <w:rPr>
                <w:sz w:val="13"/>
                <w:szCs w:val="13"/>
                <w:color w:val="auto"/>
              </w:rPr>
            </w:pPr>
          </w:p>
        </w:tc>
        <w:tc>
          <w:tcPr>
            <w:tcW w:w="2000" w:type="dxa"/>
            <w:vAlign w:val="bottom"/>
          </w:tcPr>
          <w:p>
            <w:pPr>
              <w:jc w:val="right"/>
              <w:ind w:right="879"/>
              <w:spacing w:after="0"/>
              <w:rPr>
                <w:sz w:val="20"/>
                <w:szCs w:val="20"/>
                <w:color w:val="auto"/>
              </w:rPr>
            </w:pPr>
            <w:r>
              <w:rPr>
                <w:rFonts w:ascii="Arial" w:cs="Arial" w:eastAsia="Arial" w:hAnsi="Arial"/>
                <w:sz w:val="11"/>
                <w:szCs w:val="11"/>
                <w:b w:val="1"/>
                <w:bCs w:val="1"/>
                <w:color w:val="auto"/>
              </w:rPr>
              <w:t>2019</w:t>
            </w:r>
          </w:p>
        </w:tc>
      </w:tr>
      <w:tr>
        <w:trPr>
          <w:trHeight w:val="196"/>
        </w:trPr>
        <w:tc>
          <w:tcPr>
            <w:tcW w:w="7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Accretable discount at beginning of period</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429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438</w:t>
            </w:r>
          </w:p>
        </w:tc>
      </w:tr>
      <w:tr>
        <w:trPr>
          <w:trHeight w:val="205"/>
        </w:trPr>
        <w:tc>
          <w:tcPr>
            <w:tcW w:w="74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Accretion and payoff of loans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187"/>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Accretable discount at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233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429</w:t>
            </w:r>
          </w:p>
        </w:tc>
      </w:tr>
      <w:tr>
        <w:trPr>
          <w:trHeight w:val="20"/>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The following tables set forth the changes in the allowance for loan losses and an allocation of the allowance for loan losses by class for the three months ended March 31, 2020 and March 31, 2019.</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Allowance for Loan Losses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464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220" w:type="dxa"/>
            <w:vAlign w:val="bottom"/>
          </w:tcPr>
          <w:p>
            <w:pPr>
              <w:spacing w:after="0"/>
              <w:rPr>
                <w:sz w:val="8"/>
                <w:szCs w:val="8"/>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Beginning</w:t>
            </w: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Provision for</w:t>
            </w: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auto"/>
              </w:rPr>
              <w:t>Ending</w:t>
            </w:r>
          </w:p>
        </w:tc>
        <w:tc>
          <w:tcPr>
            <w:tcW w:w="0" w:type="dxa"/>
            <w:vAlign w:val="bottom"/>
          </w:tcPr>
          <w:p>
            <w:pPr>
              <w:spacing w:after="0"/>
              <w:rPr>
                <w:sz w:val="1"/>
                <w:szCs w:val="1"/>
                <w:color w:val="auto"/>
              </w:rPr>
            </w:pPr>
          </w:p>
        </w:tc>
      </w:tr>
      <w:tr>
        <w:trPr>
          <w:trHeight w:val="72"/>
        </w:trPr>
        <w:tc>
          <w:tcPr>
            <w:tcW w:w="4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Three Months Ended March 31, 2020</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Balance</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Loan Losses</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Charge-Offs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Recoveries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203"/>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4,135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4,971</w:t>
            </w:r>
          </w:p>
        </w:tc>
        <w:tc>
          <w:tcPr>
            <w:tcW w:w="0" w:type="dxa"/>
            <w:vAlign w:val="bottom"/>
          </w:tcPr>
          <w:p>
            <w:pPr>
              <w:spacing w:after="0"/>
              <w:rPr>
                <w:sz w:val="1"/>
                <w:szCs w:val="1"/>
                <w:color w:val="auto"/>
              </w:rPr>
            </w:pP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Commercial</w:t>
            </w:r>
          </w:p>
        </w:tc>
        <w:tc>
          <w:tcPr>
            <w:tcW w:w="22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b w:val="1"/>
                <w:bCs w:val="1"/>
                <w:color w:val="auto"/>
              </w:rPr>
              <w:t>3,572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b w:val="1"/>
                <w:bCs w:val="1"/>
                <w:color w:val="auto"/>
              </w:rPr>
              <w:t>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4,423</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Construction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2,668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364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3,032</w:t>
            </w:r>
          </w:p>
        </w:tc>
        <w:tc>
          <w:tcPr>
            <w:tcW w:w="0" w:type="dxa"/>
            <w:vAlign w:val="bottom"/>
          </w:tcPr>
          <w:p>
            <w:pPr>
              <w:spacing w:after="0"/>
              <w:rPr>
                <w:sz w:val="1"/>
                <w:szCs w:val="1"/>
                <w:color w:val="auto"/>
              </w:rPr>
            </w:pPr>
          </w:p>
        </w:tc>
      </w:tr>
      <w:tr>
        <w:trPr>
          <w:trHeight w:val="20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Commercial</w:t>
            </w:r>
          </w:p>
        </w:tc>
        <w:tc>
          <w:tcPr>
            <w:tcW w:w="22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b w:val="1"/>
                <w:bCs w:val="1"/>
                <w:color w:val="auto"/>
              </w:rPr>
              <w:t>1,548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b w:val="1"/>
                <w:bCs w:val="1"/>
                <w:color w:val="auto"/>
              </w:rPr>
              <w:t>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1"/>
                <w:szCs w:val="11"/>
                <w:b w:val="1"/>
                <w:bCs w:val="1"/>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1,663</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Credit card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1,414</w:t>
            </w:r>
          </w:p>
        </w:tc>
        <w:tc>
          <w:tcPr>
            <w:tcW w:w="0" w:type="dxa"/>
            <w:vAlign w:val="bottom"/>
          </w:tcPr>
          <w:p>
            <w:pPr>
              <w:spacing w:after="0"/>
              <w:rPr>
                <w:sz w:val="1"/>
                <w:szCs w:val="1"/>
                <w:color w:val="auto"/>
              </w:rPr>
            </w:pPr>
          </w:p>
        </w:tc>
      </w:tr>
      <w:tr>
        <w:trPr>
          <w:trHeight w:val="20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Other consumer</w:t>
            </w:r>
          </w:p>
        </w:tc>
        <w:tc>
          <w:tcPr>
            <w:tcW w:w="22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63"/>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11</w:t>
            </w: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13,301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2,409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(204)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15,514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Allowance for Loan Losses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464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240" w:type="dxa"/>
            <w:vAlign w:val="bottom"/>
          </w:tcPr>
          <w:p>
            <w:pPr>
              <w:spacing w:after="0"/>
              <w:rPr>
                <w:sz w:val="8"/>
                <w:szCs w:val="8"/>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1"/>
                <w:szCs w:val="11"/>
                <w:color w:val="auto"/>
              </w:rPr>
              <w:t>Beginning</w:t>
            </w:r>
          </w:p>
        </w:tc>
        <w:tc>
          <w:tcPr>
            <w:tcW w:w="180" w:type="dxa"/>
            <w:vAlign w:val="bottom"/>
          </w:tcPr>
          <w:p>
            <w:pPr>
              <w:spacing w:after="0"/>
              <w:rPr>
                <w:sz w:val="8"/>
                <w:szCs w:val="8"/>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1"/>
                <w:szCs w:val="11"/>
                <w:color w:val="auto"/>
              </w:rPr>
              <w:t>Provision for</w:t>
            </w: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vMerge w:val="restart"/>
          </w:tcPr>
          <w:p>
            <w:pPr>
              <w:jc w:val="right"/>
              <w:ind w:right="383"/>
              <w:spacing w:after="0"/>
              <w:rPr>
                <w:sz w:val="20"/>
                <w:szCs w:val="20"/>
                <w:color w:val="auto"/>
              </w:rPr>
            </w:pPr>
            <w:r>
              <w:rPr>
                <w:rFonts w:ascii="Arial" w:cs="Arial" w:eastAsia="Arial" w:hAnsi="Arial"/>
                <w:sz w:val="11"/>
                <w:szCs w:val="11"/>
                <w:color w:val="auto"/>
              </w:rPr>
              <w:t>Ending</w:t>
            </w:r>
          </w:p>
        </w:tc>
        <w:tc>
          <w:tcPr>
            <w:tcW w:w="0" w:type="dxa"/>
            <w:vAlign w:val="bottom"/>
          </w:tcPr>
          <w:p>
            <w:pPr>
              <w:spacing w:after="0"/>
              <w:rPr>
                <w:sz w:val="1"/>
                <w:szCs w:val="1"/>
                <w:color w:val="auto"/>
              </w:rPr>
            </w:pPr>
          </w:p>
        </w:tc>
      </w:tr>
      <w:tr>
        <w:trPr>
          <w:trHeight w:val="86"/>
        </w:trPr>
        <w:tc>
          <w:tcPr>
            <w:tcW w:w="4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Three Months Ended March 31, 2019</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color w:val="auto"/>
              </w:rPr>
              <w:t>Balance</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Loan Losses</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Charge-Offs</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Recoveries</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Balance</w:t>
            </w:r>
          </w:p>
        </w:tc>
        <w:tc>
          <w:tcPr>
            <w:tcW w:w="0" w:type="dxa"/>
            <w:vAlign w:val="bottom"/>
          </w:tcPr>
          <w:p>
            <w:pPr>
              <w:spacing w:after="0"/>
              <w:rPr>
                <w:sz w:val="1"/>
                <w:szCs w:val="1"/>
                <w:color w:val="auto"/>
              </w:rPr>
            </w:pPr>
          </w:p>
        </w:tc>
      </w:tr>
      <w:tr>
        <w:trPr>
          <w:trHeight w:val="203"/>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3,541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3,875</w:t>
            </w:r>
          </w:p>
        </w:tc>
        <w:tc>
          <w:tcPr>
            <w:tcW w:w="0" w:type="dxa"/>
            <w:vAlign w:val="bottom"/>
          </w:tcPr>
          <w:p>
            <w:pPr>
              <w:spacing w:after="0"/>
              <w:rPr>
                <w:sz w:val="1"/>
                <w:szCs w:val="1"/>
                <w:color w:val="auto"/>
              </w:rPr>
            </w:pP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Commercial</w:t>
            </w:r>
          </w:p>
        </w:tc>
        <w:tc>
          <w:tcPr>
            <w:tcW w:w="240" w:type="dxa"/>
            <w:vAlign w:val="bottom"/>
          </w:tcPr>
          <w:p>
            <w:pPr>
              <w:spacing w:after="0"/>
              <w:rPr>
                <w:sz w:val="18"/>
                <w:szCs w:val="18"/>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3,003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2,848</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Construction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2,029</w:t>
            </w:r>
          </w:p>
        </w:tc>
        <w:tc>
          <w:tcPr>
            <w:tcW w:w="0" w:type="dxa"/>
            <w:vAlign w:val="bottom"/>
          </w:tcPr>
          <w:p>
            <w:pPr>
              <w:spacing w:after="0"/>
              <w:rPr>
                <w:sz w:val="1"/>
                <w:szCs w:val="1"/>
                <w:color w:val="auto"/>
              </w:rPr>
            </w:pPr>
          </w:p>
        </w:tc>
      </w:tr>
      <w:tr>
        <w:trPr>
          <w:trHeight w:val="20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Commercial</w:t>
            </w:r>
          </w:p>
        </w:tc>
        <w:tc>
          <w:tcPr>
            <w:tcW w:w="240" w:type="dxa"/>
            <w:vAlign w:val="bottom"/>
          </w:tcPr>
          <w:p>
            <w:pPr>
              <w:spacing w:after="0"/>
              <w:rPr>
                <w:sz w:val="18"/>
                <w:szCs w:val="18"/>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1,578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1,427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Credit card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1,159</w:t>
            </w:r>
          </w:p>
        </w:tc>
        <w:tc>
          <w:tcPr>
            <w:tcW w:w="0" w:type="dxa"/>
            <w:vAlign w:val="bottom"/>
          </w:tcPr>
          <w:p>
            <w:pPr>
              <w:spacing w:after="0"/>
              <w:rPr>
                <w:sz w:val="1"/>
                <w:szCs w:val="1"/>
                <w:color w:val="auto"/>
              </w:rPr>
            </w:pPr>
          </w:p>
        </w:tc>
      </w:tr>
      <w:tr>
        <w:trPr>
          <w:trHeight w:val="20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Other consumer</w:t>
            </w:r>
          </w:p>
        </w:tc>
        <w:tc>
          <w:tcPr>
            <w:tcW w:w="240" w:type="dxa"/>
            <w:vAlign w:val="bottom"/>
          </w:tcPr>
          <w:p>
            <w:pPr>
              <w:spacing w:after="0"/>
              <w:rPr>
                <w:sz w:val="18"/>
                <w:szCs w:val="18"/>
                <w:color w:val="auto"/>
              </w:rPr>
            </w:pP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11,308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11,347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605" w:right="31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Allowance for Loan Loss Composition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0"/>
                <w:szCs w:val="10"/>
                <w:b w:val="1"/>
                <w:bCs w:val="1"/>
                <w:color w:val="auto"/>
              </w:rPr>
              <w:t>Allowance for Loan Losses</w:t>
            </w:r>
          </w:p>
        </w:tc>
        <w:tc>
          <w:tcPr>
            <w:tcW w:w="220" w:type="dxa"/>
            <w:vAlign w:val="bottom"/>
          </w:tcPr>
          <w:p>
            <w:pPr>
              <w:spacing w:after="0"/>
              <w:rPr>
                <w:sz w:val="10"/>
                <w:szCs w:val="10"/>
                <w:color w:val="auto"/>
              </w:rPr>
            </w:pPr>
          </w:p>
        </w:tc>
        <w:tc>
          <w:tcPr>
            <w:tcW w:w="2340" w:type="dxa"/>
            <w:vAlign w:val="bottom"/>
            <w:gridSpan w:val="4"/>
          </w:tcPr>
          <w:p>
            <w:pPr>
              <w:jc w:val="center"/>
              <w:ind w:right="117"/>
              <w:spacing w:after="0"/>
              <w:rPr>
                <w:sz w:val="20"/>
                <w:szCs w:val="20"/>
                <w:color w:val="auto"/>
              </w:rPr>
            </w:pPr>
            <w:r>
              <w:rPr>
                <w:rFonts w:ascii="Arial" w:cs="Arial" w:eastAsia="Arial" w:hAnsi="Arial"/>
                <w:sz w:val="10"/>
                <w:szCs w:val="10"/>
                <w:b w:val="1"/>
                <w:bCs w:val="1"/>
                <w:color w:val="auto"/>
                <w:w w:val="98"/>
              </w:rPr>
              <w:t>Outstanding Loan</w:t>
            </w:r>
          </w:p>
        </w:tc>
      </w:tr>
      <w:tr>
        <w:trPr>
          <w:trHeight w:val="106"/>
        </w:trPr>
        <w:tc>
          <w:tcPr>
            <w:tcW w:w="5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00" w:type="dxa"/>
            <w:vAlign w:val="bottom"/>
            <w:gridSpan w:val="5"/>
          </w:tcPr>
          <w:p>
            <w:pPr>
              <w:jc w:val="center"/>
              <w:ind w:right="320"/>
              <w:spacing w:after="0" w:line="106" w:lineRule="exact"/>
              <w:rPr>
                <w:sz w:val="20"/>
                <w:szCs w:val="20"/>
                <w:color w:val="auto"/>
              </w:rPr>
            </w:pPr>
            <w:r>
              <w:rPr>
                <w:rFonts w:ascii="Arial" w:cs="Arial" w:eastAsia="Arial" w:hAnsi="Arial"/>
                <w:sz w:val="10"/>
                <w:szCs w:val="10"/>
                <w:b w:val="1"/>
                <w:bCs w:val="1"/>
                <w:color w:val="auto"/>
                <w:w w:val="97"/>
              </w:rPr>
              <w:t>Ending Balance Evaluated</w:t>
            </w:r>
          </w:p>
        </w:tc>
        <w:tc>
          <w:tcPr>
            <w:tcW w:w="220" w:type="dxa"/>
            <w:vAlign w:val="bottom"/>
          </w:tcPr>
          <w:p>
            <w:pPr>
              <w:spacing w:after="0"/>
              <w:rPr>
                <w:sz w:val="9"/>
                <w:szCs w:val="9"/>
                <w:color w:val="auto"/>
              </w:rPr>
            </w:pPr>
          </w:p>
        </w:tc>
        <w:tc>
          <w:tcPr>
            <w:tcW w:w="2340" w:type="dxa"/>
            <w:vAlign w:val="bottom"/>
            <w:gridSpan w:val="4"/>
          </w:tcPr>
          <w:p>
            <w:pPr>
              <w:jc w:val="center"/>
              <w:ind w:right="117"/>
              <w:spacing w:after="0" w:line="106" w:lineRule="exact"/>
              <w:rPr>
                <w:sz w:val="20"/>
                <w:szCs w:val="20"/>
                <w:color w:val="auto"/>
              </w:rPr>
            </w:pPr>
            <w:r>
              <w:rPr>
                <w:rFonts w:ascii="Arial" w:cs="Arial" w:eastAsia="Arial" w:hAnsi="Arial"/>
                <w:sz w:val="10"/>
                <w:szCs w:val="10"/>
                <w:b w:val="1"/>
                <w:bCs w:val="1"/>
                <w:color w:val="auto"/>
                <w:w w:val="97"/>
              </w:rPr>
              <w:t>Balances Evaluated</w:t>
            </w:r>
          </w:p>
        </w:tc>
      </w:tr>
      <w:tr>
        <w:trPr>
          <w:trHeight w:val="135"/>
        </w:trPr>
        <w:tc>
          <w:tcPr>
            <w:tcW w:w="59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0"/>
                <w:szCs w:val="10"/>
                <w:b w:val="1"/>
                <w:bCs w:val="1"/>
                <w:color w:val="auto"/>
              </w:rPr>
              <w:t>for Impairment:</w:t>
            </w: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0"/>
                <w:szCs w:val="10"/>
                <w:b w:val="1"/>
                <w:bCs w:val="1"/>
                <w:color w:val="auto"/>
                <w:w w:val="98"/>
              </w:rPr>
              <w:t>for Impairment:</w:t>
            </w:r>
          </w:p>
        </w:tc>
        <w:tc>
          <w:tcPr>
            <w:tcW w:w="900" w:type="dxa"/>
            <w:vAlign w:val="bottom"/>
            <w:tcBorders>
              <w:bottom w:val="single" w:sz="8" w:color="auto"/>
            </w:tcBorders>
          </w:tcPr>
          <w:p>
            <w:pPr>
              <w:spacing w:after="0"/>
              <w:rPr>
                <w:sz w:val="11"/>
                <w:szCs w:val="11"/>
                <w:color w:val="auto"/>
              </w:rPr>
            </w:pPr>
          </w:p>
        </w:tc>
      </w:tr>
      <w:tr>
        <w:trPr>
          <w:trHeight w:val="208"/>
        </w:trPr>
        <w:tc>
          <w:tcPr>
            <w:tcW w:w="5980" w:type="dxa"/>
            <w:vAlign w:val="bottom"/>
          </w:tcPr>
          <w:p>
            <w:pPr>
              <w:ind w:left="20"/>
              <w:spacing w:after="0"/>
              <w:rPr>
                <w:sz w:val="20"/>
                <w:szCs w:val="20"/>
                <w:color w:val="auto"/>
              </w:rPr>
            </w:pPr>
            <w:r>
              <w:rPr>
                <w:rFonts w:ascii="Arial" w:cs="Arial" w:eastAsia="Arial" w:hAnsi="Arial"/>
                <w:sz w:val="11"/>
                <w:szCs w:val="11"/>
                <w:b w:val="1"/>
                <w:bCs w:val="1"/>
                <w:color w:val="auto"/>
              </w:rPr>
              <w:t>March 31, 2020</w:t>
            </w: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0"/>
                <w:szCs w:val="10"/>
                <w:b w:val="1"/>
                <w:bCs w:val="1"/>
                <w:color w:val="auto"/>
              </w:rPr>
              <w:t>Individually</w:t>
            </w:r>
          </w:p>
        </w:tc>
        <w:tc>
          <w:tcPr>
            <w:tcW w:w="34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0"/>
                <w:szCs w:val="10"/>
                <w:b w:val="1"/>
                <w:bCs w:val="1"/>
                <w:color w:val="auto"/>
              </w:rPr>
              <w:t>Collectively</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Individually</w:t>
            </w:r>
          </w:p>
        </w:tc>
        <w:tc>
          <w:tcPr>
            <w:tcW w:w="320" w:type="dxa"/>
            <w:vAlign w:val="bottom"/>
          </w:tcPr>
          <w:p>
            <w:pPr>
              <w:spacing w:after="0"/>
              <w:rPr>
                <w:sz w:val="18"/>
                <w:szCs w:val="18"/>
                <w:color w:val="auto"/>
              </w:rPr>
            </w:pPr>
          </w:p>
        </w:tc>
        <w:tc>
          <w:tcPr>
            <w:tcW w:w="900" w:type="dxa"/>
            <w:vAlign w:val="bottom"/>
          </w:tcPr>
          <w:p>
            <w:pPr>
              <w:jc w:val="right"/>
              <w:ind w:right="277"/>
              <w:spacing w:after="0"/>
              <w:rPr>
                <w:sz w:val="20"/>
                <w:szCs w:val="20"/>
                <w:color w:val="auto"/>
              </w:rPr>
            </w:pPr>
            <w:r>
              <w:rPr>
                <w:rFonts w:ascii="Arial" w:cs="Arial" w:eastAsia="Arial" w:hAnsi="Arial"/>
                <w:sz w:val="10"/>
                <w:szCs w:val="10"/>
                <w:b w:val="1"/>
                <w:bCs w:val="1"/>
                <w:color w:val="auto"/>
                <w:w w:val="97"/>
              </w:rPr>
              <w:t>Collectively</w:t>
            </w:r>
          </w:p>
        </w:tc>
      </w:tr>
      <w:tr>
        <w:trPr>
          <w:trHeight w:val="203"/>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Real estate</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4,971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1,633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429,237</w:t>
            </w:r>
          </w:p>
        </w:tc>
      </w:tr>
      <w:tr>
        <w:trPr>
          <w:trHeight w:val="208"/>
        </w:trPr>
        <w:tc>
          <w:tcPr>
            <w:tcW w:w="5980" w:type="dxa"/>
            <w:vAlign w:val="bottom"/>
          </w:tcPr>
          <w:p>
            <w:pPr>
              <w:ind w:left="140"/>
              <w:spacing w:after="0"/>
              <w:rPr>
                <w:sz w:val="20"/>
                <w:szCs w:val="20"/>
                <w:color w:val="auto"/>
              </w:rPr>
            </w:pPr>
            <w:r>
              <w:rPr>
                <w:rFonts w:ascii="Arial" w:cs="Arial" w:eastAsia="Arial" w:hAnsi="Arial"/>
                <w:sz w:val="11"/>
                <w:szCs w:val="11"/>
                <w:color w:val="auto"/>
              </w:rPr>
              <w:t>Commercial</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4,423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3"/>
                <w:szCs w:val="13"/>
                <w:b w:val="1"/>
                <w:bCs w:val="1"/>
                <w:color w:val="auto"/>
              </w:rPr>
              <w:t>1,408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359,193</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Construction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3,032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1,503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202,544</w:t>
            </w:r>
          </w:p>
        </w:tc>
      </w:tr>
      <w:tr>
        <w:trPr>
          <w:trHeight w:val="208"/>
        </w:trPr>
        <w:tc>
          <w:tcPr>
            <w:tcW w:w="5980" w:type="dxa"/>
            <w:vAlign w:val="bottom"/>
          </w:tcPr>
          <w:p>
            <w:pPr>
              <w:ind w:left="20"/>
              <w:spacing w:after="0"/>
              <w:rPr>
                <w:sz w:val="20"/>
                <w:szCs w:val="20"/>
                <w:color w:val="auto"/>
              </w:rPr>
            </w:pPr>
            <w:r>
              <w:rPr>
                <w:rFonts w:ascii="Arial" w:cs="Arial" w:eastAsia="Arial" w:hAnsi="Arial"/>
                <w:sz w:val="11"/>
                <w:szCs w:val="11"/>
                <w:color w:val="auto"/>
              </w:rPr>
              <w:t>Commercial</w:t>
            </w: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3"/>
                <w:szCs w:val="13"/>
                <w:b w:val="1"/>
                <w:bCs w:val="1"/>
                <w:color w:val="auto"/>
              </w:rPr>
              <w:t>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1,574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3"/>
                <w:szCs w:val="13"/>
                <w:b w:val="1"/>
                <w:bCs w:val="1"/>
                <w:color w:val="auto"/>
              </w:rPr>
              <w:t>440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151,111</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Credit card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1,414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41,881</w:t>
            </w:r>
          </w:p>
        </w:tc>
      </w:tr>
      <w:tr>
        <w:trPr>
          <w:trHeight w:val="208"/>
        </w:trPr>
        <w:tc>
          <w:tcPr>
            <w:tcW w:w="5980" w:type="dxa"/>
            <w:vAlign w:val="bottom"/>
          </w:tcPr>
          <w:p>
            <w:pPr>
              <w:ind w:left="20"/>
              <w:spacing w:after="0"/>
              <w:rPr>
                <w:sz w:val="20"/>
                <w:szCs w:val="20"/>
                <w:color w:val="auto"/>
              </w:rPr>
            </w:pPr>
            <w:r>
              <w:rPr>
                <w:rFonts w:ascii="Arial" w:cs="Arial" w:eastAsia="Arial" w:hAnsi="Arial"/>
                <w:sz w:val="11"/>
                <w:szCs w:val="11"/>
                <w:color w:val="auto"/>
              </w:rPr>
              <w:t>Other consumer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1,103</w:t>
            </w:r>
          </w:p>
        </w:tc>
      </w:tr>
      <w:tr>
        <w:trPr>
          <w:trHeight w:val="178"/>
        </w:trPr>
        <w:tc>
          <w:tcPr>
            <w:tcW w:w="59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89</w:t>
            </w: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15,425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4,984</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1,185,069</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8"/>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8"/>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December 31, 2019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2"/>
        </w:trPr>
        <w:tc>
          <w:tcPr>
            <w:tcW w:w="5980" w:type="dxa"/>
            <w:vAlign w:val="bottom"/>
          </w:tcPr>
          <w:p>
            <w:pPr>
              <w:ind w:left="20"/>
              <w:spacing w:after="0"/>
              <w:rPr>
                <w:sz w:val="20"/>
                <w:szCs w:val="20"/>
                <w:color w:val="auto"/>
              </w:rPr>
            </w:pPr>
            <w:r>
              <w:rPr>
                <w:rFonts w:ascii="Arial" w:cs="Arial" w:eastAsia="Arial" w:hAnsi="Arial"/>
                <w:sz w:val="11"/>
                <w:szCs w:val="11"/>
                <w:color w:val="auto"/>
              </w:rPr>
              <w:t>Real estate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425,734</w:t>
            </w:r>
          </w:p>
        </w:tc>
      </w:tr>
      <w:tr>
        <w:trPr>
          <w:trHeight w:val="208"/>
        </w:trPr>
        <w:tc>
          <w:tcPr>
            <w:tcW w:w="5980" w:type="dxa"/>
            <w:vAlign w:val="bottom"/>
          </w:tcPr>
          <w:p>
            <w:pPr>
              <w:ind w:left="140"/>
              <w:spacing w:after="0"/>
              <w:rPr>
                <w:sz w:val="20"/>
                <w:szCs w:val="20"/>
                <w:color w:val="auto"/>
              </w:rPr>
            </w:pPr>
            <w:r>
              <w:rPr>
                <w:rFonts w:ascii="Arial" w:cs="Arial" w:eastAsia="Arial" w:hAnsi="Arial"/>
                <w:sz w:val="11"/>
                <w:szCs w:val="11"/>
                <w:color w:val="auto"/>
              </w:rPr>
              <w:t>Commercial</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3,572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1,433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346,658</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Construction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198,702</w:t>
            </w:r>
          </w:p>
        </w:tc>
      </w:tr>
      <w:tr>
        <w:trPr>
          <w:trHeight w:val="208"/>
        </w:trPr>
        <w:tc>
          <w:tcPr>
            <w:tcW w:w="5980" w:type="dxa"/>
            <w:vAlign w:val="bottom"/>
          </w:tcPr>
          <w:p>
            <w:pPr>
              <w:ind w:left="20"/>
              <w:spacing w:after="0"/>
              <w:rPr>
                <w:sz w:val="20"/>
                <w:szCs w:val="20"/>
                <w:color w:val="auto"/>
              </w:rPr>
            </w:pPr>
            <w:r>
              <w:rPr>
                <w:rFonts w:ascii="Arial" w:cs="Arial" w:eastAsia="Arial" w:hAnsi="Arial"/>
                <w:sz w:val="11"/>
                <w:szCs w:val="11"/>
                <w:color w:val="auto"/>
              </w:rPr>
              <w:t>Commercial</w:t>
            </w:r>
          </w:p>
        </w:tc>
        <w:tc>
          <w:tcPr>
            <w:tcW w:w="2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1,429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150,635</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Credit card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46,412</w:t>
            </w:r>
          </w:p>
        </w:tc>
      </w:tr>
      <w:tr>
        <w:trPr>
          <w:trHeight w:val="208"/>
        </w:trPr>
        <w:tc>
          <w:tcPr>
            <w:tcW w:w="5980" w:type="dxa"/>
            <w:vAlign w:val="bottom"/>
          </w:tcPr>
          <w:p>
            <w:pPr>
              <w:ind w:left="20"/>
              <w:spacing w:after="0"/>
              <w:rPr>
                <w:sz w:val="20"/>
                <w:szCs w:val="20"/>
                <w:color w:val="auto"/>
              </w:rPr>
            </w:pPr>
            <w:r>
              <w:rPr>
                <w:rFonts w:ascii="Arial" w:cs="Arial" w:eastAsia="Arial" w:hAnsi="Arial"/>
                <w:sz w:val="11"/>
                <w:szCs w:val="11"/>
                <w:color w:val="auto"/>
              </w:rPr>
              <w:t>Other consumer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1,285</w:t>
            </w:r>
          </w:p>
        </w:tc>
      </w:tr>
      <w:tr>
        <w:trPr>
          <w:trHeight w:val="178"/>
        </w:trPr>
        <w:tc>
          <w:tcPr>
            <w:tcW w:w="59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119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13,182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4,099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1,169,426</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605" w:right="31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Past due loans, segregated by age and class of loans, as of March 31, 2020 and December 31, 2019 were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Loans Past Due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Loans</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Accruing</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16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180" w:type="dxa"/>
            <w:vAlign w:val="bottom"/>
          </w:tcPr>
          <w:p>
            <w:pPr>
              <w:spacing w:after="0"/>
              <w:rPr>
                <w:sz w:val="9"/>
                <w:szCs w:val="9"/>
                <w:color w:val="auto"/>
              </w:rPr>
            </w:pPr>
          </w:p>
        </w:tc>
        <w:tc>
          <w:tcPr>
            <w:tcW w:w="98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4"/>
              </w:rPr>
              <w:t>Loans</w:t>
            </w:r>
          </w:p>
        </w:tc>
        <w:tc>
          <w:tcPr>
            <w:tcW w:w="160" w:type="dxa"/>
            <w:vAlign w:val="bottom"/>
          </w:tcPr>
          <w:p>
            <w:pPr>
              <w:spacing w:after="0"/>
              <w:rPr>
                <w:sz w:val="9"/>
                <w:szCs w:val="9"/>
                <w:color w:val="auto"/>
              </w:rPr>
            </w:pPr>
          </w:p>
        </w:tc>
        <w:tc>
          <w:tcPr>
            <w:tcW w:w="98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8"/>
              </w:rPr>
              <w:t>90 or More</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center"/>
              <w:ind w:right="260"/>
              <w:spacing w:after="0" w:line="106" w:lineRule="exact"/>
              <w:rPr>
                <w:sz w:val="20"/>
                <w:szCs w:val="20"/>
                <w:color w:val="auto"/>
              </w:rPr>
            </w:pPr>
            <w:r>
              <w:rPr>
                <w:rFonts w:ascii="Arial" w:cs="Arial" w:eastAsia="Arial" w:hAnsi="Arial"/>
                <w:sz w:val="10"/>
                <w:szCs w:val="10"/>
                <w:b w:val="1"/>
                <w:bCs w:val="1"/>
                <w:color w:val="auto"/>
                <w:w w:val="99"/>
              </w:rPr>
              <w:t>Loans 90 or</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9"/>
              </w:rPr>
              <w:t>30-89 Days</w:t>
            </w:r>
          </w:p>
        </w:tc>
        <w:tc>
          <w:tcPr>
            <w:tcW w:w="160" w:type="dxa"/>
            <w:vAlign w:val="bottom"/>
          </w:tcPr>
          <w:p>
            <w:pPr>
              <w:spacing w:after="0"/>
              <w:rPr>
                <w:sz w:val="9"/>
                <w:szCs w:val="9"/>
                <w:color w:val="auto"/>
              </w:rPr>
            </w:pPr>
          </w:p>
        </w:tc>
        <w:tc>
          <w:tcPr>
            <w:tcW w:w="98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rPr>
              <w:t>Days</w:t>
            </w:r>
          </w:p>
        </w:tc>
        <w:tc>
          <w:tcPr>
            <w:tcW w:w="160" w:type="dxa"/>
            <w:vAlign w:val="bottom"/>
          </w:tcPr>
          <w:p>
            <w:pPr>
              <w:spacing w:after="0"/>
              <w:rPr>
                <w:sz w:val="9"/>
                <w:szCs w:val="9"/>
                <w:color w:val="auto"/>
              </w:rPr>
            </w:pPr>
          </w:p>
        </w:tc>
        <w:tc>
          <w:tcPr>
            <w:tcW w:w="980" w:type="dxa"/>
            <w:vAlign w:val="bottom"/>
            <w:gridSpan w:val="2"/>
          </w:tcPr>
          <w:p>
            <w:pPr>
              <w:ind w:left="120"/>
              <w:spacing w:after="0" w:line="106" w:lineRule="exact"/>
              <w:rPr>
                <w:sz w:val="20"/>
                <w:szCs w:val="20"/>
                <w:color w:val="auto"/>
              </w:rPr>
            </w:pPr>
            <w:r>
              <w:rPr>
                <w:rFonts w:ascii="Arial" w:cs="Arial" w:eastAsia="Arial" w:hAnsi="Arial"/>
                <w:sz w:val="10"/>
                <w:szCs w:val="10"/>
                <w:b w:val="1"/>
                <w:bCs w:val="1"/>
                <w:color w:val="auto"/>
              </w:rPr>
              <w:t>Total Past</w:t>
            </w:r>
          </w:p>
        </w:tc>
        <w:tc>
          <w:tcPr>
            <w:tcW w:w="240" w:type="dxa"/>
            <w:vAlign w:val="bottom"/>
          </w:tcPr>
          <w:p>
            <w:pPr>
              <w:spacing w:after="0"/>
              <w:rPr>
                <w:sz w:val="9"/>
                <w:szCs w:val="9"/>
                <w:color w:val="auto"/>
              </w:rPr>
            </w:pPr>
          </w:p>
        </w:tc>
        <w:tc>
          <w:tcPr>
            <w:tcW w:w="1000" w:type="dxa"/>
            <w:vAlign w:val="bottom"/>
            <w:gridSpan w:val="2"/>
          </w:tcPr>
          <w:p>
            <w:pPr>
              <w:ind w:left="140"/>
              <w:spacing w:after="0" w:line="106" w:lineRule="exact"/>
              <w:rPr>
                <w:sz w:val="20"/>
                <w:szCs w:val="20"/>
                <w:color w:val="auto"/>
              </w:rPr>
            </w:pPr>
            <w:r>
              <w:rPr>
                <w:rFonts w:ascii="Arial" w:cs="Arial" w:eastAsia="Arial" w:hAnsi="Arial"/>
                <w:sz w:val="10"/>
                <w:szCs w:val="10"/>
                <w:b w:val="1"/>
                <w:bCs w:val="1"/>
                <w:color w:val="auto"/>
              </w:rPr>
              <w:t>Current</w:t>
            </w:r>
          </w:p>
        </w:tc>
        <w:tc>
          <w:tcPr>
            <w:tcW w:w="240" w:type="dxa"/>
            <w:vAlign w:val="bottom"/>
          </w:tcPr>
          <w:p>
            <w:pPr>
              <w:spacing w:after="0"/>
              <w:rPr>
                <w:sz w:val="9"/>
                <w:szCs w:val="9"/>
                <w:color w:val="auto"/>
              </w:rPr>
            </w:pPr>
          </w:p>
        </w:tc>
        <w:tc>
          <w:tcPr>
            <w:tcW w:w="960" w:type="dxa"/>
            <w:vAlign w:val="bottom"/>
            <w:gridSpan w:val="2"/>
          </w:tcPr>
          <w:p>
            <w:pPr>
              <w:ind w:left="180"/>
              <w:spacing w:after="0" w:line="106" w:lineRule="exact"/>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9"/>
                <w:szCs w:val="9"/>
                <w:color w:val="auto"/>
              </w:rPr>
            </w:pPr>
          </w:p>
        </w:tc>
        <w:tc>
          <w:tcPr>
            <w:tcW w:w="94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8"/>
              </w:rPr>
              <w:t>More Days</w:t>
            </w:r>
          </w:p>
        </w:tc>
        <w:tc>
          <w:tcPr>
            <w:tcW w:w="180" w:type="dxa"/>
            <w:vAlign w:val="bottom"/>
          </w:tcPr>
          <w:p>
            <w:pPr>
              <w:spacing w:after="0"/>
              <w:rPr>
                <w:sz w:val="9"/>
                <w:szCs w:val="9"/>
                <w:color w:val="auto"/>
              </w:rPr>
            </w:pPr>
          </w:p>
        </w:tc>
        <w:tc>
          <w:tcPr>
            <w:tcW w:w="940" w:type="dxa"/>
            <w:vAlign w:val="bottom"/>
          </w:tcPr>
          <w:p>
            <w:pPr>
              <w:jc w:val="right"/>
              <w:ind w:right="224"/>
              <w:spacing w:after="0" w:line="106" w:lineRule="exact"/>
              <w:rPr>
                <w:sz w:val="20"/>
                <w:szCs w:val="20"/>
                <w:color w:val="auto"/>
              </w:rPr>
            </w:pPr>
            <w:r>
              <w:rPr>
                <w:rFonts w:ascii="Arial" w:cs="Arial" w:eastAsia="Arial" w:hAnsi="Arial"/>
                <w:sz w:val="10"/>
                <w:szCs w:val="10"/>
                <w:b w:val="1"/>
                <w:bCs w:val="1"/>
                <w:color w:val="auto"/>
              </w:rPr>
              <w:t>Non-accrual</w:t>
            </w:r>
          </w:p>
        </w:tc>
        <w:tc>
          <w:tcPr>
            <w:tcW w:w="0" w:type="dxa"/>
            <w:vAlign w:val="bottom"/>
          </w:tcPr>
          <w:p>
            <w:pPr>
              <w:spacing w:after="0"/>
              <w:rPr>
                <w:sz w:val="1"/>
                <w:szCs w:val="1"/>
                <w:color w:val="auto"/>
              </w:rPr>
            </w:pPr>
          </w:p>
        </w:tc>
      </w:tr>
      <w:tr>
        <w:trPr>
          <w:trHeight w:val="140"/>
        </w:trPr>
        <w:tc>
          <w:tcPr>
            <w:tcW w:w="3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98"/>
              </w:rPr>
              <w:t>Past Due</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w w:val="98"/>
              </w:rPr>
              <w:t>Past Due</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Due Loans</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Loans</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Loans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5"/>
              <w:spacing w:after="0"/>
              <w:rPr>
                <w:sz w:val="20"/>
                <w:szCs w:val="20"/>
                <w:color w:val="auto"/>
              </w:rPr>
            </w:pPr>
            <w:r>
              <w:rPr>
                <w:rFonts w:ascii="Arial" w:cs="Arial" w:eastAsia="Arial" w:hAnsi="Arial"/>
                <w:sz w:val="10"/>
                <w:szCs w:val="10"/>
                <w:b w:val="1"/>
                <w:bCs w:val="1"/>
                <w:color w:val="auto"/>
              </w:rPr>
              <w:t>Past Due</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Loans</w:t>
            </w:r>
          </w:p>
        </w:tc>
        <w:tc>
          <w:tcPr>
            <w:tcW w:w="0" w:type="dxa"/>
            <w:vAlign w:val="bottom"/>
          </w:tcPr>
          <w:p>
            <w:pPr>
              <w:spacing w:after="0"/>
              <w:rPr>
                <w:sz w:val="1"/>
                <w:szCs w:val="1"/>
                <w:color w:val="auto"/>
              </w:rPr>
            </w:pPr>
          </w:p>
        </w:tc>
      </w:tr>
      <w:tr>
        <w:trPr>
          <w:trHeight w:val="203"/>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Residential</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8,986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1,653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10,639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420,231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430,870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1,633</w:t>
            </w:r>
          </w:p>
        </w:tc>
        <w:tc>
          <w:tcPr>
            <w:tcW w:w="0" w:type="dxa"/>
            <w:vAlign w:val="bottom"/>
          </w:tcPr>
          <w:p>
            <w:pPr>
              <w:spacing w:after="0"/>
              <w:rPr>
                <w:sz w:val="1"/>
                <w:szCs w:val="1"/>
                <w:color w:val="auto"/>
              </w:rPr>
            </w:pPr>
          </w:p>
        </w:tc>
      </w:tr>
      <w:tr>
        <w:trPr>
          <w:trHeight w:val="208"/>
        </w:trPr>
        <w:tc>
          <w:tcPr>
            <w:tcW w:w="3160" w:type="dxa"/>
            <w:vAlign w:val="bottom"/>
            <w:gridSpan w:val="2"/>
          </w:tcPr>
          <w:p>
            <w:pPr>
              <w:ind w:left="120"/>
              <w:spacing w:after="0"/>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b w:val="1"/>
                <w:bCs w:val="1"/>
                <w:color w:val="auto"/>
              </w:rPr>
              <w:t>4,616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b w:val="1"/>
                <w:bCs w:val="1"/>
                <w:color w:val="auto"/>
              </w:rPr>
              <w:t>1,678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b w:val="1"/>
                <w:bCs w:val="1"/>
                <w:color w:val="auto"/>
              </w:rPr>
              <w:t>6,294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b w:val="1"/>
                <w:bCs w:val="1"/>
                <w:color w:val="auto"/>
              </w:rPr>
              <w:t>354,307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b w:val="1"/>
                <w:bCs w:val="1"/>
                <w:color w:val="auto"/>
              </w:rPr>
              <w:t>360,601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5"/>
              <w:spacing w:after="0"/>
              <w:rPr>
                <w:sz w:val="20"/>
                <w:szCs w:val="20"/>
                <w:color w:val="auto"/>
              </w:rPr>
            </w:pPr>
            <w:r>
              <w:rPr>
                <w:rFonts w:ascii="Arial" w:cs="Arial" w:eastAsia="Arial" w:hAnsi="Arial"/>
                <w:sz w:val="11"/>
                <w:szCs w:val="11"/>
                <w:b w:val="1"/>
                <w:bCs w:val="1"/>
                <w:color w:val="auto"/>
              </w:rPr>
              <w:t>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1,408</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Construction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2,103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2,456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201,591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204,047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1,503</w:t>
            </w:r>
          </w:p>
        </w:tc>
        <w:tc>
          <w:tcPr>
            <w:tcW w:w="0" w:type="dxa"/>
            <w:vAlign w:val="bottom"/>
          </w:tcPr>
          <w:p>
            <w:pPr>
              <w:spacing w:after="0"/>
              <w:rPr>
                <w:sz w:val="1"/>
                <w:szCs w:val="1"/>
                <w:color w:val="auto"/>
              </w:rPr>
            </w:pPr>
          </w:p>
        </w:tc>
      </w:tr>
      <w:tr>
        <w:trPr>
          <w:trHeight w:val="208"/>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b w:val="1"/>
                <w:bCs w:val="1"/>
                <w:color w:val="auto"/>
              </w:rPr>
              <w:t>3,014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b w:val="1"/>
                <w:bCs w:val="1"/>
                <w:color w:val="auto"/>
              </w:rPr>
              <w:t>323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b w:val="1"/>
                <w:bCs w:val="1"/>
                <w:color w:val="auto"/>
              </w:rPr>
              <w:t>3,337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b w:val="1"/>
                <w:bCs w:val="1"/>
                <w:color w:val="auto"/>
              </w:rPr>
              <w:t>148,214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b w:val="1"/>
                <w:bCs w:val="1"/>
                <w:color w:val="auto"/>
              </w:rPr>
              <w:t>151,551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440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Credit card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3,834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3,841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38,040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41,881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8"/>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Other consumer</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b w:val="1"/>
                <w:bCs w:val="1"/>
                <w:color w:val="auto"/>
              </w:rPr>
              <w:t>1,103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b w:val="1"/>
                <w:bCs w:val="1"/>
                <w:color w:val="auto"/>
              </w:rPr>
              <w:t>1,103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22,553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4,014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26,567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1,163,486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1,190,053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803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4,984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Acquired loans included in total above</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1,263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1,285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4,599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5,884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498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818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December 31,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Residential</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704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2,436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3,140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424,786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427,926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2,192</w:t>
            </w:r>
          </w:p>
        </w:tc>
        <w:tc>
          <w:tcPr>
            <w:tcW w:w="0" w:type="dxa"/>
            <w:vAlign w:val="bottom"/>
          </w:tcPr>
          <w:p>
            <w:pPr>
              <w:spacing w:after="0"/>
              <w:rPr>
                <w:sz w:val="1"/>
                <w:szCs w:val="1"/>
                <w:color w:val="auto"/>
              </w:rPr>
            </w:pPr>
          </w:p>
        </w:tc>
      </w:tr>
      <w:tr>
        <w:trPr>
          <w:trHeight w:val="208"/>
        </w:trPr>
        <w:tc>
          <w:tcPr>
            <w:tcW w:w="3160" w:type="dxa"/>
            <w:vAlign w:val="bottom"/>
            <w:gridSpan w:val="2"/>
          </w:tcPr>
          <w:p>
            <w:pPr>
              <w:ind w:left="120"/>
              <w:spacing w:after="0"/>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1,671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color w:val="auto"/>
              </w:rPr>
              <w:t>1,946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346,145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color w:val="auto"/>
              </w:rPr>
              <w:t>348,091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5"/>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1,433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Construction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756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197,946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198,702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8"/>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172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1"/>
                <w:szCs w:val="11"/>
                <w:color w:val="auto"/>
              </w:rPr>
              <w:t>353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150,584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color w:val="auto"/>
              </w:rPr>
              <w:t>151,109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Credit card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5,526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5,534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40,878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46,412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8"/>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Other consumer</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7,433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4,468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11,901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1,161,624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1,173,525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620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4,099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Acquired loans included in total above</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305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1,243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1,548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4,873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6,421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464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880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of March 31, 2020 and December 31, 2019, there was a $159 thousand loan secured by a one to four family residential property in the process of foreclosure.</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60"/>
          </w:cols>
          <w:pgMar w:left="320" w:top="605" w:right="31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Impaired loans were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Impaired Loans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Unpaid</w:t>
            </w:r>
          </w:p>
        </w:tc>
        <w:tc>
          <w:tcPr>
            <w:tcW w:w="220" w:type="dxa"/>
            <w:vAlign w:val="bottom"/>
          </w:tcPr>
          <w:p>
            <w:pPr>
              <w:spacing w:after="0"/>
              <w:rPr>
                <w:sz w:val="10"/>
                <w:szCs w:val="1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9"/>
              </w:rPr>
              <w:t>Recorded</w:t>
            </w:r>
          </w:p>
        </w:tc>
        <w:tc>
          <w:tcPr>
            <w:tcW w:w="22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Recorded</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64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220" w:type="dxa"/>
            <w:vAlign w:val="bottom"/>
          </w:tcPr>
          <w:p>
            <w:pPr>
              <w:spacing w:after="0"/>
              <w:rPr>
                <w:sz w:val="9"/>
                <w:szCs w:val="9"/>
                <w:color w:val="auto"/>
              </w:rPr>
            </w:pPr>
          </w:p>
        </w:tc>
        <w:tc>
          <w:tcPr>
            <w:tcW w:w="1160" w:type="dxa"/>
            <w:vAlign w:val="bottom"/>
            <w:gridSpan w:val="2"/>
          </w:tcPr>
          <w:p>
            <w:pPr>
              <w:jc w:val="center"/>
              <w:ind w:right="340"/>
              <w:spacing w:after="0" w:line="106" w:lineRule="exact"/>
              <w:rPr>
                <w:sz w:val="20"/>
                <w:szCs w:val="20"/>
                <w:color w:val="auto"/>
              </w:rPr>
            </w:pPr>
            <w:r>
              <w:rPr>
                <w:rFonts w:ascii="Arial" w:cs="Arial" w:eastAsia="Arial" w:hAnsi="Arial"/>
                <w:sz w:val="10"/>
                <w:szCs w:val="10"/>
                <w:b w:val="1"/>
                <w:bCs w:val="1"/>
                <w:color w:val="auto"/>
                <w:w w:val="97"/>
              </w:rPr>
              <w:t>Contractual</w:t>
            </w:r>
          </w:p>
        </w:tc>
        <w:tc>
          <w:tcPr>
            <w:tcW w:w="220" w:type="dxa"/>
            <w:vAlign w:val="bottom"/>
          </w:tcPr>
          <w:p>
            <w:pPr>
              <w:spacing w:after="0"/>
              <w:rPr>
                <w:sz w:val="9"/>
                <w:szCs w:val="9"/>
                <w:color w:val="auto"/>
              </w:rPr>
            </w:pPr>
          </w:p>
        </w:tc>
        <w:tc>
          <w:tcPr>
            <w:tcW w:w="1140" w:type="dxa"/>
            <w:vAlign w:val="bottom"/>
            <w:gridSpan w:val="2"/>
          </w:tcPr>
          <w:p>
            <w:pPr>
              <w:jc w:val="center"/>
              <w:ind w:right="340"/>
              <w:spacing w:after="0" w:line="106" w:lineRule="exact"/>
              <w:rPr>
                <w:sz w:val="20"/>
                <w:szCs w:val="20"/>
                <w:color w:val="auto"/>
              </w:rPr>
            </w:pPr>
            <w:r>
              <w:rPr>
                <w:rFonts w:ascii="Arial" w:cs="Arial" w:eastAsia="Arial" w:hAnsi="Arial"/>
                <w:sz w:val="10"/>
                <w:szCs w:val="10"/>
                <w:b w:val="1"/>
                <w:bCs w:val="1"/>
                <w:color w:val="auto"/>
                <w:w w:val="98"/>
              </w:rPr>
              <w:t>Investment</w:t>
            </w:r>
          </w:p>
        </w:tc>
        <w:tc>
          <w:tcPr>
            <w:tcW w:w="220" w:type="dxa"/>
            <w:vAlign w:val="bottom"/>
          </w:tcPr>
          <w:p>
            <w:pPr>
              <w:spacing w:after="0"/>
              <w:rPr>
                <w:sz w:val="9"/>
                <w:szCs w:val="9"/>
                <w:color w:val="auto"/>
              </w:rPr>
            </w:pPr>
          </w:p>
        </w:tc>
        <w:tc>
          <w:tcPr>
            <w:tcW w:w="1140" w:type="dxa"/>
            <w:vAlign w:val="bottom"/>
            <w:gridSpan w:val="2"/>
          </w:tcPr>
          <w:p>
            <w:pPr>
              <w:jc w:val="center"/>
              <w:ind w:right="340"/>
              <w:spacing w:after="0" w:line="106" w:lineRule="exact"/>
              <w:rPr>
                <w:sz w:val="20"/>
                <w:szCs w:val="20"/>
                <w:color w:val="auto"/>
              </w:rPr>
            </w:pPr>
            <w:r>
              <w:rPr>
                <w:rFonts w:ascii="Arial" w:cs="Arial" w:eastAsia="Arial" w:hAnsi="Arial"/>
                <w:sz w:val="10"/>
                <w:szCs w:val="10"/>
                <w:b w:val="1"/>
                <w:bCs w:val="1"/>
                <w:color w:val="auto"/>
                <w:w w:val="98"/>
              </w:rPr>
              <w:t>Investment</w:t>
            </w:r>
          </w:p>
        </w:tc>
        <w:tc>
          <w:tcPr>
            <w:tcW w:w="220" w:type="dxa"/>
            <w:vAlign w:val="bottom"/>
          </w:tcPr>
          <w:p>
            <w:pPr>
              <w:spacing w:after="0"/>
              <w:rPr>
                <w:sz w:val="9"/>
                <w:szCs w:val="9"/>
                <w:color w:val="auto"/>
              </w:rPr>
            </w:pPr>
          </w:p>
        </w:tc>
        <w:tc>
          <w:tcPr>
            <w:tcW w:w="110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1"/>
              </w:rPr>
              <w:t>Total</w:t>
            </w: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40"/>
              <w:spacing w:after="0" w:line="106" w:lineRule="exact"/>
              <w:rPr>
                <w:sz w:val="20"/>
                <w:szCs w:val="20"/>
                <w:color w:val="auto"/>
              </w:rPr>
            </w:pPr>
            <w:r>
              <w:rPr>
                <w:rFonts w:ascii="Arial" w:cs="Arial" w:eastAsia="Arial" w:hAnsi="Arial"/>
                <w:sz w:val="10"/>
                <w:szCs w:val="10"/>
                <w:b w:val="1"/>
                <w:bCs w:val="1"/>
                <w:color w:val="auto"/>
                <w:w w:val="99"/>
              </w:rPr>
              <w:t>Principal</w:t>
            </w:r>
          </w:p>
        </w:tc>
        <w:tc>
          <w:tcPr>
            <w:tcW w:w="220" w:type="dxa"/>
            <w:vAlign w:val="bottom"/>
          </w:tcPr>
          <w:p>
            <w:pPr>
              <w:spacing w:after="0"/>
              <w:rPr>
                <w:sz w:val="9"/>
                <w:szCs w:val="9"/>
                <w:color w:val="auto"/>
              </w:rPr>
            </w:pPr>
          </w:p>
        </w:tc>
        <w:tc>
          <w:tcPr>
            <w:tcW w:w="1140" w:type="dxa"/>
            <w:vAlign w:val="bottom"/>
            <w:gridSpan w:val="2"/>
          </w:tcPr>
          <w:p>
            <w:pPr>
              <w:jc w:val="center"/>
              <w:ind w:right="360"/>
              <w:spacing w:after="0" w:line="106" w:lineRule="exact"/>
              <w:rPr>
                <w:sz w:val="20"/>
                <w:szCs w:val="20"/>
                <w:color w:val="auto"/>
              </w:rPr>
            </w:pPr>
            <w:r>
              <w:rPr>
                <w:rFonts w:ascii="Arial" w:cs="Arial" w:eastAsia="Arial" w:hAnsi="Arial"/>
                <w:sz w:val="10"/>
                <w:szCs w:val="10"/>
                <w:b w:val="1"/>
                <w:bCs w:val="1"/>
                <w:color w:val="auto"/>
              </w:rPr>
              <w:t>With No</w:t>
            </w:r>
          </w:p>
        </w:tc>
        <w:tc>
          <w:tcPr>
            <w:tcW w:w="220" w:type="dxa"/>
            <w:vAlign w:val="bottom"/>
          </w:tcPr>
          <w:p>
            <w:pPr>
              <w:spacing w:after="0"/>
              <w:rPr>
                <w:sz w:val="9"/>
                <w:szCs w:val="9"/>
                <w:color w:val="auto"/>
              </w:rPr>
            </w:pPr>
          </w:p>
        </w:tc>
        <w:tc>
          <w:tcPr>
            <w:tcW w:w="114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rPr>
              <w:t>With</w:t>
            </w:r>
          </w:p>
        </w:tc>
        <w:tc>
          <w:tcPr>
            <w:tcW w:w="220" w:type="dxa"/>
            <w:vAlign w:val="bottom"/>
          </w:tcPr>
          <w:p>
            <w:pPr>
              <w:spacing w:after="0"/>
              <w:rPr>
                <w:sz w:val="9"/>
                <w:szCs w:val="9"/>
                <w:color w:val="auto"/>
              </w:rPr>
            </w:pPr>
          </w:p>
        </w:tc>
        <w:tc>
          <w:tcPr>
            <w:tcW w:w="110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9"/>
              </w:rPr>
              <w:t>Recorded</w:t>
            </w:r>
          </w:p>
        </w:tc>
        <w:tc>
          <w:tcPr>
            <w:tcW w:w="220" w:type="dxa"/>
            <w:vAlign w:val="bottom"/>
          </w:tcPr>
          <w:p>
            <w:pPr>
              <w:spacing w:after="0"/>
              <w:rPr>
                <w:sz w:val="9"/>
                <w:szCs w:val="9"/>
                <w:color w:val="auto"/>
              </w:rPr>
            </w:pPr>
          </w:p>
        </w:tc>
        <w:tc>
          <w:tcPr>
            <w:tcW w:w="1000" w:type="dxa"/>
            <w:vAlign w:val="bottom"/>
          </w:tcPr>
          <w:p>
            <w:pPr>
              <w:jc w:val="right"/>
              <w:ind w:right="365"/>
              <w:spacing w:after="0" w:line="106" w:lineRule="exact"/>
              <w:rPr>
                <w:sz w:val="20"/>
                <w:szCs w:val="20"/>
                <w:color w:val="auto"/>
              </w:rPr>
            </w:pPr>
            <w:r>
              <w:rPr>
                <w:rFonts w:ascii="Arial" w:cs="Arial" w:eastAsia="Arial" w:hAnsi="Arial"/>
                <w:sz w:val="10"/>
                <w:szCs w:val="10"/>
                <w:b w:val="1"/>
                <w:bCs w:val="1"/>
                <w:color w:val="auto"/>
              </w:rPr>
              <w:t>Related</w:t>
            </w:r>
          </w:p>
        </w:tc>
        <w:tc>
          <w:tcPr>
            <w:tcW w:w="0" w:type="dxa"/>
            <w:vAlign w:val="bottom"/>
          </w:tcPr>
          <w:p>
            <w:pPr>
              <w:spacing w:after="0"/>
              <w:rPr>
                <w:sz w:val="1"/>
                <w:szCs w:val="1"/>
                <w:color w:val="auto"/>
              </w:rPr>
            </w:pPr>
          </w:p>
        </w:tc>
      </w:tr>
      <w:tr>
        <w:trPr>
          <w:trHeight w:val="140"/>
        </w:trPr>
        <w:tc>
          <w:tcPr>
            <w:tcW w:w="45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98"/>
              </w:rPr>
              <w:t>Balance</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96"/>
              </w:rPr>
              <w:t>Allowance</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85"/>
              <w:spacing w:after="0"/>
              <w:rPr>
                <w:sz w:val="20"/>
                <w:szCs w:val="20"/>
                <w:color w:val="auto"/>
              </w:rPr>
            </w:pPr>
            <w:r>
              <w:rPr>
                <w:rFonts w:ascii="Arial" w:cs="Arial" w:eastAsia="Arial" w:hAnsi="Arial"/>
                <w:sz w:val="10"/>
                <w:szCs w:val="10"/>
                <w:b w:val="1"/>
                <w:bCs w:val="1"/>
                <w:color w:val="auto"/>
                <w:w w:val="96"/>
              </w:rPr>
              <w:t>Allowance</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85"/>
              <w:spacing w:after="0"/>
              <w:rPr>
                <w:sz w:val="20"/>
                <w:szCs w:val="20"/>
                <w:color w:val="auto"/>
              </w:rPr>
            </w:pPr>
            <w:r>
              <w:rPr>
                <w:rFonts w:ascii="Arial" w:cs="Arial" w:eastAsia="Arial" w:hAnsi="Arial"/>
                <w:sz w:val="10"/>
                <w:szCs w:val="10"/>
                <w:b w:val="1"/>
                <w:bCs w:val="1"/>
                <w:color w:val="auto"/>
                <w:w w:val="98"/>
              </w:rPr>
              <w:t>Investment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Allowance</w:t>
            </w:r>
          </w:p>
        </w:tc>
        <w:tc>
          <w:tcPr>
            <w:tcW w:w="0" w:type="dxa"/>
            <w:vAlign w:val="bottom"/>
          </w:tcPr>
          <w:p>
            <w:pPr>
              <w:spacing w:after="0"/>
              <w:rPr>
                <w:sz w:val="1"/>
                <w:szCs w:val="1"/>
                <w:color w:val="auto"/>
              </w:rPr>
            </w:pPr>
          </w:p>
        </w:tc>
      </w:tr>
      <w:tr>
        <w:trPr>
          <w:trHeight w:val="203"/>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1,838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1,633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1,633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Commercial</w:t>
            </w:r>
          </w:p>
        </w:tc>
        <w:tc>
          <w:tcPr>
            <w:tcW w:w="220" w:type="dxa"/>
            <w:vAlign w:val="bottom"/>
          </w:tcPr>
          <w:p>
            <w:pPr>
              <w:spacing w:after="0"/>
              <w:rPr>
                <w:sz w:val="18"/>
                <w:szCs w:val="18"/>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b w:val="1"/>
                <w:bCs w:val="1"/>
                <w:color w:val="auto"/>
              </w:rPr>
              <w:t>1,551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b w:val="1"/>
                <w:bCs w:val="1"/>
                <w:color w:val="auto"/>
              </w:rPr>
              <w:t>1,408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1,408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Construction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1,528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1,503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1,503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8"/>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Commercial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559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440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89</w:t>
            </w:r>
          </w:p>
        </w:tc>
        <w:tc>
          <w:tcPr>
            <w:tcW w:w="0" w:type="dxa"/>
            <w:vAlign w:val="bottom"/>
          </w:tcPr>
          <w:p>
            <w:pPr>
              <w:spacing w:after="0"/>
              <w:rPr>
                <w:sz w:val="1"/>
                <w:szCs w:val="1"/>
                <w:color w:val="auto"/>
              </w:rPr>
            </w:pPr>
          </w:p>
        </w:tc>
      </w:tr>
      <w:tr>
        <w:trPr>
          <w:trHeight w:val="182"/>
        </w:trPr>
        <w:tc>
          <w:tcPr>
            <w:tcW w:w="4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5,476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4,745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239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4,984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Acquired loans included above</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987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818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818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December 31, 2019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2,309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2,192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8"/>
        </w:trPr>
        <w:tc>
          <w:tcPr>
            <w:tcW w:w="4640" w:type="dxa"/>
            <w:vAlign w:val="bottom"/>
            <w:gridSpan w:val="2"/>
          </w:tcPr>
          <w:p>
            <w:pPr>
              <w:ind w:left="140"/>
              <w:spacing w:after="0"/>
              <w:rPr>
                <w:sz w:val="20"/>
                <w:szCs w:val="20"/>
                <w:color w:val="auto"/>
              </w:rPr>
            </w:pPr>
            <w:r>
              <w:rPr>
                <w:rFonts w:ascii="Arial" w:cs="Arial" w:eastAsia="Arial" w:hAnsi="Arial"/>
                <w:sz w:val="11"/>
                <w:szCs w:val="11"/>
                <w:color w:val="auto"/>
              </w:rPr>
              <w:t>Commercial</w:t>
            </w:r>
          </w:p>
        </w:tc>
        <w:tc>
          <w:tcPr>
            <w:tcW w:w="220" w:type="dxa"/>
            <w:vAlign w:val="bottom"/>
          </w:tcPr>
          <w:p>
            <w:pPr>
              <w:spacing w:after="0"/>
              <w:rPr>
                <w:sz w:val="18"/>
                <w:szCs w:val="18"/>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1,477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1,433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1,433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Commercial</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574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474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119</w:t>
            </w:r>
          </w:p>
        </w:tc>
        <w:tc>
          <w:tcPr>
            <w:tcW w:w="0" w:type="dxa"/>
            <w:vAlign w:val="bottom"/>
          </w:tcPr>
          <w:p>
            <w:pPr>
              <w:spacing w:after="0"/>
              <w:rPr>
                <w:sz w:val="1"/>
                <w:szCs w:val="1"/>
                <w:color w:val="auto"/>
              </w:rPr>
            </w:pPr>
          </w:p>
        </w:tc>
      </w:tr>
      <w:tr>
        <w:trPr>
          <w:trHeight w:val="222"/>
        </w:trPr>
        <w:tc>
          <w:tcPr>
            <w:tcW w:w="4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4,360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3,826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4,099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119</w:t>
            </w: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Acquired loans included above</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1,148</w:t>
            </w:r>
          </w:p>
        </w:tc>
        <w:tc>
          <w:tcPr>
            <w:tcW w:w="120" w:type="dxa"/>
            <w:vAlign w:val="bottom"/>
          </w:tcPr>
          <w:p>
            <w:pPr>
              <w:spacing w:after="0"/>
              <w:rPr>
                <w:sz w:val="17"/>
                <w:szCs w:val="17"/>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880</w:t>
            </w:r>
          </w:p>
        </w:tc>
        <w:tc>
          <w:tcPr>
            <w:tcW w:w="120" w:type="dxa"/>
            <w:vAlign w:val="bottom"/>
          </w:tcPr>
          <w:p>
            <w:pPr>
              <w:spacing w:after="0"/>
              <w:rPr>
                <w:sz w:val="17"/>
                <w:szCs w:val="17"/>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880</w:t>
            </w:r>
          </w:p>
        </w:tc>
        <w:tc>
          <w:tcPr>
            <w:tcW w:w="100" w:type="dxa"/>
            <w:vAlign w:val="bottom"/>
          </w:tcPr>
          <w:p>
            <w:pPr>
              <w:spacing w:after="0"/>
              <w:rPr>
                <w:sz w:val="17"/>
                <w:szCs w:val="17"/>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interest recognized on impaired loans: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Interest Recognized on Impaired Loans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6"/>
          </w:tcPr>
          <w:p>
            <w:pPr>
              <w:ind w:left="20"/>
              <w:spacing w:after="0"/>
              <w:rPr>
                <w:sz w:val="20"/>
                <w:szCs w:val="20"/>
                <w:color w:val="auto"/>
              </w:rPr>
            </w:pPr>
            <w:r>
              <w:rPr>
                <w:rFonts w:ascii="Arial" w:cs="Arial" w:eastAsia="Arial" w:hAnsi="Arial"/>
                <w:sz w:val="11"/>
                <w:szCs w:val="11"/>
                <w:b w:val="1"/>
                <w:bCs w:val="1"/>
                <w:color w:val="auto"/>
              </w:rPr>
              <w:t>For the Three Months Ended March 31,</w:t>
            </w:r>
          </w:p>
        </w:tc>
        <w:tc>
          <w:tcPr>
            <w:tcW w:w="100" w:type="dxa"/>
            <w:vAlign w:val="bottom"/>
          </w:tcPr>
          <w:p>
            <w:pPr>
              <w:spacing w:after="0"/>
              <w:rPr>
                <w:sz w:val="11"/>
                <w:szCs w:val="11"/>
                <w:color w:val="auto"/>
              </w:rPr>
            </w:pPr>
          </w:p>
        </w:tc>
        <w:tc>
          <w:tcPr>
            <w:tcW w:w="2200" w:type="dxa"/>
            <w:vAlign w:val="bottom"/>
            <w:gridSpan w:val="5"/>
          </w:tcPr>
          <w:p>
            <w:pPr>
              <w:ind w:left="20"/>
              <w:spacing w:after="0"/>
              <w:rPr>
                <w:sz w:val="20"/>
                <w:szCs w:val="20"/>
                <w:color w:val="auto"/>
              </w:rPr>
            </w:pPr>
            <w:r>
              <w:rPr>
                <w:rFonts w:ascii="Arial" w:cs="Arial" w:eastAsia="Arial" w:hAnsi="Arial"/>
                <w:sz w:val="11"/>
                <w:szCs w:val="11"/>
                <w:b w:val="1"/>
                <w:bCs w:val="1"/>
                <w:color w:val="auto"/>
              </w:rPr>
              <w:t>For the Three Months Ended March 31,</w:t>
            </w:r>
          </w:p>
        </w:tc>
      </w:tr>
      <w:tr>
        <w:trPr>
          <w:trHeight w:val="155"/>
        </w:trPr>
        <w:tc>
          <w:tcPr>
            <w:tcW w:w="6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w w:val="97"/>
              </w:rPr>
              <w:t>2019</w:t>
            </w:r>
          </w:p>
        </w:tc>
        <w:tc>
          <w:tcPr>
            <w:tcW w:w="920" w:type="dxa"/>
            <w:vAlign w:val="bottom"/>
            <w:tcBorders>
              <w:bottom w:val="single" w:sz="8" w:color="auto"/>
            </w:tcBorders>
          </w:tcPr>
          <w:p>
            <w:pPr>
              <w:spacing w:after="0"/>
              <w:rPr>
                <w:sz w:val="13"/>
                <w:szCs w:val="13"/>
                <w:color w:val="auto"/>
              </w:rPr>
            </w:pPr>
          </w:p>
        </w:tc>
      </w:tr>
      <w:tr>
        <w:trPr>
          <w:trHeight w:val="105"/>
        </w:trPr>
        <w:tc>
          <w:tcPr>
            <w:tcW w:w="6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rPr>
              <w:t>Average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6"/>
              </w:rPr>
              <w:t>Average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6"/>
        </w:trPr>
        <w:tc>
          <w:tcPr>
            <w:tcW w:w="6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5"/>
              </w:rPr>
              <w:t>Recorded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9"/>
              </w:rPr>
              <w:t>Interest</w:t>
            </w:r>
          </w:p>
        </w:tc>
        <w:tc>
          <w:tcPr>
            <w:tcW w:w="10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9"/>
              </w:rPr>
              <w:t>Recorded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ind w:left="180"/>
              <w:spacing w:after="0" w:line="106" w:lineRule="exact"/>
              <w:rPr>
                <w:sz w:val="20"/>
                <w:szCs w:val="20"/>
                <w:color w:val="auto"/>
              </w:rPr>
            </w:pPr>
            <w:r>
              <w:rPr>
                <w:rFonts w:ascii="Arial" w:cs="Arial" w:eastAsia="Arial" w:hAnsi="Arial"/>
                <w:sz w:val="10"/>
                <w:szCs w:val="10"/>
                <w:b w:val="1"/>
                <w:bCs w:val="1"/>
                <w:color w:val="auto"/>
              </w:rPr>
              <w:t>Interest</w:t>
            </w:r>
          </w:p>
        </w:tc>
      </w:tr>
      <w:tr>
        <w:trPr>
          <w:trHeight w:val="137"/>
        </w:trPr>
        <w:tc>
          <w:tcPr>
            <w:tcW w:w="634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8"/>
              </w:rPr>
              <w:t>Investment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9"/>
              </w:rPr>
              <w:t>Recognized</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8"/>
              </w:rPr>
              <w:t>Investment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0"/>
                <w:szCs w:val="10"/>
                <w:b w:val="1"/>
                <w:bCs w:val="1"/>
                <w:color w:val="auto"/>
              </w:rPr>
              <w:t>Recognized</w:t>
            </w:r>
          </w:p>
        </w:tc>
      </w:tr>
      <w:tr>
        <w:trPr>
          <w:trHeight w:val="206"/>
        </w:trPr>
        <w:tc>
          <w:tcPr>
            <w:tcW w:w="634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Real estate</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1,840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2,399</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1"/>
                <w:szCs w:val="11"/>
                <w:color w:val="auto"/>
              </w:rPr>
              <w:t>—</w:t>
            </w:r>
          </w:p>
        </w:tc>
      </w:tr>
      <w:tr>
        <w:trPr>
          <w:trHeight w:val="208"/>
        </w:trPr>
        <w:tc>
          <w:tcPr>
            <w:tcW w:w="6340" w:type="dxa"/>
            <w:vAlign w:val="bottom"/>
          </w:tcPr>
          <w:p>
            <w:pPr>
              <w:ind w:left="140"/>
              <w:spacing w:after="0"/>
              <w:rPr>
                <w:sz w:val="20"/>
                <w:szCs w:val="20"/>
                <w:color w:val="auto"/>
              </w:rPr>
            </w:pPr>
            <w:r>
              <w:rPr>
                <w:rFonts w:ascii="Arial" w:cs="Arial" w:eastAsia="Arial" w:hAnsi="Arial"/>
                <w:sz w:val="11"/>
                <w:szCs w:val="11"/>
                <w:color w:val="auto"/>
              </w:rPr>
              <w:t>Commercial</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1,575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65"/>
              <w:spacing w:after="0"/>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Arial" w:cs="Arial" w:eastAsia="Arial" w:hAnsi="Arial"/>
                <w:sz w:val="11"/>
                <w:szCs w:val="11"/>
                <w:color w:val="auto"/>
              </w:rPr>
              <w:t>—</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Construction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1"/>
                <w:szCs w:val="11"/>
                <w:color w:val="auto"/>
              </w:rPr>
              <w:t>—</w:t>
            </w:r>
          </w:p>
        </w:tc>
      </w:tr>
      <w:tr>
        <w:trPr>
          <w:trHeight w:val="20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Commercial</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rPr>
              <w:t>—</w:t>
            </w:r>
          </w:p>
        </w:tc>
      </w:tr>
      <w:tr>
        <w:trPr>
          <w:trHeight w:val="182"/>
        </w:trPr>
        <w:tc>
          <w:tcPr>
            <w:tcW w:w="63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5,604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7,616</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1"/>
                <w:szCs w:val="11"/>
                <w:color w:val="auto"/>
              </w:rPr>
              <w:t>—</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Impaired loans include loans acquired on which management has recorded a nonaccretable discount.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Credit quality indicators</w:t>
      </w:r>
    </w:p>
    <w:p>
      <w:pPr>
        <w:spacing w:after="0" w:line="195"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605" w:right="31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 Company utilizes a risk grading matrix to assign a risk grade to each of its loans. A description of the general characteristics of loans characterized as classified is as follows:</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Special Mention</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Substandard</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Doubtful</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605" w:right="31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balances of classified loans based on the risk grade. Classified loans include Special Mention, Substandard, and Doubtful loans: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Loan Classifications</w:t>
      </w:r>
    </w:p>
    <w:p>
      <w:pPr>
        <w:spacing w:after="0" w:line="8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36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30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Pass</w:t>
            </w:r>
            <w:r>
              <w:rPr>
                <w:rFonts w:ascii="Arial" w:cs="Arial" w:eastAsia="Arial" w:hAnsi="Arial"/>
                <w:sz w:val="14"/>
                <w:szCs w:val="14"/>
                <w:b w:val="1"/>
                <w:bCs w:val="1"/>
                <w:color w:val="auto"/>
                <w:vertAlign w:val="superscript"/>
              </w:rPr>
              <w:t>(1)</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1"/>
                <w:szCs w:val="11"/>
                <w:b w:val="1"/>
                <w:bCs w:val="1"/>
                <w:color w:val="auto"/>
              </w:rPr>
              <w:t>Special Mention</w:t>
            </w: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Substandard</w:t>
            </w:r>
          </w:p>
        </w:tc>
        <w:tc>
          <w:tcPr>
            <w:tcW w:w="1060" w:type="dxa"/>
            <w:vAlign w:val="bottom"/>
          </w:tcPr>
          <w:p>
            <w:pPr>
              <w:jc w:val="right"/>
              <w:ind w:right="83"/>
              <w:spacing w:after="0"/>
              <w:rPr>
                <w:sz w:val="20"/>
                <w:szCs w:val="20"/>
                <w:color w:val="auto"/>
              </w:rPr>
            </w:pPr>
            <w:r>
              <w:rPr>
                <w:rFonts w:ascii="Arial" w:cs="Arial" w:eastAsia="Arial" w:hAnsi="Arial"/>
                <w:sz w:val="11"/>
                <w:szCs w:val="11"/>
                <w:b w:val="1"/>
                <w:bCs w:val="1"/>
                <w:color w:val="auto"/>
              </w:rPr>
              <w:t>Doubtful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03"/>
              <w:spacing w:after="0"/>
              <w:rPr>
                <w:sz w:val="20"/>
                <w:szCs w:val="20"/>
                <w:color w:val="auto"/>
              </w:rPr>
            </w:pPr>
            <w:r>
              <w:rPr>
                <w:rFonts w:ascii="Arial" w:cs="Arial" w:eastAsia="Arial" w:hAnsi="Arial"/>
                <w:sz w:val="11"/>
                <w:szCs w:val="11"/>
                <w:b w:val="1"/>
                <w:bCs w:val="1"/>
                <w:color w:val="auto"/>
              </w:rPr>
              <w:t>Total</w:t>
            </w:r>
          </w:p>
        </w:tc>
      </w:tr>
      <w:tr>
        <w:trPr>
          <w:trHeight w:val="19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CCEEFF"/>
            </w:tcBorders>
          </w:tcPr>
          <w:p>
            <w:pPr>
              <w:spacing w:after="0"/>
              <w:rPr>
                <w:sz w:val="17"/>
                <w:szCs w:val="17"/>
                <w:color w:val="auto"/>
              </w:rPr>
            </w:pPr>
          </w:p>
        </w:tc>
      </w:tr>
      <w:tr>
        <w:trPr>
          <w:trHeight w:val="19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8"/>
        </w:trPr>
        <w:tc>
          <w:tcPr>
            <w:tcW w:w="3360" w:type="dxa"/>
            <w:vAlign w:val="bottom"/>
            <w:gridSpan w:val="2"/>
          </w:tcPr>
          <w:p>
            <w:pPr>
              <w:ind w:left="140"/>
              <w:spacing w:after="0"/>
              <w:rPr>
                <w:sz w:val="20"/>
                <w:szCs w:val="20"/>
                <w:color w:val="auto"/>
              </w:rPr>
            </w:pPr>
            <w:r>
              <w:rPr>
                <w:rFonts w:ascii="Arial" w:cs="Arial" w:eastAsia="Arial" w:hAnsi="Arial"/>
                <w:sz w:val="11"/>
                <w:szCs w:val="11"/>
                <w:color w:val="auto"/>
              </w:rPr>
              <w:t>Residential</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424,908</w:t>
            </w:r>
          </w:p>
        </w:tc>
        <w:tc>
          <w:tcPr>
            <w:tcW w:w="100" w:type="dxa"/>
            <w:vAlign w:val="bottom"/>
          </w:tcPr>
          <w:p>
            <w:pPr>
              <w:spacing w:after="0"/>
              <w:rPr>
                <w:sz w:val="18"/>
                <w:szCs w:val="18"/>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43"/>
              <w:spacing w:after="0"/>
              <w:rPr>
                <w:sz w:val="20"/>
                <w:szCs w:val="20"/>
                <w:color w:val="auto"/>
              </w:rPr>
            </w:pPr>
            <w:r>
              <w:rPr>
                <w:rFonts w:ascii="Arial" w:cs="Arial" w:eastAsia="Arial" w:hAnsi="Arial"/>
                <w:sz w:val="11"/>
                <w:szCs w:val="11"/>
                <w:b w:val="1"/>
                <w:bCs w:val="1"/>
                <w:color w:val="auto"/>
              </w:rPr>
              <w:t>4,257</w:t>
            </w:r>
          </w:p>
        </w:tc>
        <w:tc>
          <w:tcPr>
            <w:tcW w:w="1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1200" w:type="dxa"/>
            <w:vAlign w:val="bottom"/>
          </w:tcPr>
          <w:p>
            <w:pPr>
              <w:jc w:val="right"/>
              <w:ind w:right="63"/>
              <w:spacing w:after="0"/>
              <w:rPr>
                <w:sz w:val="20"/>
                <w:szCs w:val="20"/>
                <w:color w:val="auto"/>
              </w:rPr>
            </w:pPr>
            <w:r>
              <w:rPr>
                <w:rFonts w:ascii="Arial" w:cs="Arial" w:eastAsia="Arial" w:hAnsi="Arial"/>
                <w:sz w:val="11"/>
                <w:szCs w:val="11"/>
                <w:b w:val="1"/>
                <w:bCs w:val="1"/>
                <w:color w:val="auto"/>
              </w:rPr>
              <w:t>1,705</w:t>
            </w:r>
          </w:p>
        </w:tc>
        <w:tc>
          <w:tcPr>
            <w:tcW w:w="100" w:type="dxa"/>
            <w:vAlign w:val="bottom"/>
          </w:tcPr>
          <w:p>
            <w:pPr>
              <w:spacing w:after="0"/>
              <w:rPr>
                <w:sz w:val="18"/>
                <w:szCs w:val="18"/>
                <w:color w:val="auto"/>
              </w:rPr>
            </w:pPr>
          </w:p>
        </w:tc>
        <w:tc>
          <w:tcPr>
            <w:tcW w:w="1060" w:type="dxa"/>
            <w:vAlign w:val="bottom"/>
          </w:tcPr>
          <w:p>
            <w:pPr>
              <w:jc w:val="right"/>
              <w:ind w:right="923"/>
              <w:spacing w:after="0"/>
              <w:rPr>
                <w:sz w:val="20"/>
                <w:szCs w:val="20"/>
                <w:color w:val="auto"/>
              </w:rPr>
            </w:pPr>
            <w:r>
              <w:rPr>
                <w:rFonts w:ascii="Arial" w:cs="Arial" w:eastAsia="Arial" w:hAnsi="Arial"/>
                <w:sz w:val="11"/>
                <w:szCs w:val="11"/>
                <w:b w:val="1"/>
                <w:bCs w:val="1"/>
                <w:color w:val="auto"/>
                <w:w w:val="97"/>
              </w:rPr>
              <w:t>$</w:t>
            </w:r>
          </w:p>
        </w:tc>
        <w:tc>
          <w:tcPr>
            <w:tcW w:w="440" w:type="dxa"/>
            <w:vAlign w:val="bottom"/>
            <w:gridSpan w:val="2"/>
          </w:tcPr>
          <w:p>
            <w:pPr>
              <w:ind w:left="12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Pr>
          <w:p>
            <w:pPr>
              <w:jc w:val="right"/>
              <w:ind w:right="43"/>
              <w:spacing w:after="0"/>
              <w:rPr>
                <w:sz w:val="20"/>
                <w:szCs w:val="20"/>
                <w:color w:val="auto"/>
              </w:rPr>
            </w:pPr>
            <w:r>
              <w:rPr>
                <w:rFonts w:ascii="Arial" w:cs="Arial" w:eastAsia="Arial" w:hAnsi="Arial"/>
                <w:sz w:val="11"/>
                <w:szCs w:val="11"/>
                <w:b w:val="1"/>
                <w:bCs w:val="1"/>
                <w:color w:val="auto"/>
              </w:rPr>
              <w:t>430,870</w:t>
            </w:r>
          </w:p>
        </w:tc>
      </w:tr>
      <w:tr>
        <w:trPr>
          <w:trHeight w:val="216"/>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352,880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6,313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1,408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1"/>
                <w:szCs w:val="11"/>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360,601</w:t>
            </w:r>
          </w:p>
        </w:tc>
      </w:tr>
      <w:tr>
        <w:trPr>
          <w:trHeight w:val="208"/>
        </w:trPr>
        <w:tc>
          <w:tcPr>
            <w:tcW w:w="3360" w:type="dxa"/>
            <w:vAlign w:val="bottom"/>
            <w:gridSpan w:val="2"/>
          </w:tcPr>
          <w:p>
            <w:pPr>
              <w:ind w:left="140"/>
              <w:spacing w:after="0"/>
              <w:rPr>
                <w:sz w:val="20"/>
                <w:szCs w:val="20"/>
                <w:color w:val="auto"/>
              </w:rPr>
            </w:pPr>
            <w:r>
              <w:rPr>
                <w:rFonts w:ascii="Arial" w:cs="Arial" w:eastAsia="Arial" w:hAnsi="Arial"/>
                <w:sz w:val="11"/>
                <w:szCs w:val="11"/>
                <w:color w:val="auto"/>
              </w:rPr>
              <w:t>Construction</w:t>
            </w:r>
          </w:p>
        </w:tc>
        <w:tc>
          <w:tcPr>
            <w:tcW w:w="3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200,885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3"/>
              <w:spacing w:after="0"/>
              <w:rPr>
                <w:sz w:val="20"/>
                <w:szCs w:val="20"/>
                <w:color w:val="auto"/>
              </w:rPr>
            </w:pPr>
            <w:r>
              <w:rPr>
                <w:rFonts w:ascii="Arial" w:cs="Arial" w:eastAsia="Arial" w:hAnsi="Arial"/>
                <w:sz w:val="11"/>
                <w:szCs w:val="11"/>
                <w:b w:val="1"/>
                <w:bCs w:val="1"/>
                <w:color w:val="auto"/>
              </w:rPr>
              <w:t>1,594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b w:val="1"/>
                <w:bCs w:val="1"/>
                <w:color w:val="auto"/>
              </w:rPr>
              <w:t>1,568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b w:val="1"/>
                <w:bCs w:val="1"/>
                <w:color w:val="auto"/>
              </w:rPr>
              <w:t>204,047</w:t>
            </w:r>
          </w:p>
        </w:tc>
      </w:tr>
      <w:tr>
        <w:trPr>
          <w:trHeight w:val="21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Commercial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145,701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4,508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1"/>
                <w:szCs w:val="11"/>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151,551</w:t>
            </w:r>
          </w:p>
        </w:tc>
      </w:tr>
      <w:tr>
        <w:trPr>
          <w:trHeight w:val="208"/>
        </w:trPr>
        <w:tc>
          <w:tcPr>
            <w:tcW w:w="3360" w:type="dxa"/>
            <w:vAlign w:val="bottom"/>
            <w:gridSpan w:val="2"/>
          </w:tcPr>
          <w:p>
            <w:pPr>
              <w:ind w:left="20"/>
              <w:spacing w:after="0"/>
              <w:rPr>
                <w:sz w:val="20"/>
                <w:szCs w:val="20"/>
                <w:color w:val="auto"/>
              </w:rPr>
            </w:pPr>
            <w:r>
              <w:rPr>
                <w:rFonts w:ascii="Arial" w:cs="Arial" w:eastAsia="Arial" w:hAnsi="Arial"/>
                <w:sz w:val="11"/>
                <w:szCs w:val="11"/>
                <w:color w:val="auto"/>
              </w:rPr>
              <w:t>Credit card</w:t>
            </w:r>
          </w:p>
        </w:tc>
        <w:tc>
          <w:tcPr>
            <w:tcW w:w="3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41,881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b w:val="1"/>
                <w:bCs w:val="1"/>
                <w:color w:val="auto"/>
              </w:rPr>
              <w:t>41,881</w:t>
            </w:r>
          </w:p>
        </w:tc>
      </w:tr>
      <w:tr>
        <w:trPr>
          <w:trHeight w:val="212"/>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1,103</w:t>
            </w:r>
          </w:p>
        </w:tc>
      </w:tr>
      <w:tr>
        <w:trPr>
          <w:trHeight w:val="226"/>
        </w:trPr>
        <w:tc>
          <w:tcPr>
            <w:tcW w:w="3360" w:type="dxa"/>
            <w:vAlign w:val="bottom"/>
            <w:gridSpan w:val="2"/>
          </w:tcPr>
          <w:p>
            <w:pPr>
              <w:ind w:left="200"/>
              <w:spacing w:after="0"/>
              <w:rPr>
                <w:sz w:val="20"/>
                <w:szCs w:val="20"/>
                <w:color w:val="auto"/>
              </w:rPr>
            </w:pPr>
            <w:r>
              <w:rPr>
                <w:rFonts w:ascii="Arial" w:cs="Arial" w:eastAsia="Arial" w:hAnsi="Arial"/>
                <w:sz w:val="11"/>
                <w:szCs w:val="11"/>
                <w:color w:val="auto"/>
              </w:rPr>
              <w:t>Total</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1,167,358</w:t>
            </w:r>
          </w:p>
        </w:tc>
        <w:tc>
          <w:tcPr>
            <w:tcW w:w="100" w:type="dxa"/>
            <w:vAlign w:val="bottom"/>
          </w:tcPr>
          <w:p>
            <w:pPr>
              <w:spacing w:after="0"/>
              <w:rPr>
                <w:sz w:val="19"/>
                <w:szCs w:val="19"/>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43"/>
              <w:spacing w:after="0"/>
              <w:rPr>
                <w:sz w:val="20"/>
                <w:szCs w:val="20"/>
                <w:color w:val="auto"/>
              </w:rPr>
            </w:pPr>
            <w:r>
              <w:rPr>
                <w:rFonts w:ascii="Arial" w:cs="Arial" w:eastAsia="Arial" w:hAnsi="Arial"/>
                <w:sz w:val="11"/>
                <w:szCs w:val="11"/>
                <w:b w:val="1"/>
                <w:bCs w:val="1"/>
                <w:color w:val="auto"/>
              </w:rPr>
              <w:t>16,672</w:t>
            </w:r>
          </w:p>
        </w:tc>
        <w:tc>
          <w:tcPr>
            <w:tcW w:w="1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1200" w:type="dxa"/>
            <w:vAlign w:val="bottom"/>
          </w:tcPr>
          <w:p>
            <w:pPr>
              <w:jc w:val="right"/>
              <w:ind w:right="63"/>
              <w:spacing w:after="0"/>
              <w:rPr>
                <w:sz w:val="20"/>
                <w:szCs w:val="20"/>
                <w:color w:val="auto"/>
              </w:rPr>
            </w:pPr>
            <w:r>
              <w:rPr>
                <w:rFonts w:ascii="Arial" w:cs="Arial" w:eastAsia="Arial" w:hAnsi="Arial"/>
                <w:sz w:val="11"/>
                <w:szCs w:val="11"/>
                <w:b w:val="1"/>
                <w:bCs w:val="1"/>
                <w:color w:val="auto"/>
              </w:rPr>
              <w:t>6,023</w:t>
            </w:r>
          </w:p>
        </w:tc>
        <w:tc>
          <w:tcPr>
            <w:tcW w:w="100" w:type="dxa"/>
            <w:vAlign w:val="bottom"/>
          </w:tcPr>
          <w:p>
            <w:pPr>
              <w:spacing w:after="0"/>
              <w:rPr>
                <w:sz w:val="19"/>
                <w:szCs w:val="19"/>
                <w:color w:val="auto"/>
              </w:rPr>
            </w:pPr>
          </w:p>
        </w:tc>
        <w:tc>
          <w:tcPr>
            <w:tcW w:w="1060" w:type="dxa"/>
            <w:vAlign w:val="bottom"/>
          </w:tcPr>
          <w:p>
            <w:pPr>
              <w:jc w:val="right"/>
              <w:ind w:right="923"/>
              <w:spacing w:after="0"/>
              <w:rPr>
                <w:sz w:val="20"/>
                <w:szCs w:val="20"/>
                <w:color w:val="auto"/>
              </w:rPr>
            </w:pPr>
            <w:r>
              <w:rPr>
                <w:rFonts w:ascii="Arial" w:cs="Arial" w:eastAsia="Arial" w:hAnsi="Arial"/>
                <w:sz w:val="11"/>
                <w:szCs w:val="11"/>
                <w:b w:val="1"/>
                <w:bCs w:val="1"/>
                <w:color w:val="auto"/>
                <w:w w:val="97"/>
              </w:rPr>
              <w:t>$</w:t>
            </w:r>
          </w:p>
        </w:tc>
        <w:tc>
          <w:tcPr>
            <w:tcW w:w="440" w:type="dxa"/>
            <w:vAlign w:val="bottom"/>
            <w:gridSpan w:val="2"/>
          </w:tcPr>
          <w:p>
            <w:pPr>
              <w:ind w:left="12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Pr>
          <w:p>
            <w:pPr>
              <w:jc w:val="right"/>
              <w:ind w:right="43"/>
              <w:spacing w:after="0"/>
              <w:rPr>
                <w:sz w:val="20"/>
                <w:szCs w:val="20"/>
                <w:color w:val="auto"/>
              </w:rPr>
            </w:pPr>
            <w:r>
              <w:rPr>
                <w:rFonts w:ascii="Arial" w:cs="Arial" w:eastAsia="Arial" w:hAnsi="Arial"/>
                <w:sz w:val="11"/>
                <w:szCs w:val="11"/>
                <w:b w:val="1"/>
                <w:bCs w:val="1"/>
                <w:color w:val="auto"/>
              </w:rPr>
              <w:t>1,190,053</w:t>
            </w:r>
          </w:p>
        </w:tc>
      </w:tr>
      <w:tr>
        <w:trPr>
          <w:trHeight w:val="184"/>
        </w:trPr>
        <w:tc>
          <w:tcPr>
            <w:tcW w:w="3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0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 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r>
      <w:tr>
        <w:trPr>
          <w:trHeight w:val="19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8"/>
        </w:trPr>
        <w:tc>
          <w:tcPr>
            <w:tcW w:w="3360" w:type="dxa"/>
            <w:vAlign w:val="bottom"/>
            <w:gridSpan w:val="2"/>
          </w:tcPr>
          <w:p>
            <w:pPr>
              <w:ind w:left="140"/>
              <w:spacing w:after="0"/>
              <w:rPr>
                <w:sz w:val="20"/>
                <w:szCs w:val="20"/>
                <w:color w:val="auto"/>
              </w:rPr>
            </w:pPr>
            <w:r>
              <w:rPr>
                <w:rFonts w:ascii="Arial" w:cs="Arial" w:eastAsia="Arial" w:hAnsi="Arial"/>
                <w:sz w:val="11"/>
                <w:szCs w:val="11"/>
                <w:color w:val="auto"/>
              </w:rPr>
              <w:t>Residential</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425,661</w:t>
            </w:r>
          </w:p>
        </w:tc>
        <w:tc>
          <w:tcPr>
            <w:tcW w:w="100" w:type="dxa"/>
            <w:vAlign w:val="bottom"/>
          </w:tcPr>
          <w:p>
            <w:pPr>
              <w:spacing w:after="0"/>
              <w:rPr>
                <w:sz w:val="18"/>
                <w:szCs w:val="18"/>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2,265</w:t>
            </w:r>
          </w:p>
        </w:tc>
        <w:tc>
          <w:tcPr>
            <w:tcW w:w="100" w:type="dxa"/>
            <w:vAlign w:val="bottom"/>
          </w:tcPr>
          <w:p>
            <w:pPr>
              <w:spacing w:after="0"/>
              <w:rPr>
                <w:sz w:val="18"/>
                <w:szCs w:val="18"/>
                <w:color w:val="auto"/>
              </w:rPr>
            </w:pPr>
          </w:p>
        </w:tc>
        <w:tc>
          <w:tcPr>
            <w:tcW w:w="1060" w:type="dxa"/>
            <w:vAlign w:val="bottom"/>
          </w:tcPr>
          <w:p>
            <w:pPr>
              <w:jc w:val="right"/>
              <w:ind w:right="923"/>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427,926</w:t>
            </w:r>
          </w:p>
        </w:tc>
      </w:tr>
      <w:tr>
        <w:trPr>
          <w:trHeight w:val="216"/>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340,313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1,433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348,091</w:t>
            </w:r>
          </w:p>
        </w:tc>
      </w:tr>
      <w:tr>
        <w:trPr>
          <w:trHeight w:val="208"/>
        </w:trPr>
        <w:tc>
          <w:tcPr>
            <w:tcW w:w="3360" w:type="dxa"/>
            <w:vAlign w:val="bottom"/>
            <w:gridSpan w:val="2"/>
          </w:tcPr>
          <w:p>
            <w:pPr>
              <w:ind w:left="140"/>
              <w:spacing w:after="0"/>
              <w:rPr>
                <w:sz w:val="20"/>
                <w:szCs w:val="20"/>
                <w:color w:val="auto"/>
              </w:rPr>
            </w:pPr>
            <w:r>
              <w:rPr>
                <w:rFonts w:ascii="Arial" w:cs="Arial" w:eastAsia="Arial" w:hAnsi="Arial"/>
                <w:sz w:val="11"/>
                <w:szCs w:val="11"/>
                <w:color w:val="auto"/>
              </w:rPr>
              <w:t>Construction</w:t>
            </w:r>
          </w:p>
        </w:tc>
        <w:tc>
          <w:tcPr>
            <w:tcW w:w="3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198,702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198,702</w:t>
            </w:r>
          </w:p>
        </w:tc>
      </w:tr>
      <w:tr>
        <w:trPr>
          <w:trHeight w:val="21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Commercial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145,178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151,109</w:t>
            </w:r>
          </w:p>
        </w:tc>
      </w:tr>
      <w:tr>
        <w:trPr>
          <w:trHeight w:val="208"/>
        </w:trPr>
        <w:tc>
          <w:tcPr>
            <w:tcW w:w="3360" w:type="dxa"/>
            <w:vAlign w:val="bottom"/>
            <w:gridSpan w:val="2"/>
          </w:tcPr>
          <w:p>
            <w:pPr>
              <w:ind w:left="20"/>
              <w:spacing w:after="0"/>
              <w:rPr>
                <w:sz w:val="20"/>
                <w:szCs w:val="20"/>
                <w:color w:val="auto"/>
              </w:rPr>
            </w:pPr>
            <w:r>
              <w:rPr>
                <w:rFonts w:ascii="Arial" w:cs="Arial" w:eastAsia="Arial" w:hAnsi="Arial"/>
                <w:sz w:val="11"/>
                <w:szCs w:val="11"/>
                <w:color w:val="auto"/>
              </w:rPr>
              <w:t>Credit card</w:t>
            </w:r>
          </w:p>
        </w:tc>
        <w:tc>
          <w:tcPr>
            <w:tcW w:w="3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46,412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46,412</w:t>
            </w:r>
          </w:p>
        </w:tc>
      </w:tr>
      <w:tr>
        <w:trPr>
          <w:trHeight w:val="212"/>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1,285</w:t>
            </w:r>
          </w:p>
        </w:tc>
      </w:tr>
      <w:tr>
        <w:trPr>
          <w:trHeight w:val="186"/>
        </w:trPr>
        <w:tc>
          <w:tcPr>
            <w:tcW w:w="3360" w:type="dxa"/>
            <w:vAlign w:val="bottom"/>
            <w:gridSpan w:val="2"/>
          </w:tcPr>
          <w:p>
            <w:pPr>
              <w:ind w:left="200"/>
              <w:spacing w:after="0"/>
              <w:rPr>
                <w:sz w:val="20"/>
                <w:szCs w:val="20"/>
                <w:color w:val="auto"/>
              </w:rPr>
            </w:pPr>
            <w:r>
              <w:rPr>
                <w:rFonts w:ascii="Arial" w:cs="Arial" w:eastAsia="Arial" w:hAnsi="Arial"/>
                <w:sz w:val="11"/>
                <w:szCs w:val="11"/>
                <w:color w:val="auto"/>
              </w:rPr>
              <w:t>Total</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1,157,551</w:t>
            </w:r>
          </w:p>
        </w:tc>
        <w:tc>
          <w:tcPr>
            <w:tcW w:w="10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3"/>
              <w:spacing w:after="0"/>
              <w:rPr>
                <w:sz w:val="20"/>
                <w:szCs w:val="20"/>
                <w:color w:val="auto"/>
              </w:rPr>
            </w:pPr>
            <w:r>
              <w:rPr>
                <w:rFonts w:ascii="Arial" w:cs="Arial" w:eastAsia="Arial" w:hAnsi="Arial"/>
                <w:sz w:val="11"/>
                <w:szCs w:val="11"/>
                <w:color w:val="auto"/>
              </w:rPr>
              <w:t>10,850</w:t>
            </w:r>
          </w:p>
        </w:tc>
        <w:tc>
          <w:tcPr>
            <w:tcW w:w="10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5,124</w:t>
            </w:r>
          </w:p>
        </w:tc>
        <w:tc>
          <w:tcPr>
            <w:tcW w:w="100" w:type="dxa"/>
            <w:vAlign w:val="bottom"/>
          </w:tcPr>
          <w:p>
            <w:pPr>
              <w:spacing w:after="0"/>
              <w:rPr>
                <w:sz w:val="16"/>
                <w:szCs w:val="16"/>
                <w:color w:val="auto"/>
              </w:rPr>
            </w:pPr>
          </w:p>
        </w:tc>
        <w:tc>
          <w:tcPr>
            <w:tcW w:w="1060" w:type="dxa"/>
            <w:vAlign w:val="bottom"/>
          </w:tcPr>
          <w:p>
            <w:pPr>
              <w:jc w:val="right"/>
              <w:ind w:right="923"/>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1,173,525</w:t>
            </w: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41" w:lineRule="exact"/>
        <w:rPr>
          <w:sz w:val="20"/>
          <w:szCs w:val="20"/>
          <w:color w:val="auto"/>
        </w:rPr>
      </w:pPr>
    </w:p>
    <w:p>
      <w:pPr>
        <w:ind w:left="120" w:hanging="115"/>
        <w:spacing w:after="0"/>
        <w:tabs>
          <w:tab w:leader="none" w:pos="1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Category includes loans graded exceptional, very good, good, satisfactory and pass/watch</w:t>
      </w:r>
    </w:p>
    <w:p>
      <w:pPr>
        <w:spacing w:after="0" w:line="15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Impaired loans also include certain loans that have been modified in troubled debt restructurings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considering the borrower’s sustained repayment performance for a reasonable period, generally six months. The status of TDRs is as follows:</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605" w:right="31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Troubled Debt Restructurings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4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168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Number of</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Recorded Investment</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Pr>
          <w:p>
            <w:pPr>
              <w:spacing w:after="0"/>
              <w:rPr>
                <w:sz w:val="13"/>
                <w:szCs w:val="13"/>
                <w:color w:val="auto"/>
              </w:rPr>
            </w:pPr>
          </w:p>
        </w:tc>
        <w:tc>
          <w:tcPr>
            <w:tcW w:w="158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Contracts</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Performing</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Nonperforming</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3"/>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1"/>
                <w:szCs w:val="11"/>
                <w:b w:val="1"/>
                <w:bCs w:val="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145</w:t>
            </w:r>
          </w:p>
        </w:tc>
        <w:tc>
          <w:tcPr>
            <w:tcW w:w="0" w:type="dxa"/>
            <w:vAlign w:val="bottom"/>
          </w:tcPr>
          <w:p>
            <w:pPr>
              <w:spacing w:after="0"/>
              <w:rPr>
                <w:sz w:val="1"/>
                <w:szCs w:val="1"/>
                <w:color w:val="auto"/>
              </w:rPr>
            </w:pPr>
          </w:p>
        </w:tc>
      </w:tr>
      <w:tr>
        <w:trPr>
          <w:trHeight w:val="208"/>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Commercial</w:t>
            </w: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309</w:t>
            </w: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1"/>
                <w:szCs w:val="11"/>
                <w:b w:val="1"/>
                <w:bCs w:val="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454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Acquired loans included in total above</w:t>
            </w: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1"/>
                <w:szCs w:val="11"/>
                <w:b w:val="1"/>
                <w:bCs w:val="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December 31, 2019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Real estate</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Residential</w:t>
            </w: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208"/>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Commercial</w:t>
            </w:r>
          </w:p>
        </w:tc>
        <w:tc>
          <w:tcPr>
            <w:tcW w:w="1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314</w:t>
            </w: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459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Acquired loans included in total above</w:t>
            </w:r>
          </w:p>
        </w:tc>
        <w:tc>
          <w:tcPr>
            <w:tcW w:w="15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new troubled debt restructurings in the three months ended March 31, 2020. The Company had no defaulted TDR loans over the last twelve months.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Outstanding loan commitments were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Loan Commitments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December 31, 2019</w:t>
            </w:r>
          </w:p>
        </w:tc>
      </w:tr>
      <w:tr>
        <w:trPr>
          <w:trHeight w:val="203"/>
        </w:trPr>
        <w:tc>
          <w:tcPr>
            <w:tcW w:w="7120" w:type="dxa"/>
            <w:vAlign w:val="bottom"/>
            <w:gridSpan w:val="2"/>
          </w:tcPr>
          <w:p>
            <w:pPr>
              <w:ind w:left="20"/>
              <w:spacing w:after="0"/>
              <w:rPr>
                <w:sz w:val="20"/>
                <w:szCs w:val="20"/>
                <w:color w:val="auto"/>
              </w:rPr>
            </w:pPr>
            <w:r>
              <w:rPr>
                <w:rFonts w:ascii="Arial" w:cs="Arial" w:eastAsia="Arial" w:hAnsi="Arial"/>
                <w:sz w:val="11"/>
                <w:szCs w:val="11"/>
                <w:color w:val="auto"/>
              </w:rPr>
              <w:t>Unused lines of credit</w:t>
            </w: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Real Estate</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8"/>
        </w:trPr>
        <w:tc>
          <w:tcPr>
            <w:tcW w:w="7120" w:type="dxa"/>
            <w:vAlign w:val="bottom"/>
            <w:gridSpan w:val="2"/>
          </w:tcPr>
          <w:p>
            <w:pPr>
              <w:ind w:left="220"/>
              <w:spacing w:after="0"/>
              <w:rPr>
                <w:sz w:val="20"/>
                <w:szCs w:val="20"/>
                <w:color w:val="auto"/>
              </w:rPr>
            </w:pPr>
            <w:r>
              <w:rPr>
                <w:rFonts w:ascii="Arial" w:cs="Arial" w:eastAsia="Arial" w:hAnsi="Arial"/>
                <w:sz w:val="11"/>
                <w:szCs w:val="11"/>
                <w:color w:val="auto"/>
              </w:rPr>
              <w:t>Residential</w:t>
            </w: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780" w:type="dxa"/>
            <w:vAlign w:val="bottom"/>
          </w:tcPr>
          <w:p>
            <w:pPr>
              <w:jc w:val="right"/>
              <w:ind w:right="63"/>
              <w:spacing w:after="0"/>
              <w:rPr>
                <w:sz w:val="20"/>
                <w:szCs w:val="20"/>
                <w:color w:val="auto"/>
              </w:rPr>
            </w:pPr>
            <w:r>
              <w:rPr>
                <w:rFonts w:ascii="Arial" w:cs="Arial" w:eastAsia="Arial" w:hAnsi="Arial"/>
                <w:sz w:val="11"/>
                <w:szCs w:val="11"/>
                <w:b w:val="1"/>
                <w:bCs w:val="1"/>
                <w:color w:val="auto"/>
              </w:rPr>
              <w:t>14,903</w:t>
            </w:r>
          </w:p>
        </w:tc>
        <w:tc>
          <w:tcPr>
            <w:tcW w:w="100" w:type="dxa"/>
            <w:vAlign w:val="bottom"/>
          </w:tcPr>
          <w:p>
            <w:pPr>
              <w:spacing w:after="0"/>
              <w:rPr>
                <w:sz w:val="18"/>
                <w:szCs w:val="18"/>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620" w:type="dxa"/>
            <w:vAlign w:val="bottom"/>
          </w:tcPr>
          <w:p>
            <w:pPr>
              <w:jc w:val="right"/>
              <w:ind w:right="43"/>
              <w:spacing w:after="0"/>
              <w:rPr>
                <w:sz w:val="20"/>
                <w:szCs w:val="20"/>
                <w:color w:val="auto"/>
              </w:rPr>
            </w:pPr>
            <w:r>
              <w:rPr>
                <w:rFonts w:ascii="Arial" w:cs="Arial" w:eastAsia="Arial" w:hAnsi="Arial"/>
                <w:sz w:val="11"/>
                <w:szCs w:val="11"/>
                <w:color w:val="auto"/>
              </w:rPr>
              <w:t>13,754</w:t>
            </w:r>
          </w:p>
        </w:tc>
      </w:tr>
      <w:tr>
        <w:trPr>
          <w:trHeight w:val="216"/>
        </w:trPr>
        <w:tc>
          <w:tcPr>
            <w:tcW w:w="71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Residential - Home Equity</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28,242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26,407</w:t>
            </w:r>
          </w:p>
        </w:tc>
      </w:tr>
      <w:tr>
        <w:trPr>
          <w:trHeight w:val="208"/>
        </w:trPr>
        <w:tc>
          <w:tcPr>
            <w:tcW w:w="7120" w:type="dxa"/>
            <w:vAlign w:val="bottom"/>
            <w:gridSpan w:val="2"/>
          </w:tcPr>
          <w:p>
            <w:pPr>
              <w:ind w:left="220"/>
              <w:spacing w:after="0"/>
              <w:rPr>
                <w:sz w:val="20"/>
                <w:szCs w:val="20"/>
                <w:color w:val="auto"/>
              </w:rPr>
            </w:pPr>
            <w:r>
              <w:rPr>
                <w:rFonts w:ascii="Arial" w:cs="Arial" w:eastAsia="Arial" w:hAnsi="Arial"/>
                <w:sz w:val="11"/>
                <w:szCs w:val="11"/>
                <w:color w:val="auto"/>
              </w:rPr>
              <w:t>Commercial</w:t>
            </w:r>
          </w:p>
        </w:tc>
        <w:tc>
          <w:tcPr>
            <w:tcW w:w="380" w:type="dxa"/>
            <w:vAlign w:val="bottom"/>
          </w:tcPr>
          <w:p>
            <w:pPr>
              <w:spacing w:after="0"/>
              <w:rPr>
                <w:sz w:val="18"/>
                <w:szCs w:val="18"/>
                <w:color w:val="auto"/>
              </w:rPr>
            </w:pPr>
          </w:p>
        </w:tc>
        <w:tc>
          <w:tcPr>
            <w:tcW w:w="1780" w:type="dxa"/>
            <w:vAlign w:val="bottom"/>
          </w:tcPr>
          <w:p>
            <w:pPr>
              <w:jc w:val="right"/>
              <w:ind w:right="63"/>
              <w:spacing w:after="0"/>
              <w:rPr>
                <w:sz w:val="20"/>
                <w:szCs w:val="20"/>
                <w:color w:val="auto"/>
              </w:rPr>
            </w:pPr>
            <w:r>
              <w:rPr>
                <w:rFonts w:ascii="Arial" w:cs="Arial" w:eastAsia="Arial" w:hAnsi="Arial"/>
                <w:sz w:val="11"/>
                <w:szCs w:val="11"/>
                <w:b w:val="1"/>
                <w:bCs w:val="1"/>
                <w:color w:val="auto"/>
              </w:rPr>
              <w:t>15,846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43"/>
              <w:spacing w:after="0"/>
              <w:rPr>
                <w:sz w:val="20"/>
                <w:szCs w:val="20"/>
                <w:color w:val="auto"/>
              </w:rPr>
            </w:pPr>
            <w:r>
              <w:rPr>
                <w:rFonts w:ascii="Arial" w:cs="Arial" w:eastAsia="Arial" w:hAnsi="Arial"/>
                <w:sz w:val="11"/>
                <w:szCs w:val="11"/>
                <w:color w:val="auto"/>
              </w:rPr>
              <w:t>31,411</w:t>
            </w:r>
          </w:p>
        </w:tc>
      </w:tr>
      <w:tr>
        <w:trPr>
          <w:trHeight w:val="216"/>
        </w:trPr>
        <w:tc>
          <w:tcPr>
            <w:tcW w:w="71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Construction</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111,629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114,999</w:t>
            </w:r>
          </w:p>
        </w:tc>
      </w:tr>
      <w:tr>
        <w:trPr>
          <w:trHeight w:val="208"/>
        </w:trPr>
        <w:tc>
          <w:tcPr>
            <w:tcW w:w="7120" w:type="dxa"/>
            <w:vAlign w:val="bottom"/>
            <w:gridSpan w:val="2"/>
          </w:tcPr>
          <w:p>
            <w:pPr>
              <w:ind w:left="140"/>
              <w:spacing w:after="0"/>
              <w:rPr>
                <w:sz w:val="20"/>
                <w:szCs w:val="20"/>
                <w:color w:val="auto"/>
              </w:rPr>
            </w:pPr>
            <w:r>
              <w:rPr>
                <w:rFonts w:ascii="Arial" w:cs="Arial" w:eastAsia="Arial" w:hAnsi="Arial"/>
                <w:sz w:val="11"/>
                <w:szCs w:val="11"/>
                <w:color w:val="auto"/>
              </w:rPr>
              <w:t>Commercial</w:t>
            </w:r>
          </w:p>
        </w:tc>
        <w:tc>
          <w:tcPr>
            <w:tcW w:w="380" w:type="dxa"/>
            <w:vAlign w:val="bottom"/>
          </w:tcPr>
          <w:p>
            <w:pPr>
              <w:spacing w:after="0"/>
              <w:rPr>
                <w:sz w:val="18"/>
                <w:szCs w:val="18"/>
                <w:color w:val="auto"/>
              </w:rPr>
            </w:pPr>
          </w:p>
        </w:tc>
        <w:tc>
          <w:tcPr>
            <w:tcW w:w="1780" w:type="dxa"/>
            <w:vAlign w:val="bottom"/>
          </w:tcPr>
          <w:p>
            <w:pPr>
              <w:jc w:val="right"/>
              <w:ind w:right="63"/>
              <w:spacing w:after="0"/>
              <w:rPr>
                <w:sz w:val="20"/>
                <w:szCs w:val="20"/>
                <w:color w:val="auto"/>
              </w:rPr>
            </w:pPr>
            <w:r>
              <w:rPr>
                <w:rFonts w:ascii="Arial" w:cs="Arial" w:eastAsia="Arial" w:hAnsi="Arial"/>
                <w:sz w:val="11"/>
                <w:szCs w:val="11"/>
                <w:b w:val="1"/>
                <w:bCs w:val="1"/>
                <w:color w:val="auto"/>
              </w:rPr>
              <w:t>42,787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43"/>
              <w:spacing w:after="0"/>
              <w:rPr>
                <w:sz w:val="20"/>
                <w:szCs w:val="20"/>
                <w:color w:val="auto"/>
              </w:rPr>
            </w:pPr>
            <w:r>
              <w:rPr>
                <w:rFonts w:ascii="Arial" w:cs="Arial" w:eastAsia="Arial" w:hAnsi="Arial"/>
                <w:sz w:val="11"/>
                <w:szCs w:val="11"/>
                <w:color w:val="auto"/>
              </w:rPr>
              <w:t>36,442</w:t>
            </w:r>
          </w:p>
        </w:tc>
      </w:tr>
      <w:tr>
        <w:trPr>
          <w:trHeight w:val="216"/>
        </w:trPr>
        <w:tc>
          <w:tcPr>
            <w:tcW w:w="71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Secured credit card</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48,435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37,517</w:t>
            </w:r>
          </w:p>
        </w:tc>
      </w:tr>
      <w:tr>
        <w:trPr>
          <w:trHeight w:val="208"/>
        </w:trPr>
        <w:tc>
          <w:tcPr>
            <w:tcW w:w="7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Personal</w:t>
            </w:r>
          </w:p>
        </w:tc>
        <w:tc>
          <w:tcPr>
            <w:tcW w:w="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482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43</w:t>
            </w:r>
          </w:p>
        </w:tc>
      </w:tr>
      <w:tr>
        <w:trPr>
          <w:trHeight w:val="186"/>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unused lines of credit</w:t>
            </w: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262,324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260,573</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4"/>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2"/>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Commitments to originate residential loans held for sale</w:t>
            </w: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8,900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2,646</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4"/>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2"/>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Letters of credit</w:t>
            </w: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5,260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5,305</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 commitments generally have variable interest rates, fixed expiration dates, and may require payment of a fee.</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605" w:right="31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4 - Loans Receivable (continued)</w:t>
      </w:r>
    </w:p>
    <w:p>
      <w:pPr>
        <w:spacing w:after="0" w:line="37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changes being charged to or released from operating expense. Activity for this account is as follows for the periods presented:</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Off Balance Sheet Reserve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8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200" w:type="dxa"/>
            <w:vAlign w:val="bottom"/>
          </w:tcPr>
          <w:p>
            <w:pPr>
              <w:spacing w:after="0"/>
              <w:rPr>
                <w:sz w:val="13"/>
                <w:szCs w:val="13"/>
                <w:color w:val="auto"/>
              </w:rPr>
            </w:pPr>
          </w:p>
        </w:tc>
        <w:tc>
          <w:tcPr>
            <w:tcW w:w="2800" w:type="dxa"/>
            <w:vAlign w:val="bottom"/>
            <w:gridSpan w:val="4"/>
          </w:tcPr>
          <w:p>
            <w:pPr>
              <w:jc w:val="right"/>
              <w:ind w:right="663"/>
              <w:spacing w:after="0"/>
              <w:rPr>
                <w:sz w:val="20"/>
                <w:szCs w:val="20"/>
                <w:color w:val="auto"/>
              </w:rPr>
            </w:pPr>
            <w:r>
              <w:rPr>
                <w:rFonts w:ascii="Arial" w:cs="Arial" w:eastAsia="Arial" w:hAnsi="Arial"/>
                <w:sz w:val="11"/>
                <w:szCs w:val="11"/>
                <w:b w:val="1"/>
                <w:bCs w:val="1"/>
                <w:color w:val="auto"/>
              </w:rPr>
              <w:t>For the Three Months Ended</w:t>
            </w:r>
          </w:p>
        </w:tc>
      </w:tr>
      <w:tr>
        <w:trPr>
          <w:trHeight w:val="203"/>
        </w:trPr>
        <w:tc>
          <w:tcPr>
            <w:tcW w:w="8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March 31, 2020</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63"/>
              <w:spacing w:after="0"/>
              <w:rPr>
                <w:sz w:val="20"/>
                <w:szCs w:val="20"/>
                <w:color w:val="auto"/>
              </w:rPr>
            </w:pPr>
            <w:r>
              <w:rPr>
                <w:rFonts w:ascii="Arial" w:cs="Arial" w:eastAsia="Arial" w:hAnsi="Arial"/>
                <w:sz w:val="11"/>
                <w:szCs w:val="11"/>
                <w:color w:val="auto"/>
              </w:rPr>
              <w:t>March 31, 2019</w:t>
            </w:r>
          </w:p>
        </w:tc>
      </w:tr>
      <w:tr>
        <w:trPr>
          <w:trHeight w:val="196"/>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beginning of period</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1,226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1,053</w:t>
            </w:r>
          </w:p>
        </w:tc>
      </w:tr>
      <w:tr>
        <w:trPr>
          <w:trHeight w:val="208"/>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Provision for off balance sheet credit commitments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(10)</w:t>
            </w:r>
          </w:p>
        </w:tc>
      </w:tr>
      <w:tr>
        <w:trPr>
          <w:trHeight w:val="18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end of period</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1,271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1,043</w:t>
            </w: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Mortgage Loan Put-back Reserve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8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200" w:type="dxa"/>
            <w:vAlign w:val="bottom"/>
          </w:tcPr>
          <w:p>
            <w:pPr>
              <w:spacing w:after="0"/>
              <w:rPr>
                <w:sz w:val="13"/>
                <w:szCs w:val="13"/>
                <w:color w:val="auto"/>
              </w:rPr>
            </w:pPr>
          </w:p>
        </w:tc>
        <w:tc>
          <w:tcPr>
            <w:tcW w:w="2800" w:type="dxa"/>
            <w:vAlign w:val="bottom"/>
            <w:gridSpan w:val="4"/>
          </w:tcPr>
          <w:p>
            <w:pPr>
              <w:jc w:val="right"/>
              <w:ind w:right="663"/>
              <w:spacing w:after="0"/>
              <w:rPr>
                <w:sz w:val="20"/>
                <w:szCs w:val="20"/>
                <w:color w:val="auto"/>
              </w:rPr>
            </w:pPr>
            <w:r>
              <w:rPr>
                <w:rFonts w:ascii="Arial" w:cs="Arial" w:eastAsia="Arial" w:hAnsi="Arial"/>
                <w:sz w:val="11"/>
                <w:szCs w:val="11"/>
                <w:b w:val="1"/>
                <w:bCs w:val="1"/>
                <w:color w:val="auto"/>
              </w:rPr>
              <w:t>For the Three Months Ended</w:t>
            </w:r>
          </w:p>
        </w:tc>
      </w:tr>
      <w:tr>
        <w:trPr>
          <w:trHeight w:val="203"/>
        </w:trPr>
        <w:tc>
          <w:tcPr>
            <w:tcW w:w="8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March 31, 2020</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63"/>
              <w:spacing w:after="0"/>
              <w:rPr>
                <w:sz w:val="20"/>
                <w:szCs w:val="20"/>
                <w:color w:val="auto"/>
              </w:rPr>
            </w:pPr>
            <w:r>
              <w:rPr>
                <w:rFonts w:ascii="Arial" w:cs="Arial" w:eastAsia="Arial" w:hAnsi="Arial"/>
                <w:sz w:val="11"/>
                <w:szCs w:val="11"/>
                <w:color w:val="auto"/>
              </w:rPr>
              <w:t>March 31, 2019</w:t>
            </w:r>
          </w:p>
        </w:tc>
      </w:tr>
      <w:tr>
        <w:trPr>
          <w:trHeight w:val="196"/>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beginning of period</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575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501</w:t>
            </w:r>
          </w:p>
        </w:tc>
      </w:tr>
      <w:tr>
        <w:trPr>
          <w:trHeight w:val="208"/>
        </w:trPr>
        <w:tc>
          <w:tcPr>
            <w:tcW w:w="8180" w:type="dxa"/>
            <w:vAlign w:val="bottom"/>
            <w:gridSpan w:val="2"/>
          </w:tcPr>
          <w:p>
            <w:pPr>
              <w:ind w:left="20"/>
              <w:spacing w:after="0"/>
              <w:rPr>
                <w:sz w:val="20"/>
                <w:szCs w:val="20"/>
                <w:color w:val="auto"/>
              </w:rPr>
            </w:pPr>
            <w:r>
              <w:rPr>
                <w:rFonts w:ascii="Arial" w:cs="Arial" w:eastAsia="Arial" w:hAnsi="Arial"/>
                <w:sz w:val="11"/>
                <w:szCs w:val="11"/>
                <w:color w:val="auto"/>
              </w:rPr>
              <w:t>Provision for mortgage loan put backs</w:t>
            </w:r>
          </w:p>
        </w:tc>
        <w:tc>
          <w:tcPr>
            <w:tcW w:w="20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1"/>
                <w:szCs w:val="11"/>
                <w:b w:val="1"/>
                <w:bCs w:val="1"/>
                <w:color w:val="auto"/>
              </w:rPr>
              <w:t>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1"/>
                <w:szCs w:val="11"/>
                <w:color w:val="auto"/>
              </w:rPr>
              <w:t>24</w:t>
            </w:r>
          </w:p>
        </w:tc>
      </w:tr>
      <w:tr>
        <w:trPr>
          <w:trHeight w:val="21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Charge-offs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(10)</w:t>
            </w:r>
          </w:p>
        </w:tc>
      </w:tr>
      <w:tr>
        <w:trPr>
          <w:trHeight w:val="186"/>
        </w:trPr>
        <w:tc>
          <w:tcPr>
            <w:tcW w:w="8180" w:type="dxa"/>
            <w:vAlign w:val="bottom"/>
            <w:gridSpan w:val="2"/>
          </w:tcPr>
          <w:p>
            <w:pPr>
              <w:ind w:left="20"/>
              <w:spacing w:after="0"/>
              <w:rPr>
                <w:sz w:val="20"/>
                <w:szCs w:val="20"/>
                <w:color w:val="auto"/>
              </w:rPr>
            </w:pPr>
            <w:r>
              <w:rPr>
                <w:rFonts w:ascii="Arial" w:cs="Arial" w:eastAsia="Arial" w:hAnsi="Arial"/>
                <w:sz w:val="11"/>
                <w:szCs w:val="11"/>
                <w:color w:val="auto"/>
              </w:rPr>
              <w:t>Balance at end of period</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667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515</w:t>
            </w: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605" w:right="31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5 - Derivative Financial Instruments</w:t>
      </w:r>
    </w:p>
    <w:p>
      <w:pPr>
        <w:spacing w:after="0" w:line="37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reports the commitment and fair value amounts on the outstanding derivatives: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Derivatives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March 31, 2020</w:t>
            </w:r>
          </w:p>
        </w:tc>
        <w:tc>
          <w:tcPr>
            <w:tcW w:w="3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rPr>
              <w:t>December 31, 2019</w:t>
            </w:r>
          </w:p>
        </w:tc>
      </w:tr>
      <w:tr>
        <w:trPr>
          <w:trHeight w:val="19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Notional amount of open forward sales agreements</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107,482</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1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61,000</w:t>
            </w:r>
          </w:p>
        </w:tc>
      </w:tr>
      <w:tr>
        <w:trPr>
          <w:trHeight w:val="208"/>
        </w:trPr>
        <w:tc>
          <w:tcPr>
            <w:tcW w:w="7200" w:type="dxa"/>
            <w:vAlign w:val="bottom"/>
            <w:gridSpan w:val="2"/>
          </w:tcPr>
          <w:p>
            <w:pPr>
              <w:ind w:left="20"/>
              <w:spacing w:after="0"/>
              <w:rPr>
                <w:sz w:val="20"/>
                <w:szCs w:val="20"/>
                <w:color w:val="auto"/>
              </w:rPr>
            </w:pPr>
            <w:r>
              <w:rPr>
                <w:rFonts w:ascii="Arial" w:cs="Arial" w:eastAsia="Arial" w:hAnsi="Arial"/>
                <w:sz w:val="11"/>
                <w:szCs w:val="11"/>
                <w:color w:val="auto"/>
              </w:rPr>
              <w:t>Fair value of open forward delivery sales agreements.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1"/>
                <w:szCs w:val="11"/>
                <w:b w:val="1"/>
                <w:bCs w:val="1"/>
                <w:color w:val="auto"/>
              </w:rPr>
              <w:t>(2,072)</w:t>
            </w:r>
          </w:p>
        </w:tc>
        <w:tc>
          <w:tcPr>
            <w:tcW w:w="32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Arial" w:cs="Arial" w:eastAsia="Arial" w:hAnsi="Arial"/>
                <w:sz w:val="11"/>
                <w:szCs w:val="11"/>
                <w:color w:val="auto"/>
              </w:rPr>
              <w:t>(125)</w:t>
            </w:r>
          </w:p>
        </w:tc>
      </w:tr>
      <w:tr>
        <w:trPr>
          <w:trHeight w:val="21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Notional amount of open mandatory delivery commitments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29,496</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22,888</w:t>
            </w:r>
          </w:p>
        </w:tc>
      </w:tr>
      <w:tr>
        <w:trPr>
          <w:trHeight w:val="208"/>
        </w:trPr>
        <w:tc>
          <w:tcPr>
            <w:tcW w:w="7200" w:type="dxa"/>
            <w:vAlign w:val="bottom"/>
            <w:gridSpan w:val="2"/>
          </w:tcPr>
          <w:p>
            <w:pPr>
              <w:ind w:left="20"/>
              <w:spacing w:after="0"/>
              <w:rPr>
                <w:sz w:val="20"/>
                <w:szCs w:val="20"/>
                <w:color w:val="auto"/>
              </w:rPr>
            </w:pPr>
            <w:r>
              <w:rPr>
                <w:rFonts w:ascii="Arial" w:cs="Arial" w:eastAsia="Arial" w:hAnsi="Arial"/>
                <w:sz w:val="11"/>
                <w:szCs w:val="11"/>
                <w:color w:val="auto"/>
              </w:rPr>
              <w:t>Fair value of open mandatory delivery commitments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1"/>
                <w:szCs w:val="11"/>
                <w:b w:val="1"/>
                <w:bCs w:val="1"/>
                <w:color w:val="auto"/>
              </w:rPr>
              <w:t>(21)</w:t>
            </w:r>
          </w:p>
        </w:tc>
        <w:tc>
          <w:tcPr>
            <w:tcW w:w="320" w:type="dxa"/>
            <w:vAlign w:val="bottom"/>
          </w:tcPr>
          <w:p>
            <w:pPr>
              <w:spacing w:after="0"/>
              <w:rPr>
                <w:sz w:val="18"/>
                <w:szCs w:val="18"/>
                <w:color w:val="auto"/>
              </w:rPr>
            </w:pPr>
          </w:p>
        </w:tc>
        <w:tc>
          <w:tcPr>
            <w:tcW w:w="1720" w:type="dxa"/>
            <w:vAlign w:val="bottom"/>
          </w:tcPr>
          <w:p>
            <w:pPr>
              <w:jc w:val="right"/>
              <w:ind w:right="63"/>
              <w:spacing w:after="0"/>
              <w:rPr>
                <w:sz w:val="20"/>
                <w:szCs w:val="20"/>
                <w:color w:val="auto"/>
              </w:rPr>
            </w:pPr>
            <w:r>
              <w:rPr>
                <w:rFonts w:ascii="Arial" w:cs="Arial" w:eastAsia="Arial" w:hAnsi="Arial"/>
                <w:sz w:val="11"/>
                <w:szCs w:val="11"/>
                <w:color w:val="auto"/>
              </w:rPr>
              <w:t>115</w:t>
            </w:r>
          </w:p>
        </w:tc>
      </w:tr>
      <w:tr>
        <w:trPr>
          <w:trHeight w:val="21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Notional amount of interest rate lock commitments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112,995</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32,365</w:t>
            </w:r>
          </w:p>
        </w:tc>
      </w:tr>
      <w:tr>
        <w:trPr>
          <w:trHeight w:val="204"/>
        </w:trPr>
        <w:tc>
          <w:tcPr>
            <w:tcW w:w="7200" w:type="dxa"/>
            <w:vAlign w:val="bottom"/>
            <w:gridSpan w:val="2"/>
          </w:tcPr>
          <w:p>
            <w:pPr>
              <w:ind w:left="20"/>
              <w:spacing w:after="0"/>
              <w:rPr>
                <w:sz w:val="20"/>
                <w:szCs w:val="20"/>
                <w:color w:val="auto"/>
              </w:rPr>
            </w:pPr>
            <w:r>
              <w:rPr>
                <w:rFonts w:ascii="Arial" w:cs="Arial" w:eastAsia="Arial" w:hAnsi="Arial"/>
                <w:sz w:val="11"/>
                <w:szCs w:val="11"/>
                <w:color w:val="auto"/>
              </w:rPr>
              <w:t>Fair value of interest rate lock commitments</w:t>
            </w:r>
          </w:p>
        </w:tc>
        <w:tc>
          <w:tcPr>
            <w:tcW w:w="3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1"/>
                <w:szCs w:val="11"/>
                <w:b w:val="1"/>
                <w:bCs w:val="1"/>
                <w:color w:val="auto"/>
              </w:rPr>
              <w:t>(398)</w:t>
            </w:r>
          </w:p>
        </w:tc>
        <w:tc>
          <w:tcPr>
            <w:tcW w:w="320" w:type="dxa"/>
            <w:vAlign w:val="bottom"/>
          </w:tcPr>
          <w:p>
            <w:pPr>
              <w:spacing w:after="0"/>
              <w:rPr>
                <w:sz w:val="17"/>
                <w:szCs w:val="17"/>
                <w:color w:val="auto"/>
              </w:rPr>
            </w:pPr>
          </w:p>
        </w:tc>
        <w:tc>
          <w:tcPr>
            <w:tcW w:w="1720" w:type="dxa"/>
            <w:vAlign w:val="bottom"/>
          </w:tcPr>
          <w:p>
            <w:pPr>
              <w:jc w:val="right"/>
              <w:ind w:right="63"/>
              <w:spacing w:after="0"/>
              <w:rPr>
                <w:sz w:val="20"/>
                <w:szCs w:val="20"/>
                <w:color w:val="auto"/>
              </w:rPr>
            </w:pPr>
            <w:r>
              <w:rPr>
                <w:rFonts w:ascii="Arial" w:cs="Arial" w:eastAsia="Arial" w:hAnsi="Arial"/>
                <w:sz w:val="11"/>
                <w:szCs w:val="11"/>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605" w:right="31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6864985"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64985"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6864985"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64985" cy="133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6 - Leases</w:t>
      </w:r>
    </w:p>
    <w:p>
      <w:pPr>
        <w:spacing w:after="0" w:line="37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Company’s primary leasing activities relate to certain real estate leases entered into in support of the Company’s branch operations and back office operations. As of January 1, 2019, the Company had leased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15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2.32% at March 31, 2020 and 2.24% at December 31, 2019.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16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of March 31, 2020, the Company’s lease ROU assets and related lease liabilities were $3.7 million and $4.0 million, respectively, compared to December 31, 2019 balances of $3.9 million of ROU assets and $4.3 million of lease liabilities,and have remaining terms ranging from 1 - 6 years, including extension options that the Company is reasonably certain will be exercised. As of March 31, 2020, the Company had not entered into any material leases that have not yet commenced. The Company’s lease information is summarized as follows: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Leases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December 31, 2019</w:t>
            </w:r>
          </w:p>
        </w:tc>
      </w:tr>
      <w:tr>
        <w:trPr>
          <w:trHeight w:val="207"/>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Lease Right of Use Asset: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8360" w:type="dxa"/>
            <w:vAlign w:val="bottom"/>
            <w:gridSpan w:val="2"/>
          </w:tcPr>
          <w:p>
            <w:pPr>
              <w:ind w:left="20"/>
              <w:spacing w:after="0"/>
              <w:rPr>
                <w:sz w:val="20"/>
                <w:szCs w:val="20"/>
                <w:color w:val="auto"/>
              </w:rPr>
            </w:pPr>
            <w:r>
              <w:rPr>
                <w:rFonts w:ascii="Arial" w:cs="Arial" w:eastAsia="Arial" w:hAnsi="Arial"/>
                <w:sz w:val="11"/>
                <w:szCs w:val="11"/>
                <w:color w:val="auto"/>
              </w:rPr>
              <w:t>Lease asset</w:t>
            </w:r>
          </w:p>
        </w:tc>
        <w:tc>
          <w:tcPr>
            <w:tcW w:w="180" w:type="dxa"/>
            <w:vAlign w:val="bottom"/>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63"/>
              <w:spacing w:after="0"/>
              <w:rPr>
                <w:sz w:val="20"/>
                <w:szCs w:val="20"/>
                <w:color w:val="auto"/>
              </w:rPr>
            </w:pPr>
            <w:r>
              <w:rPr>
                <w:rFonts w:ascii="Arial" w:cs="Arial" w:eastAsia="Arial" w:hAnsi="Arial"/>
                <w:sz w:val="11"/>
                <w:szCs w:val="11"/>
                <w:b w:val="1"/>
                <w:bCs w:val="1"/>
                <w:color w:val="auto"/>
              </w:rPr>
              <w:t>5,187</w:t>
            </w:r>
          </w:p>
        </w:tc>
        <w:tc>
          <w:tcPr>
            <w:tcW w:w="120" w:type="dxa"/>
            <w:vAlign w:val="bottom"/>
          </w:tcPr>
          <w:p>
            <w:pPr>
              <w:spacing w:after="0"/>
              <w:rPr>
                <w:sz w:val="18"/>
                <w:szCs w:val="18"/>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43"/>
              <w:spacing w:after="0"/>
              <w:rPr>
                <w:sz w:val="20"/>
                <w:szCs w:val="20"/>
                <w:color w:val="auto"/>
              </w:rPr>
            </w:pPr>
            <w:r>
              <w:rPr>
                <w:rFonts w:ascii="Arial" w:cs="Arial" w:eastAsia="Arial" w:hAnsi="Arial"/>
                <w:sz w:val="11"/>
                <w:szCs w:val="11"/>
                <w:color w:val="auto"/>
              </w:rPr>
              <w:t>5,158</w:t>
            </w:r>
          </w:p>
        </w:tc>
      </w:tr>
      <w:tr>
        <w:trPr>
          <w:trHeight w:val="212"/>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Less: Accumulated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(1,514)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(1,238)</w:t>
            </w:r>
          </w:p>
        </w:tc>
      </w:tr>
      <w:tr>
        <w:trPr>
          <w:trHeight w:val="226"/>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Net lease asset</w:t>
            </w: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3,673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3,920</w:t>
            </w:r>
          </w:p>
        </w:tc>
      </w:tr>
      <w:tr>
        <w:trPr>
          <w:trHeight w:val="184"/>
        </w:trPr>
        <w:tc>
          <w:tcPr>
            <w:tcW w:w="8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8"/>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Lease Liability:</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86"/>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Lease liability</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4,036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4,291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605" w:right="31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6 - Leases (continued)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minimum payments for operating leases with initial or remaining terms of one year or more are as follows:</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Lease Payment Obligations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March 31, 2020</w:t>
            </w:r>
          </w:p>
        </w:tc>
        <w:tc>
          <w:tcPr>
            <w:tcW w:w="0" w:type="dxa"/>
            <w:vAlign w:val="bottom"/>
          </w:tcPr>
          <w:p>
            <w:pPr>
              <w:spacing w:after="0"/>
              <w:rPr>
                <w:sz w:val="1"/>
                <w:szCs w:val="1"/>
                <w:color w:val="auto"/>
              </w:rPr>
            </w:pPr>
          </w:p>
        </w:tc>
      </w:tr>
      <w:tr>
        <w:trPr>
          <w:trHeight w:val="207"/>
        </w:trPr>
        <w:tc>
          <w:tcPr>
            <w:tcW w:w="9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Amounts due in:</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60" w:type="dxa"/>
            <w:vAlign w:val="bottom"/>
          </w:tcPr>
          <w:p>
            <w:pPr>
              <w:ind w:left="20"/>
              <w:spacing w:after="0"/>
              <w:rPr>
                <w:sz w:val="20"/>
                <w:szCs w:val="20"/>
                <w:color w:val="auto"/>
              </w:rPr>
            </w:pPr>
            <w:r>
              <w:rPr>
                <w:rFonts w:ascii="Arial" w:cs="Arial" w:eastAsia="Arial" w:hAnsi="Arial"/>
                <w:sz w:val="11"/>
                <w:szCs w:val="11"/>
                <w:color w:val="auto"/>
              </w:rPr>
              <w:t>2020</w:t>
            </w:r>
          </w:p>
        </w:tc>
        <w:tc>
          <w:tcPr>
            <w:tcW w:w="3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660" w:type="dxa"/>
            <w:vAlign w:val="bottom"/>
          </w:tcPr>
          <w:p>
            <w:pPr>
              <w:jc w:val="right"/>
              <w:ind w:right="43"/>
              <w:spacing w:after="0"/>
              <w:rPr>
                <w:sz w:val="20"/>
                <w:szCs w:val="20"/>
                <w:color w:val="auto"/>
              </w:rPr>
            </w:pPr>
            <w:r>
              <w:rPr>
                <w:rFonts w:ascii="Arial" w:cs="Arial" w:eastAsia="Arial" w:hAnsi="Arial"/>
                <w:sz w:val="11"/>
                <w:szCs w:val="11"/>
                <w:color w:val="auto"/>
              </w:rPr>
              <w:t>969</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2021</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1,315</w:t>
            </w:r>
          </w:p>
        </w:tc>
        <w:tc>
          <w:tcPr>
            <w:tcW w:w="0" w:type="dxa"/>
            <w:vAlign w:val="bottom"/>
          </w:tcPr>
          <w:p>
            <w:pPr>
              <w:spacing w:after="0"/>
              <w:rPr>
                <w:sz w:val="1"/>
                <w:szCs w:val="1"/>
                <w:color w:val="auto"/>
              </w:rPr>
            </w:pPr>
          </w:p>
        </w:tc>
      </w:tr>
      <w:tr>
        <w:trPr>
          <w:trHeight w:val="208"/>
        </w:trPr>
        <w:tc>
          <w:tcPr>
            <w:tcW w:w="9260" w:type="dxa"/>
            <w:vAlign w:val="bottom"/>
          </w:tcPr>
          <w:p>
            <w:pPr>
              <w:ind w:left="20"/>
              <w:spacing w:after="0"/>
              <w:rPr>
                <w:sz w:val="20"/>
                <w:szCs w:val="20"/>
                <w:color w:val="auto"/>
              </w:rPr>
            </w:pPr>
            <w:r>
              <w:rPr>
                <w:rFonts w:ascii="Arial" w:cs="Arial" w:eastAsia="Arial" w:hAnsi="Arial"/>
                <w:sz w:val="11"/>
                <w:szCs w:val="11"/>
                <w:color w:val="auto"/>
              </w:rPr>
              <w:t>2022</w:t>
            </w:r>
          </w:p>
        </w:tc>
        <w:tc>
          <w:tcPr>
            <w:tcW w:w="360" w:type="dxa"/>
            <w:vAlign w:val="bottom"/>
          </w:tcPr>
          <w:p>
            <w:pPr>
              <w:spacing w:after="0"/>
              <w:rPr>
                <w:sz w:val="18"/>
                <w:szCs w:val="18"/>
                <w:color w:val="auto"/>
              </w:rPr>
            </w:pPr>
          </w:p>
        </w:tc>
        <w:tc>
          <w:tcPr>
            <w:tcW w:w="1660" w:type="dxa"/>
            <w:vAlign w:val="bottom"/>
          </w:tcPr>
          <w:p>
            <w:pPr>
              <w:jc w:val="right"/>
              <w:ind w:right="43"/>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2023</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744</w:t>
            </w:r>
          </w:p>
        </w:tc>
        <w:tc>
          <w:tcPr>
            <w:tcW w:w="0" w:type="dxa"/>
            <w:vAlign w:val="bottom"/>
          </w:tcPr>
          <w:p>
            <w:pPr>
              <w:spacing w:after="0"/>
              <w:rPr>
                <w:sz w:val="1"/>
                <w:szCs w:val="1"/>
                <w:color w:val="auto"/>
              </w:rPr>
            </w:pPr>
          </w:p>
        </w:tc>
      </w:tr>
      <w:tr>
        <w:trPr>
          <w:trHeight w:val="208"/>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2024</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96"/>
        </w:trPr>
        <w:tc>
          <w:tcPr>
            <w:tcW w:w="9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future lease payments</w:t>
            </w: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4,374</w:t>
            </w:r>
          </w:p>
        </w:tc>
        <w:tc>
          <w:tcPr>
            <w:tcW w:w="0" w:type="dxa"/>
            <w:vAlign w:val="bottom"/>
          </w:tcPr>
          <w:p>
            <w:pPr>
              <w:spacing w:after="0"/>
              <w:rPr>
                <w:sz w:val="1"/>
                <w:szCs w:val="1"/>
                <w:color w:val="auto"/>
              </w:rPr>
            </w:pPr>
          </w:p>
        </w:tc>
      </w:tr>
      <w:tr>
        <w:trPr>
          <w:trHeight w:val="208"/>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Discount of cash flows</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(338)</w:t>
            </w:r>
          </w:p>
        </w:tc>
        <w:tc>
          <w:tcPr>
            <w:tcW w:w="0" w:type="dxa"/>
            <w:vAlign w:val="bottom"/>
          </w:tcPr>
          <w:p>
            <w:pPr>
              <w:spacing w:after="0"/>
              <w:rPr>
                <w:sz w:val="1"/>
                <w:szCs w:val="1"/>
                <w:color w:val="auto"/>
              </w:rPr>
            </w:pPr>
          </w:p>
        </w:tc>
      </w:tr>
      <w:tr>
        <w:trPr>
          <w:trHeight w:val="146"/>
        </w:trPr>
        <w:tc>
          <w:tcPr>
            <w:tcW w:w="9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Present value of net future lease payments</w:t>
            </w:r>
          </w:p>
        </w:tc>
        <w:tc>
          <w:tcPr>
            <w:tcW w:w="360" w:type="dxa"/>
            <w:vAlign w:val="bottom"/>
            <w:vMerge w:val="restart"/>
            <w:shd w:val="clear" w:color="auto" w:fill="CCEEFF"/>
          </w:tcPr>
          <w:p>
            <w:pPr>
              <w:jc w:val="right"/>
              <w:ind w:right="203"/>
              <w:spacing w:after="0"/>
              <w:rPr>
                <w:sz w:val="20"/>
                <w:szCs w:val="20"/>
                <w:color w:val="auto"/>
              </w:rPr>
            </w:pPr>
            <w:r>
              <w:rPr>
                <w:rFonts w:ascii="Arial" w:cs="Arial" w:eastAsia="Arial" w:hAnsi="Arial"/>
                <w:sz w:val="11"/>
                <w:szCs w:val="11"/>
                <w:b w:val="1"/>
                <w:bCs w:val="1"/>
                <w:color w:val="auto"/>
              </w:rPr>
              <w:t>$</w:t>
            </w:r>
          </w:p>
        </w:tc>
        <w:tc>
          <w:tcPr>
            <w:tcW w:w="16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4,036</w:t>
            </w:r>
          </w:p>
        </w:tc>
        <w:tc>
          <w:tcPr>
            <w:tcW w:w="0" w:type="dxa"/>
            <w:vAlign w:val="bottom"/>
          </w:tcPr>
          <w:p>
            <w:pPr>
              <w:spacing w:after="0"/>
              <w:rPr>
                <w:sz w:val="1"/>
                <w:szCs w:val="1"/>
                <w:color w:val="auto"/>
              </w:rPr>
            </w:pPr>
          </w:p>
        </w:tc>
      </w:tr>
      <w:tr>
        <w:trPr>
          <w:trHeight w:val="121"/>
        </w:trPr>
        <w:tc>
          <w:tcPr>
            <w:tcW w:w="92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vMerge w:val="continue"/>
            <w:shd w:val="clear" w:color="auto" w:fill="CCEEFF"/>
          </w:tcPr>
          <w:p>
            <w:pPr>
              <w:spacing w:after="0"/>
              <w:rPr>
                <w:sz w:val="10"/>
                <w:szCs w:val="10"/>
                <w:color w:val="auto"/>
              </w:rPr>
            </w:pPr>
          </w:p>
        </w:tc>
        <w:tc>
          <w:tcPr>
            <w:tcW w:w="16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605" w:right="319" w:bottom="1440" w:gutter="0" w:footer="0" w:header="0"/>
        </w:sectPr>
      </w:pPr>
    </w:p>
    <w:bookmarkStart w:id="33" w:name="page34"/>
    <w:bookmarkEnd w:id="33"/>
    <w:p>
      <w:pPr>
        <w:ind w:left="3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395605</wp:posOffset>
            </wp:positionH>
            <wp:positionV relativeFrom="page">
              <wp:posOffset>156210</wp:posOffset>
            </wp:positionV>
            <wp:extent cx="63868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68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6350</wp:posOffset>
            </wp:positionV>
            <wp:extent cx="63868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6830" cy="13335"/>
                    </a:xfrm>
                    <a:prstGeom prst="rect">
                      <a:avLst/>
                    </a:prstGeom>
                    <a:noFill/>
                  </pic:spPr>
                </pic:pic>
              </a:graphicData>
            </a:graphic>
          </wp:anchor>
        </w:drawing>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Note 7 - Fair Value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1 - Inputs to the valuation method are quoted prices (unadjusted) for identical assets or liabilities in active markets;</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3 - Inputs to the valuation method are unobservable and significant to the fair value measurement.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on a recurring basis</w:t>
      </w:r>
    </w:p>
    <w:p>
      <w:pPr>
        <w:spacing w:after="0" w:line="181"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 xml:space="preserve">Investment securities available for sale </w:t>
      </w:r>
      <w:r>
        <w:rPr>
          <w:rFonts w:ascii="Arial" w:cs="Arial" w:eastAsia="Arial" w:hAnsi="Arial"/>
          <w:sz w:val="14"/>
          <w:szCs w:val="14"/>
          <w:color w:val="auto"/>
        </w:rPr>
        <w:t>- The fair values of the Company's investment securities available for sale are provided by an independent pricing service. The fair</w:t>
      </w:r>
      <w:r>
        <w:rPr>
          <w:rFonts w:ascii="Arial" w:cs="Arial" w:eastAsia="Arial" w:hAnsi="Arial"/>
          <w:sz w:val="14"/>
          <w:szCs w:val="14"/>
          <w:i w:val="1"/>
          <w:iCs w:val="1"/>
          <w:color w:val="auto"/>
        </w:rPr>
        <w:t xml:space="preserve"> </w:t>
      </w:r>
      <w:r>
        <w:rPr>
          <w:rFonts w:ascii="Arial" w:cs="Arial" w:eastAsia="Arial" w:hAnsi="Arial"/>
          <w:sz w:val="14"/>
          <w:szCs w:val="14"/>
          <w:color w:val="auto"/>
        </w:rPr>
        <w:t>values of the Company's securities are determined based on quoted prices for similar securities under Level 2 inputs.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Loans held for sale </w:t>
      </w:r>
      <w:r>
        <w:rPr>
          <w:rFonts w:ascii="Arial" w:cs="Arial" w:eastAsia="Arial" w:hAnsi="Arial"/>
          <w:sz w:val="14"/>
          <w:szCs w:val="14"/>
          <w:color w:val="auto"/>
        </w:rPr>
        <w:t>- The fair value of loans held for sale is determined using Level 2 inputs of quoted prices for a similar asset, adjusted for specific attributes of that loan.</w:t>
      </w:r>
    </w:p>
    <w:p>
      <w:pPr>
        <w:spacing w:after="0" w:line="179"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 xml:space="preserve">Derivative financial instruments </w:t>
      </w:r>
      <w:r>
        <w:rPr>
          <w:rFonts w:ascii="Arial" w:cs="Arial" w:eastAsia="Arial" w:hAnsi="Arial"/>
          <w:sz w:val="14"/>
          <w:szCs w:val="14"/>
          <w:color w:val="auto"/>
        </w:rPr>
        <w:t>- Derivative instruments used to hedge residential mortgage loans held for sale and the related interest rate lock commitments include forward</w:t>
      </w:r>
      <w:r>
        <w:rPr>
          <w:rFonts w:ascii="Arial" w:cs="Arial" w:eastAsia="Arial" w:hAnsi="Arial"/>
          <w:sz w:val="14"/>
          <w:szCs w:val="14"/>
          <w:i w:val="1"/>
          <w:iCs w:val="1"/>
          <w:color w:val="auto"/>
        </w:rPr>
        <w:t xml:space="preserve"> </w:t>
      </w:r>
      <w:r>
        <w:rPr>
          <w:rFonts w:ascii="Arial" w:cs="Arial" w:eastAsia="Arial" w:hAnsi="Arial"/>
          <w:sz w:val="14"/>
          <w:szCs w:val="14"/>
          <w:color w:val="auto"/>
        </w:rPr>
        <w:t>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265" w:right="31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7 - Fair Value (continued)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categorized its financial instruments measured at fair value on a recurring basis as of March 31, 2020 and December 31, 2019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Financial Instruments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980" w:type="dxa"/>
            <w:vAlign w:val="bottom"/>
            <w:gridSpan w:val="2"/>
          </w:tcPr>
          <w:p>
            <w:pPr>
              <w:ind w:left="20"/>
              <w:spacing w:after="0"/>
              <w:rPr>
                <w:sz w:val="20"/>
                <w:szCs w:val="20"/>
                <w:color w:val="auto"/>
              </w:rPr>
            </w:pPr>
            <w:r>
              <w:rPr>
                <w:rFonts w:ascii="Arial" w:cs="Arial" w:eastAsia="Arial" w:hAnsi="Arial"/>
                <w:sz w:val="8"/>
                <w:szCs w:val="8"/>
                <w:color w:val="auto"/>
              </w:rPr>
              <w:t>(in thousands)</w:t>
            </w: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2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Level 1 Inputs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Level 2 Inputs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Level 3 Inputs</w:t>
            </w:r>
          </w:p>
        </w:tc>
      </w:tr>
      <w:tr>
        <w:trPr>
          <w:trHeight w:val="207"/>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Investment securities available for sale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5980" w:type="dxa"/>
            <w:vAlign w:val="bottom"/>
            <w:gridSpan w:val="2"/>
          </w:tcPr>
          <w:p>
            <w:pPr>
              <w:ind w:left="140"/>
              <w:spacing w:after="0"/>
              <w:rPr>
                <w:sz w:val="20"/>
                <w:szCs w:val="20"/>
                <w:color w:val="auto"/>
              </w:rPr>
            </w:pPr>
            <w:r>
              <w:rPr>
                <w:rFonts w:ascii="Arial" w:cs="Arial" w:eastAsia="Arial" w:hAnsi="Arial"/>
                <w:sz w:val="11"/>
                <w:szCs w:val="11"/>
                <w:color w:val="auto"/>
              </w:rPr>
              <w:t>U.S. government-sponsored enterprises</w:t>
            </w:r>
          </w:p>
        </w:tc>
        <w:tc>
          <w:tcPr>
            <w:tcW w:w="300" w:type="dxa"/>
            <w:vAlign w:val="bottom"/>
          </w:tcPr>
          <w:p>
            <w:pPr>
              <w:jc w:val="right"/>
              <w:ind w:right="14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63"/>
              <w:spacing w:after="0"/>
              <w:rPr>
                <w:sz w:val="20"/>
                <w:szCs w:val="20"/>
                <w:color w:val="auto"/>
              </w:rPr>
            </w:pPr>
            <w:r>
              <w:rPr>
                <w:rFonts w:ascii="Arial" w:cs="Arial" w:eastAsia="Arial" w:hAnsi="Arial"/>
                <w:sz w:val="11"/>
                <w:szCs w:val="11"/>
                <w:b w:val="1"/>
                <w:bCs w:val="1"/>
                <w:color w:val="auto"/>
              </w:rPr>
              <w:t>1,002</w:t>
            </w:r>
          </w:p>
        </w:tc>
        <w:tc>
          <w:tcPr>
            <w:tcW w:w="12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gridSpan w:val="2"/>
          </w:tcPr>
          <w:p>
            <w:pPr>
              <w:ind w:left="86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jc w:val="right"/>
              <w:ind w:right="43"/>
              <w:spacing w:after="0"/>
              <w:rPr>
                <w:sz w:val="20"/>
                <w:szCs w:val="20"/>
                <w:color w:val="auto"/>
              </w:rPr>
            </w:pPr>
            <w:r>
              <w:rPr>
                <w:rFonts w:ascii="Arial" w:cs="Arial" w:eastAsia="Arial" w:hAnsi="Arial"/>
                <w:sz w:val="11"/>
                <w:szCs w:val="11"/>
                <w:b w:val="1"/>
                <w:bCs w:val="1"/>
                <w:color w:val="auto"/>
              </w:rPr>
              <w:t>1,002</w:t>
            </w:r>
          </w:p>
        </w:tc>
        <w:tc>
          <w:tcPr>
            <w:tcW w:w="10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ind w:left="840"/>
              <w:spacing w:after="0"/>
              <w:rPr>
                <w:sz w:val="20"/>
                <w:szCs w:val="20"/>
                <w:color w:val="auto"/>
              </w:rPr>
            </w:pPr>
            <w:r>
              <w:rPr>
                <w:rFonts w:ascii="Arial" w:cs="Arial" w:eastAsia="Arial" w:hAnsi="Arial"/>
                <w:sz w:val="11"/>
                <w:szCs w:val="11"/>
                <w:b w:val="1"/>
                <w:bCs w:val="1"/>
                <w:color w:val="auto"/>
              </w:rPr>
              <w:t>—</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Municipal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840"/>
              <w:spacing w:after="0"/>
              <w:rPr>
                <w:sz w:val="20"/>
                <w:szCs w:val="20"/>
                <w:color w:val="auto"/>
              </w:rPr>
            </w:pPr>
            <w:r>
              <w:rPr>
                <w:rFonts w:ascii="Arial" w:cs="Arial" w:eastAsia="Arial" w:hAnsi="Arial"/>
                <w:sz w:val="11"/>
                <w:szCs w:val="11"/>
                <w:b w:val="1"/>
                <w:bCs w:val="1"/>
                <w:color w:val="auto"/>
              </w:rPr>
              <w:t>—</w:t>
            </w:r>
          </w:p>
        </w:tc>
      </w:tr>
      <w:tr>
        <w:trPr>
          <w:trHeight w:val="208"/>
        </w:trPr>
        <w:tc>
          <w:tcPr>
            <w:tcW w:w="5980" w:type="dxa"/>
            <w:vAlign w:val="bottom"/>
            <w:gridSpan w:val="2"/>
          </w:tcPr>
          <w:p>
            <w:pPr>
              <w:ind w:left="140"/>
              <w:spacing w:after="0"/>
              <w:rPr>
                <w:sz w:val="20"/>
                <w:szCs w:val="20"/>
                <w:color w:val="auto"/>
              </w:rPr>
            </w:pPr>
            <w:r>
              <w:rPr>
                <w:rFonts w:ascii="Arial" w:cs="Arial" w:eastAsia="Arial" w:hAnsi="Arial"/>
                <w:sz w:val="11"/>
                <w:szCs w:val="11"/>
                <w:color w:val="auto"/>
              </w:rPr>
              <w:t>Corporate</w:t>
            </w:r>
          </w:p>
        </w:tc>
        <w:tc>
          <w:tcPr>
            <w:tcW w:w="300" w:type="dxa"/>
            <w:vAlign w:val="bottom"/>
          </w:tcPr>
          <w:p>
            <w:pPr>
              <w:spacing w:after="0"/>
              <w:rPr>
                <w:sz w:val="18"/>
                <w:szCs w:val="18"/>
                <w:color w:val="auto"/>
              </w:rPr>
            </w:pPr>
          </w:p>
        </w:tc>
        <w:tc>
          <w:tcPr>
            <w:tcW w:w="960" w:type="dxa"/>
            <w:vAlign w:val="bottom"/>
          </w:tcPr>
          <w:p>
            <w:pPr>
              <w:jc w:val="right"/>
              <w:ind w:right="63"/>
              <w:spacing w:after="0"/>
              <w:rPr>
                <w:sz w:val="20"/>
                <w:szCs w:val="20"/>
                <w:color w:val="auto"/>
              </w:rPr>
            </w:pPr>
            <w:r>
              <w:rPr>
                <w:rFonts w:ascii="Arial" w:cs="Arial" w:eastAsia="Arial" w:hAnsi="Arial"/>
                <w:sz w:val="11"/>
                <w:szCs w:val="11"/>
                <w:b w:val="1"/>
                <w:bCs w:val="1"/>
                <w:color w:val="auto"/>
              </w:rPr>
              <w:t>2,203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b w:val="1"/>
                <w:bCs w:val="1"/>
                <w:color w:val="auto"/>
              </w:rPr>
              <w:t>2,203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840"/>
              <w:spacing w:after="0"/>
              <w:rPr>
                <w:sz w:val="20"/>
                <w:szCs w:val="20"/>
                <w:color w:val="auto"/>
              </w:rPr>
            </w:pPr>
            <w:r>
              <w:rPr>
                <w:rFonts w:ascii="Arial" w:cs="Arial" w:eastAsia="Arial" w:hAnsi="Arial"/>
                <w:sz w:val="11"/>
                <w:szCs w:val="11"/>
                <w:b w:val="1"/>
                <w:bCs w:val="1"/>
                <w:color w:val="auto"/>
              </w:rPr>
              <w:t>—</w:t>
            </w:r>
          </w:p>
        </w:tc>
      </w:tr>
      <w:tr>
        <w:trPr>
          <w:trHeight w:val="212"/>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Mortgage-backed securities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55,848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55,848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1"/>
                <w:szCs w:val="11"/>
                <w:b w:val="1"/>
                <w:bCs w:val="1"/>
                <w:color w:val="auto"/>
              </w:rPr>
              <w:t>—</w:t>
            </w:r>
          </w:p>
        </w:tc>
      </w:tr>
      <w:tr>
        <w:trPr>
          <w:trHeight w:val="222"/>
        </w:trPr>
        <w:tc>
          <w:tcPr>
            <w:tcW w:w="5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59,524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59,524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1"/>
                <w:szCs w:val="11"/>
                <w:b w:val="1"/>
                <w:bCs w:val="1"/>
                <w:color w:val="auto"/>
              </w:rPr>
              <w:t>—</w:t>
            </w:r>
          </w:p>
        </w:tc>
      </w:tr>
      <w:tr>
        <w:trPr>
          <w:trHeight w:val="15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Loans held for sale</w:t>
            </w: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73,955</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73,955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1"/>
                <w:szCs w:val="11"/>
                <w:b w:val="1"/>
                <w:bCs w:val="1"/>
                <w:color w:val="auto"/>
              </w:rPr>
              <w:t>—</w:t>
            </w:r>
          </w:p>
        </w:tc>
      </w:tr>
      <w:tr>
        <w:trPr>
          <w:trHeight w:val="20"/>
        </w:trPr>
        <w:tc>
          <w:tcPr>
            <w:tcW w:w="59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Derivative liabilities</w:t>
            </w:r>
          </w:p>
        </w:tc>
        <w:tc>
          <w:tcPr>
            <w:tcW w:w="300" w:type="dxa"/>
            <w:vAlign w:val="bottom"/>
          </w:tcPr>
          <w:p>
            <w:pPr>
              <w:jc w:val="right"/>
              <w:ind w:right="14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63"/>
              <w:spacing w:after="0"/>
              <w:rPr>
                <w:sz w:val="20"/>
                <w:szCs w:val="20"/>
                <w:color w:val="auto"/>
              </w:rPr>
            </w:pPr>
            <w:r>
              <w:rPr>
                <w:rFonts w:ascii="Arial" w:cs="Arial" w:eastAsia="Arial" w:hAnsi="Arial"/>
                <w:sz w:val="11"/>
                <w:szCs w:val="11"/>
                <w:b w:val="1"/>
                <w:bCs w:val="1"/>
                <w:color w:val="auto"/>
              </w:rPr>
              <w:t>2,491</w:t>
            </w:r>
          </w:p>
        </w:tc>
        <w:tc>
          <w:tcPr>
            <w:tcW w:w="120" w:type="dxa"/>
            <w:vAlign w:val="bottom"/>
          </w:tcPr>
          <w:p>
            <w:pPr>
              <w:spacing w:after="0"/>
              <w:rPr>
                <w:sz w:val="16"/>
                <w:szCs w:val="16"/>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gridSpan w:val="2"/>
          </w:tcPr>
          <w:p>
            <w:pPr>
              <w:ind w:left="86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1080" w:type="dxa"/>
            <w:vAlign w:val="bottom"/>
          </w:tcPr>
          <w:p>
            <w:pPr>
              <w:jc w:val="right"/>
              <w:ind w:right="43"/>
              <w:spacing w:after="0"/>
              <w:rPr>
                <w:sz w:val="20"/>
                <w:szCs w:val="20"/>
                <w:color w:val="auto"/>
              </w:rPr>
            </w:pPr>
            <w:r>
              <w:rPr>
                <w:rFonts w:ascii="Arial" w:cs="Arial" w:eastAsia="Arial" w:hAnsi="Arial"/>
                <w:sz w:val="11"/>
                <w:szCs w:val="11"/>
                <w:b w:val="1"/>
                <w:bCs w:val="1"/>
                <w:color w:val="auto"/>
              </w:rPr>
              <w:t>2,491</w:t>
            </w:r>
          </w:p>
        </w:tc>
        <w:tc>
          <w:tcPr>
            <w:tcW w:w="100" w:type="dxa"/>
            <w:vAlign w:val="bottom"/>
          </w:tcPr>
          <w:p>
            <w:pPr>
              <w:spacing w:after="0"/>
              <w:rPr>
                <w:sz w:val="16"/>
                <w:szCs w:val="16"/>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Pr>
          <w:p>
            <w:pPr>
              <w:ind w:left="840"/>
              <w:spacing w:after="0"/>
              <w:rPr>
                <w:sz w:val="20"/>
                <w:szCs w:val="20"/>
                <w:color w:val="auto"/>
              </w:rPr>
            </w:pPr>
            <w:r>
              <w:rPr>
                <w:rFonts w:ascii="Arial" w:cs="Arial" w:eastAsia="Arial" w:hAnsi="Arial"/>
                <w:sz w:val="11"/>
                <w:szCs w:val="11"/>
                <w:color w:val="auto"/>
              </w:rPr>
              <w:t>—</w:t>
            </w:r>
          </w:p>
        </w:tc>
      </w:tr>
      <w:tr>
        <w:trPr>
          <w:trHeight w:val="120"/>
        </w:trPr>
        <w:tc>
          <w:tcPr>
            <w:tcW w:w="58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r>
      <w:tr>
        <w:trPr>
          <w:trHeight w:val="208"/>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 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19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Investment securities available for sale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8"/>
        </w:trPr>
        <w:tc>
          <w:tcPr>
            <w:tcW w:w="5980" w:type="dxa"/>
            <w:vAlign w:val="bottom"/>
            <w:gridSpan w:val="2"/>
          </w:tcPr>
          <w:p>
            <w:pPr>
              <w:ind w:left="140"/>
              <w:spacing w:after="0"/>
              <w:rPr>
                <w:sz w:val="20"/>
                <w:szCs w:val="20"/>
                <w:color w:val="auto"/>
              </w:rPr>
            </w:pPr>
            <w:r>
              <w:rPr>
                <w:rFonts w:ascii="Arial" w:cs="Arial" w:eastAsia="Arial" w:hAnsi="Arial"/>
                <w:sz w:val="11"/>
                <w:szCs w:val="11"/>
                <w:color w:val="auto"/>
              </w:rPr>
              <w:t>U.S. government-sponsored enterprises</w:t>
            </w:r>
          </w:p>
        </w:tc>
        <w:tc>
          <w:tcPr>
            <w:tcW w:w="30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999</w:t>
            </w:r>
          </w:p>
        </w:tc>
        <w:tc>
          <w:tcPr>
            <w:tcW w:w="12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999</w:t>
            </w:r>
          </w:p>
        </w:tc>
        <w:tc>
          <w:tcPr>
            <w:tcW w:w="10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Pr>
          <w:p>
            <w:pPr>
              <w:ind w:left="840"/>
              <w:spacing w:after="0"/>
              <w:rPr>
                <w:sz w:val="20"/>
                <w:szCs w:val="20"/>
                <w:color w:val="auto"/>
              </w:rPr>
            </w:pPr>
            <w:r>
              <w:rPr>
                <w:rFonts w:ascii="Arial" w:cs="Arial" w:eastAsia="Arial" w:hAnsi="Arial"/>
                <w:sz w:val="11"/>
                <w:szCs w:val="11"/>
                <w:color w:val="auto"/>
              </w:rPr>
              <w:t>—</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Municipal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840"/>
              <w:spacing w:after="0"/>
              <w:rPr>
                <w:sz w:val="20"/>
                <w:szCs w:val="20"/>
                <w:color w:val="auto"/>
              </w:rPr>
            </w:pPr>
            <w:r>
              <w:rPr>
                <w:rFonts w:ascii="Arial" w:cs="Arial" w:eastAsia="Arial" w:hAnsi="Arial"/>
                <w:sz w:val="11"/>
                <w:szCs w:val="11"/>
                <w:color w:val="auto"/>
              </w:rPr>
              <w:t>—</w:t>
            </w:r>
          </w:p>
        </w:tc>
      </w:tr>
      <w:tr>
        <w:trPr>
          <w:trHeight w:val="208"/>
        </w:trPr>
        <w:tc>
          <w:tcPr>
            <w:tcW w:w="5980" w:type="dxa"/>
            <w:vAlign w:val="bottom"/>
            <w:gridSpan w:val="2"/>
          </w:tcPr>
          <w:p>
            <w:pPr>
              <w:ind w:left="140"/>
              <w:spacing w:after="0"/>
              <w:rPr>
                <w:sz w:val="20"/>
                <w:szCs w:val="20"/>
                <w:color w:val="auto"/>
              </w:rPr>
            </w:pPr>
            <w:r>
              <w:rPr>
                <w:rFonts w:ascii="Arial" w:cs="Arial" w:eastAsia="Arial" w:hAnsi="Arial"/>
                <w:sz w:val="11"/>
                <w:szCs w:val="11"/>
                <w:color w:val="auto"/>
              </w:rPr>
              <w:t>Corporate</w:t>
            </w:r>
          </w:p>
        </w:tc>
        <w:tc>
          <w:tcPr>
            <w:tcW w:w="300" w:type="dxa"/>
            <w:vAlign w:val="bottom"/>
          </w:tcPr>
          <w:p>
            <w:pPr>
              <w:spacing w:after="0"/>
              <w:rPr>
                <w:sz w:val="18"/>
                <w:szCs w:val="18"/>
                <w:color w:val="auto"/>
              </w:rPr>
            </w:pP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2,565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2,565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840"/>
              <w:spacing w:after="0"/>
              <w:rPr>
                <w:sz w:val="20"/>
                <w:szCs w:val="20"/>
                <w:color w:val="auto"/>
              </w:rPr>
            </w:pPr>
            <w:r>
              <w:rPr>
                <w:rFonts w:ascii="Arial" w:cs="Arial" w:eastAsia="Arial" w:hAnsi="Arial"/>
                <w:sz w:val="11"/>
                <w:szCs w:val="11"/>
                <w:color w:val="auto"/>
              </w:rPr>
              <w:t>—</w:t>
            </w:r>
          </w:p>
        </w:tc>
      </w:tr>
      <w:tr>
        <w:trPr>
          <w:trHeight w:val="212"/>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Mortgage-backed securities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56,736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56,736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1"/>
                <w:szCs w:val="11"/>
                <w:color w:val="auto"/>
              </w:rPr>
              <w:t>—</w:t>
            </w:r>
          </w:p>
        </w:tc>
      </w:tr>
      <w:tr>
        <w:trPr>
          <w:trHeight w:val="222"/>
        </w:trPr>
        <w:tc>
          <w:tcPr>
            <w:tcW w:w="5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60,828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60,828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1"/>
                <w:szCs w:val="11"/>
                <w:color w:val="auto"/>
              </w:rPr>
              <w:t>—</w:t>
            </w:r>
          </w:p>
        </w:tc>
      </w:tr>
      <w:tr>
        <w:trPr>
          <w:trHeight w:val="15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Loans held for sale</w:t>
            </w: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71,030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71,030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1"/>
                <w:szCs w:val="11"/>
                <w:color w:val="auto"/>
              </w:rPr>
              <w:t>—</w:t>
            </w: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Derivative assets</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237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1"/>
                <w:szCs w:val="11"/>
                <w:color w:val="auto"/>
              </w:rPr>
              <w:t>—</w:t>
            </w:r>
          </w:p>
        </w:tc>
      </w:tr>
      <w:tr>
        <w:trPr>
          <w:trHeight w:val="152"/>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Derivative liabilities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1"/>
                <w:szCs w:val="11"/>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instruments recorded using FASB ASC 825-10</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Fair Value of Loans Held for Sale</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rPr>
              <w:t>December 31, 2019</w:t>
            </w:r>
          </w:p>
        </w:tc>
      </w:tr>
      <w:tr>
        <w:trPr>
          <w:trHeight w:val="19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Aggregate fair value</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7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73,955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71,030</w:t>
            </w:r>
          </w:p>
        </w:tc>
      </w:tr>
      <w:tr>
        <w:trPr>
          <w:trHeight w:val="208"/>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Contractual principal</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69,441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67,118</w:t>
            </w:r>
          </w:p>
        </w:tc>
      </w:tr>
      <w:tr>
        <w:trPr>
          <w:trHeight w:val="186"/>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Difference</w:t>
            </w: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7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4,514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7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3,912</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has elected to account for loans held for sale at fair value to eliminate the mismatch that would occur by recording changes in market value on derivative instruments used to hedge loans held for</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605" w:right="31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7 - Fair Value (continued)</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sale while carrying the loans at the lower of cost or market.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on a nonrecurring basis</w:t>
      </w:r>
    </w:p>
    <w:p>
      <w:pPr>
        <w:spacing w:after="0" w:line="181"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 xml:space="preserve">Impaired loans </w:t>
      </w:r>
      <w:r>
        <w:rPr>
          <w:rFonts w:ascii="Arial" w:cs="Arial" w:eastAsia="Arial" w:hAnsi="Arial"/>
          <w:sz w:val="14"/>
          <w:szCs w:val="14"/>
          <w:color w:val="auto"/>
        </w:rPr>
        <w:t>- The Company has measured impairment generally based on the fair value of the loan's collateral and discounted cash flow analysis. Fair value is generally</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based upon independent third-party appraisals of the properties, or discounted cash flows based upon the expected proceeds. These assets are included as Level 3 fair values. As of March 31, 2020 and December 31, 2019, the fair values consist of loan balances of $5.0 million and $4.1 million, with specific reserves of $89 thousand and $119 thousand, respectively.</w:t>
      </w:r>
    </w:p>
    <w:p>
      <w:pPr>
        <w:spacing w:after="0" w:line="140"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 xml:space="preserve">Foreclosed real estate </w:t>
      </w:r>
      <w:r>
        <w:rPr>
          <w:rFonts w:ascii="Arial" w:cs="Arial" w:eastAsia="Arial" w:hAnsi="Arial"/>
          <w:sz w:val="14"/>
          <w:szCs w:val="14"/>
          <w:color w:val="auto"/>
        </w:rPr>
        <w:t>- The Company's foreclosed real estate is measured at fair value less cost to sell. Fair value was determined based on offers and/or appraisals. Cost to</w:t>
      </w:r>
      <w:r>
        <w:rPr>
          <w:rFonts w:ascii="Arial" w:cs="Arial" w:eastAsia="Arial" w:hAnsi="Arial"/>
          <w:sz w:val="14"/>
          <w:szCs w:val="14"/>
          <w:i w:val="1"/>
          <w:iCs w:val="1"/>
          <w:color w:val="auto"/>
        </w:rPr>
        <w:t xml:space="preserve"> </w:t>
      </w:r>
      <w:r>
        <w:rPr>
          <w:rFonts w:ascii="Arial" w:cs="Arial" w:eastAsia="Arial" w:hAnsi="Arial"/>
          <w:sz w:val="14"/>
          <w:szCs w:val="14"/>
          <w:color w:val="auto"/>
        </w:rPr>
        <w:t>sell the real estate was based on standard market factors. The Company has categorized its foreclosed real estate as Level 3.</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categorized its impaired loans and foreclosed real estate as follows: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Impaired Loans and Foreclosed Real Estate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March 31, 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rPr>
              <w:t>December 31, 2019</w:t>
            </w:r>
          </w:p>
        </w:tc>
      </w:tr>
      <w:tr>
        <w:trPr>
          <w:trHeight w:val="20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Impaired loans</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8"/>
        </w:trPr>
        <w:tc>
          <w:tcPr>
            <w:tcW w:w="7080" w:type="dxa"/>
            <w:vAlign w:val="bottom"/>
            <w:gridSpan w:val="2"/>
          </w:tcPr>
          <w:p>
            <w:pPr>
              <w:ind w:left="20"/>
              <w:spacing w:after="0"/>
              <w:rPr>
                <w:sz w:val="20"/>
                <w:szCs w:val="20"/>
                <w:color w:val="auto"/>
              </w:rPr>
            </w:pPr>
            <w:r>
              <w:rPr>
                <w:rFonts w:ascii="Arial" w:cs="Arial" w:eastAsia="Arial" w:hAnsi="Arial"/>
                <w:sz w:val="11"/>
                <w:szCs w:val="11"/>
                <w:color w:val="auto"/>
              </w:rPr>
              <w:t>Level 1 inputs</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ind w:right="63"/>
              <w:spacing w:after="0"/>
              <w:rPr>
                <w:sz w:val="20"/>
                <w:szCs w:val="20"/>
                <w:color w:val="auto"/>
              </w:rPr>
            </w:pPr>
            <w:r>
              <w:rPr>
                <w:rFonts w:ascii="Arial" w:cs="Arial" w:eastAsia="Arial" w:hAnsi="Arial"/>
                <w:sz w:val="11"/>
                <w:szCs w:val="11"/>
                <w:color w:val="auto"/>
              </w:rPr>
              <w:t>—</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Level 2 inputs</w:t>
            </w: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r>
      <w:tr>
        <w:trPr>
          <w:trHeight w:val="208"/>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Level 3 inputs</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4,895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3,980</w:t>
            </w:r>
          </w:p>
        </w:tc>
      </w:tr>
      <w:tr>
        <w:trPr>
          <w:trHeight w:val="186"/>
        </w:trPr>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4,895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7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3,980</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4"/>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Foreclosed real estate</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8"/>
        </w:trPr>
        <w:tc>
          <w:tcPr>
            <w:tcW w:w="7080" w:type="dxa"/>
            <w:vAlign w:val="bottom"/>
            <w:gridSpan w:val="2"/>
          </w:tcPr>
          <w:p>
            <w:pPr>
              <w:ind w:left="20"/>
              <w:spacing w:after="0"/>
              <w:rPr>
                <w:sz w:val="20"/>
                <w:szCs w:val="20"/>
                <w:color w:val="auto"/>
              </w:rPr>
            </w:pPr>
            <w:r>
              <w:rPr>
                <w:rFonts w:ascii="Arial" w:cs="Arial" w:eastAsia="Arial" w:hAnsi="Arial"/>
                <w:sz w:val="11"/>
                <w:szCs w:val="11"/>
                <w:color w:val="auto"/>
              </w:rPr>
              <w:t>Level 1 inputs</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ind w:right="63"/>
              <w:spacing w:after="0"/>
              <w:rPr>
                <w:sz w:val="20"/>
                <w:szCs w:val="20"/>
                <w:color w:val="auto"/>
              </w:rPr>
            </w:pPr>
            <w:r>
              <w:rPr>
                <w:rFonts w:ascii="Arial" w:cs="Arial" w:eastAsia="Arial" w:hAnsi="Arial"/>
                <w:sz w:val="11"/>
                <w:szCs w:val="11"/>
                <w:color w:val="auto"/>
              </w:rPr>
              <w:t>—</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Level 2 inputs</w:t>
            </w: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r>
      <w:tr>
        <w:trPr>
          <w:trHeight w:val="208"/>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Level 3 inputs</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3,402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2,384</w:t>
            </w:r>
          </w:p>
        </w:tc>
      </w:tr>
      <w:tr>
        <w:trPr>
          <w:trHeight w:val="186"/>
        </w:trPr>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Total</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3,402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7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2,384</w:t>
            </w: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information describing the unobservable inputs used in Level 3 fair value measurements at March 31, 2020 and December 31, 2019:</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Unobservable Inputs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140" w:type="dxa"/>
            <w:vAlign w:val="bottom"/>
            <w:tcBorders>
              <w:bottom w:val="single" w:sz="8" w:color="CCEEFF"/>
            </w:tcBorders>
          </w:tcPr>
          <w:p>
            <w:pPr>
              <w:spacing w:after="0"/>
              <w:rPr>
                <w:sz w:val="15"/>
                <w:szCs w:val="15"/>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Valuation Technique</w:t>
            </w:r>
          </w:p>
        </w:tc>
        <w:tc>
          <w:tcPr>
            <w:tcW w:w="120" w:type="dxa"/>
            <w:vAlign w:val="bottom"/>
            <w:tcBorders>
              <w:bottom w:val="single" w:sz="8" w:color="CCEEFF"/>
            </w:tcBorders>
          </w:tcPr>
          <w:p>
            <w:pPr>
              <w:spacing w:after="0"/>
              <w:rPr>
                <w:sz w:val="15"/>
                <w:szCs w:val="15"/>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Unobservable Inputs</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Range of Inputs</w:t>
            </w:r>
          </w:p>
        </w:tc>
      </w:tr>
      <w:tr>
        <w:trPr>
          <w:trHeight w:val="169"/>
        </w:trPr>
        <w:tc>
          <w:tcPr>
            <w:tcW w:w="214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Discounts to appraisals or cash flows for estimated holding and/or selling</w:t>
            </w:r>
          </w:p>
        </w:tc>
        <w:tc>
          <w:tcPr>
            <w:tcW w:w="1800" w:type="dxa"/>
            <w:vAlign w:val="bottom"/>
            <w:shd w:val="clear" w:color="auto" w:fill="CCEEFF"/>
          </w:tcPr>
          <w:p>
            <w:pPr>
              <w:spacing w:after="0"/>
              <w:rPr>
                <w:sz w:val="14"/>
                <w:szCs w:val="14"/>
                <w:color w:val="auto"/>
              </w:rPr>
            </w:pPr>
          </w:p>
        </w:tc>
      </w:tr>
      <w:tr>
        <w:trPr>
          <w:trHeight w:val="168"/>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Impaired Loans</w:t>
            </w: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Appraised Value/Discounted Cash Flows</w:t>
            </w:r>
          </w:p>
        </w:tc>
        <w:tc>
          <w:tcPr>
            <w:tcW w:w="4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costs</w:t>
            </w:r>
          </w:p>
        </w:tc>
        <w:tc>
          <w:tcPr>
            <w:tcW w:w="1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 to 25%</w:t>
            </w:r>
          </w:p>
        </w:tc>
      </w:tr>
      <w:tr>
        <w:trPr>
          <w:trHeight w:val="197"/>
        </w:trPr>
        <w:tc>
          <w:tcPr>
            <w:tcW w:w="2140" w:type="dxa"/>
            <w:vAlign w:val="bottom"/>
          </w:tcPr>
          <w:p>
            <w:pPr>
              <w:ind w:left="20"/>
              <w:spacing w:after="0"/>
              <w:rPr>
                <w:sz w:val="20"/>
                <w:szCs w:val="20"/>
                <w:color w:val="auto"/>
              </w:rPr>
            </w:pPr>
            <w:r>
              <w:rPr>
                <w:rFonts w:ascii="Arial" w:cs="Arial" w:eastAsia="Arial" w:hAnsi="Arial"/>
                <w:sz w:val="13"/>
                <w:szCs w:val="13"/>
                <w:color w:val="auto"/>
              </w:rPr>
              <w:t>Foreclosed Real Estate</w:t>
            </w:r>
          </w:p>
        </w:tc>
        <w:tc>
          <w:tcPr>
            <w:tcW w:w="306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Appraised Value/Comparable Sales</w:t>
            </w:r>
          </w:p>
        </w:tc>
        <w:tc>
          <w:tcPr>
            <w:tcW w:w="42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Discounts to appraisals for estimated holding and/or selling costs</w:t>
            </w:r>
          </w:p>
        </w:tc>
        <w:tc>
          <w:tcPr>
            <w:tcW w:w="1800" w:type="dxa"/>
            <w:vAlign w:val="bottom"/>
          </w:tcPr>
          <w:p>
            <w:pPr>
              <w:jc w:val="center"/>
              <w:spacing w:after="0"/>
              <w:rPr>
                <w:sz w:val="20"/>
                <w:szCs w:val="20"/>
                <w:color w:val="auto"/>
              </w:rPr>
            </w:pPr>
            <w:r>
              <w:rPr>
                <w:rFonts w:ascii="Arial" w:cs="Arial" w:eastAsia="Arial" w:hAnsi="Arial"/>
                <w:sz w:val="13"/>
                <w:szCs w:val="13"/>
                <w:color w:val="auto"/>
                <w:w w:val="95"/>
              </w:rPr>
              <w:t>11 to 25%</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605" w:right="31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7 - Fair Value (continued)</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convey or impose on an entity the contractual right or obligation to either receive or deliver cash for another financial instrument.</w:t>
      </w:r>
    </w:p>
    <w:p>
      <w:pPr>
        <w:spacing w:after="0" w:line="17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5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6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fair value of cash and cash equivalents and investments in restricted stocks is the carrying amount. Restricted stock includes equity of the Federal Reserve and other banker’s banks.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noninterest bearing deposits and securities sold under agreements to repurchase is the carrying amount.</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certificates of deposit in other financial institutions is estimated based on interest rates currently offered for deposits of similar remaining maturities.</w:t>
      </w:r>
    </w:p>
    <w:p>
      <w:pPr>
        <w:spacing w:after="0" w:line="179"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 fair value of borrowings is estimated by discounting the value of contractual cash flows using current market rates for borrowings with similar terms and remaining maturities.</w:t>
      </w:r>
    </w:p>
    <w:p>
      <w:pPr>
        <w:spacing w:after="0" w:line="34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605" w:right="319" w:bottom="1440" w:gutter="0" w:footer="0" w:header="0"/>
        </w:sectPr>
      </w:pPr>
    </w:p>
    <w:bookmarkStart w:id="37" w:name="page38"/>
    <w:bookmarkEnd w:id="37"/>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7 - Fair Value (continued)</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Selected Financial Instruments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March 31, 2020</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1"/>
                <w:szCs w:val="11"/>
                <w:color w:val="auto"/>
              </w:rPr>
              <w:t>December 31, 2019</w:t>
            </w:r>
          </w:p>
        </w:tc>
      </w:tr>
      <w:tr>
        <w:trPr>
          <w:trHeight w:val="203"/>
        </w:trPr>
        <w:tc>
          <w:tcPr>
            <w:tcW w:w="554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4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Amount</w:t>
            </w:r>
          </w:p>
        </w:tc>
        <w:tc>
          <w:tcPr>
            <w:tcW w:w="38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Fair Value</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color w:val="auto"/>
              </w:rPr>
              <w:t>Carrying Amount</w:t>
            </w:r>
          </w:p>
        </w:tc>
        <w:tc>
          <w:tcPr>
            <w:tcW w:w="260" w:type="dxa"/>
            <w:vAlign w:val="bottom"/>
          </w:tcPr>
          <w:p>
            <w:pPr>
              <w:spacing w:after="0"/>
              <w:rPr>
                <w:sz w:val="17"/>
                <w:szCs w:val="17"/>
                <w:color w:val="auto"/>
              </w:rPr>
            </w:pPr>
          </w:p>
        </w:tc>
        <w:tc>
          <w:tcPr>
            <w:tcW w:w="1080" w:type="dxa"/>
            <w:vAlign w:val="bottom"/>
          </w:tcPr>
          <w:p>
            <w:pPr>
              <w:jc w:val="right"/>
              <w:ind w:right="363"/>
              <w:spacing w:after="0"/>
              <w:rPr>
                <w:sz w:val="20"/>
                <w:szCs w:val="20"/>
                <w:color w:val="auto"/>
              </w:rPr>
            </w:pPr>
            <w:r>
              <w:rPr>
                <w:rFonts w:ascii="Arial" w:cs="Arial" w:eastAsia="Arial" w:hAnsi="Arial"/>
                <w:sz w:val="11"/>
                <w:szCs w:val="11"/>
                <w:color w:val="auto"/>
              </w:rPr>
              <w:t>Fair Value</w:t>
            </w:r>
          </w:p>
        </w:tc>
      </w:tr>
      <w:tr>
        <w:trPr>
          <w:trHeight w:val="207"/>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08"/>
        </w:trPr>
        <w:tc>
          <w:tcPr>
            <w:tcW w:w="5540" w:type="dxa"/>
            <w:vAlign w:val="bottom"/>
          </w:tcPr>
          <w:p>
            <w:pPr>
              <w:ind w:left="140"/>
              <w:spacing w:after="0"/>
              <w:rPr>
                <w:sz w:val="20"/>
                <w:szCs w:val="20"/>
                <w:color w:val="auto"/>
              </w:rPr>
            </w:pPr>
            <w:r>
              <w:rPr>
                <w:rFonts w:ascii="Arial" w:cs="Arial" w:eastAsia="Arial" w:hAnsi="Arial"/>
                <w:sz w:val="11"/>
                <w:szCs w:val="11"/>
                <w:color w:val="auto"/>
              </w:rPr>
              <w:t>Level 1</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and due from banks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9,578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9,578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10,530</w:t>
            </w:r>
          </w:p>
        </w:tc>
      </w:tr>
      <w:tr>
        <w:trPr>
          <w:trHeight w:val="208"/>
        </w:trPr>
        <w:tc>
          <w:tcPr>
            <w:tcW w:w="5540" w:type="dxa"/>
            <w:vAlign w:val="bottom"/>
          </w:tcPr>
          <w:p>
            <w:pPr>
              <w:ind w:left="220"/>
              <w:spacing w:after="0"/>
              <w:rPr>
                <w:sz w:val="20"/>
                <w:szCs w:val="20"/>
                <w:color w:val="auto"/>
              </w:rPr>
            </w:pPr>
            <w:r>
              <w:rPr>
                <w:rFonts w:ascii="Arial" w:cs="Arial" w:eastAsia="Arial" w:hAnsi="Arial"/>
                <w:sz w:val="11"/>
                <w:szCs w:val="11"/>
                <w:color w:val="auto"/>
              </w:rPr>
              <w:t>Interest bearing deposits at other financial institutions</w:t>
            </w:r>
          </w:p>
        </w:tc>
        <w:tc>
          <w:tcPr>
            <w:tcW w:w="14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b w:val="1"/>
                <w:bCs w:val="1"/>
                <w:color w:val="auto"/>
              </w:rPr>
              <w:t>164,313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164,313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102,447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102,447</w:t>
            </w: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Federal funds sold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979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979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1,847</w:t>
            </w:r>
          </w:p>
        </w:tc>
      </w:tr>
      <w:tr>
        <w:trPr>
          <w:trHeight w:val="208"/>
        </w:trPr>
        <w:tc>
          <w:tcPr>
            <w:tcW w:w="5540" w:type="dxa"/>
            <w:vAlign w:val="bottom"/>
          </w:tcPr>
          <w:p>
            <w:pPr>
              <w:ind w:left="140"/>
              <w:spacing w:after="0"/>
              <w:rPr>
                <w:sz w:val="20"/>
                <w:szCs w:val="20"/>
                <w:color w:val="auto"/>
              </w:rPr>
            </w:pPr>
            <w:r>
              <w:rPr>
                <w:rFonts w:ascii="Arial" w:cs="Arial" w:eastAsia="Arial" w:hAnsi="Arial"/>
                <w:sz w:val="11"/>
                <w:szCs w:val="11"/>
                <w:color w:val="auto"/>
              </w:rPr>
              <w:t>Level 3</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Loans receivable, net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1,172,285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1,179,026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1,157,820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1,155,922</w:t>
            </w:r>
          </w:p>
        </w:tc>
      </w:tr>
      <w:tr>
        <w:trPr>
          <w:trHeight w:val="208"/>
        </w:trPr>
        <w:tc>
          <w:tcPr>
            <w:tcW w:w="5540" w:type="dxa"/>
            <w:vAlign w:val="bottom"/>
          </w:tcPr>
          <w:p>
            <w:pPr>
              <w:ind w:left="220"/>
              <w:spacing w:after="0"/>
              <w:rPr>
                <w:sz w:val="20"/>
                <w:szCs w:val="20"/>
                <w:color w:val="auto"/>
              </w:rPr>
            </w:pPr>
            <w:r>
              <w:rPr>
                <w:rFonts w:ascii="Arial" w:cs="Arial" w:eastAsia="Arial" w:hAnsi="Arial"/>
                <w:sz w:val="11"/>
                <w:szCs w:val="11"/>
                <w:color w:val="auto"/>
              </w:rPr>
              <w:t>Restricted investments</w:t>
            </w:r>
          </w:p>
        </w:tc>
        <w:tc>
          <w:tcPr>
            <w:tcW w:w="14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1"/>
                <w:szCs w:val="11"/>
                <w:b w:val="1"/>
                <w:bCs w:val="1"/>
                <w:color w:val="auto"/>
              </w:rPr>
              <w:t>4,274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4,274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3,966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3,966</w:t>
            </w:r>
          </w:p>
        </w:tc>
      </w:tr>
      <w:tr>
        <w:trPr>
          <w:trHeight w:val="216"/>
        </w:trPr>
        <w:tc>
          <w:tcPr>
            <w:tcW w:w="5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540" w:type="dxa"/>
            <w:vAlign w:val="bottom"/>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Level 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8"/>
        </w:trPr>
        <w:tc>
          <w:tcPr>
            <w:tcW w:w="5540" w:type="dxa"/>
            <w:vAlign w:val="bottom"/>
          </w:tcPr>
          <w:p>
            <w:pPr>
              <w:ind w:left="220"/>
              <w:spacing w:after="0"/>
              <w:rPr>
                <w:sz w:val="20"/>
                <w:szCs w:val="20"/>
                <w:color w:val="auto"/>
              </w:rPr>
            </w:pPr>
            <w:r>
              <w:rPr>
                <w:rFonts w:ascii="Arial" w:cs="Arial" w:eastAsia="Arial" w:hAnsi="Arial"/>
                <w:sz w:val="11"/>
                <w:szCs w:val="11"/>
                <w:color w:val="auto"/>
              </w:rPr>
              <w:t>Noninterest bearing deposits</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63"/>
              <w:spacing w:after="0"/>
              <w:rPr>
                <w:sz w:val="20"/>
                <w:szCs w:val="20"/>
                <w:color w:val="auto"/>
              </w:rPr>
            </w:pPr>
            <w:r>
              <w:rPr>
                <w:rFonts w:ascii="Arial" w:cs="Arial" w:eastAsia="Arial" w:hAnsi="Arial"/>
                <w:sz w:val="11"/>
                <w:szCs w:val="11"/>
                <w:b w:val="1"/>
                <w:bCs w:val="1"/>
                <w:color w:val="auto"/>
              </w:rPr>
              <w:t>363,423</w:t>
            </w:r>
          </w:p>
        </w:tc>
        <w:tc>
          <w:tcPr>
            <w:tcW w:w="120" w:type="dxa"/>
            <w:vAlign w:val="bottom"/>
          </w:tcPr>
          <w:p>
            <w:pPr>
              <w:spacing w:after="0"/>
              <w:rPr>
                <w:sz w:val="18"/>
                <w:szCs w:val="18"/>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363,423</w:t>
            </w:r>
          </w:p>
        </w:tc>
        <w:tc>
          <w:tcPr>
            <w:tcW w:w="12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291,777</w:t>
            </w: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291,777</w:t>
            </w:r>
          </w:p>
        </w:tc>
      </w:tr>
      <w:tr>
        <w:trPr>
          <w:trHeight w:val="216"/>
        </w:trPr>
        <w:tc>
          <w:tcPr>
            <w:tcW w:w="5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Level 3</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8"/>
        </w:trPr>
        <w:tc>
          <w:tcPr>
            <w:tcW w:w="5540" w:type="dxa"/>
            <w:vAlign w:val="bottom"/>
          </w:tcPr>
          <w:p>
            <w:pPr>
              <w:ind w:left="220"/>
              <w:spacing w:after="0"/>
              <w:rPr>
                <w:sz w:val="20"/>
                <w:szCs w:val="20"/>
                <w:color w:val="auto"/>
              </w:rPr>
            </w:pPr>
            <w:r>
              <w:rPr>
                <w:rFonts w:ascii="Arial" w:cs="Arial" w:eastAsia="Arial" w:hAnsi="Arial"/>
                <w:sz w:val="11"/>
                <w:szCs w:val="11"/>
                <w:color w:val="auto"/>
              </w:rPr>
              <w:t>Interest bearing deposits</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63"/>
              <w:spacing w:after="0"/>
              <w:rPr>
                <w:sz w:val="20"/>
                <w:szCs w:val="20"/>
                <w:color w:val="auto"/>
              </w:rPr>
            </w:pPr>
            <w:r>
              <w:rPr>
                <w:rFonts w:ascii="Arial" w:cs="Arial" w:eastAsia="Arial" w:hAnsi="Arial"/>
                <w:sz w:val="11"/>
                <w:szCs w:val="11"/>
                <w:b w:val="1"/>
                <w:bCs w:val="1"/>
                <w:color w:val="auto"/>
              </w:rPr>
              <w:t>939,490</w:t>
            </w:r>
          </w:p>
        </w:tc>
        <w:tc>
          <w:tcPr>
            <w:tcW w:w="120" w:type="dxa"/>
            <w:vAlign w:val="bottom"/>
          </w:tcPr>
          <w:p>
            <w:pPr>
              <w:spacing w:after="0"/>
              <w:rPr>
                <w:sz w:val="18"/>
                <w:szCs w:val="18"/>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ind w:right="43"/>
              <w:spacing w:after="0"/>
              <w:rPr>
                <w:sz w:val="20"/>
                <w:szCs w:val="20"/>
                <w:color w:val="auto"/>
              </w:rPr>
            </w:pPr>
            <w:r>
              <w:rPr>
                <w:rFonts w:ascii="Arial" w:cs="Arial" w:eastAsia="Arial" w:hAnsi="Arial"/>
                <w:sz w:val="11"/>
                <w:szCs w:val="11"/>
                <w:b w:val="1"/>
                <w:bCs w:val="1"/>
                <w:color w:val="auto"/>
              </w:rPr>
              <w:t>942,888</w:t>
            </w:r>
          </w:p>
        </w:tc>
        <w:tc>
          <w:tcPr>
            <w:tcW w:w="12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933,644</w:t>
            </w: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3"/>
              <w:spacing w:after="0"/>
              <w:rPr>
                <w:sz w:val="20"/>
                <w:szCs w:val="20"/>
                <w:color w:val="auto"/>
              </w:rPr>
            </w:pPr>
            <w:r>
              <w:rPr>
                <w:rFonts w:ascii="Arial" w:cs="Arial" w:eastAsia="Arial" w:hAnsi="Arial"/>
                <w:sz w:val="11"/>
                <w:szCs w:val="11"/>
                <w:color w:val="auto"/>
              </w:rPr>
              <w:t>934,349</w:t>
            </w: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FHLB advances and other borrowed funds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44,319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44,349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47,645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47,678</w:t>
            </w:r>
          </w:p>
        </w:tc>
      </w:tr>
    </w:tbl>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605"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8 - Segments</w:t>
      </w:r>
    </w:p>
    <w:p>
      <w:pPr>
        <w:spacing w:after="0" w:line="377" w:lineRule="exact"/>
        <w:rPr>
          <w:sz w:val="20"/>
          <w:szCs w:val="20"/>
          <w:color w:val="auto"/>
        </w:rPr>
      </w:pPr>
    </w:p>
    <w:p>
      <w:pPr>
        <w:jc w:val="both"/>
        <w:ind w:firstLine="255"/>
        <w:spacing w:after="0" w:line="242" w:lineRule="auto"/>
        <w:rPr>
          <w:sz w:val="20"/>
          <w:szCs w:val="20"/>
          <w:color w:val="auto"/>
        </w:rPr>
      </w:pPr>
      <w:r>
        <w:rPr>
          <w:rFonts w:ascii="Arial" w:cs="Arial" w:eastAsia="Arial" w:hAnsi="Arial"/>
          <w:sz w:val="14"/>
          <w:szCs w:val="14"/>
          <w:color w:val="auto"/>
        </w:rPr>
        <w:t>The Company’s reportable segments represent product line divisions and are viewed separately for strategic planning purposes by management. The four segments include Commercial Banking, Capital Bank Home Loans (the Company’s mortgage loan division), OpenSky</w:t>
      </w:r>
      <w:r>
        <w:rPr>
          <w:rFonts w:ascii="Arial" w:cs="Arial" w:eastAsia="Arial" w:hAnsi="Arial"/>
          <w:sz w:val="16"/>
          <w:szCs w:val="16"/>
          <w:color w:val="auto"/>
          <w:vertAlign w:val="superscript"/>
        </w:rPr>
        <w:t>®</w:t>
      </w:r>
      <w:r>
        <w:rPr>
          <w:rFonts w:ascii="Arial" w:cs="Arial" w:eastAsia="Arial" w:hAnsi="Arial"/>
          <w:sz w:val="14"/>
          <w:szCs w:val="14"/>
          <w:color w:val="auto"/>
        </w:rPr>
        <w:t xml:space="preserve"> (the Company’s credit card division) and the Corporate Office. The following schedule presents financial information for each reportable segment at March 31, 2020.</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Segments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306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2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 the Three Months Ended March 31, 2020</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Commercial Bank</w:t>
            </w:r>
          </w:p>
        </w:tc>
        <w:tc>
          <w:tcPr>
            <w:tcW w:w="2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CBHL</w:t>
            </w:r>
          </w:p>
        </w:tc>
        <w:tc>
          <w:tcPr>
            <w:tcW w:w="24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1"/>
                <w:szCs w:val="11"/>
                <w:b w:val="1"/>
                <w:bCs w:val="1"/>
                <w:color w:val="auto"/>
              </w:rPr>
              <w:t>OpenSky</w:t>
            </w:r>
            <w:r>
              <w:rPr>
                <w:rFonts w:ascii="Arial" w:cs="Arial" w:eastAsia="Arial" w:hAnsi="Arial"/>
                <w:sz w:val="14"/>
                <w:szCs w:val="14"/>
                <w:b w:val="1"/>
                <w:bCs w:val="1"/>
                <w:color w:val="auto"/>
                <w:vertAlign w:val="superscript"/>
              </w:rPr>
              <w:t>®</w:t>
            </w:r>
          </w:p>
        </w:tc>
        <w:tc>
          <w:tcPr>
            <w:tcW w:w="18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Corporate</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auto"/>
              </w:rPr>
              <w:t>Eliminations</w:t>
            </w:r>
          </w:p>
        </w:tc>
        <w:tc>
          <w:tcPr>
            <w:tcW w:w="200" w:type="dxa"/>
            <w:vAlign w:val="bottom"/>
          </w:tcPr>
          <w:p>
            <w:pPr>
              <w:spacing w:after="0"/>
              <w:rPr>
                <w:sz w:val="18"/>
                <w:szCs w:val="18"/>
                <w:color w:val="auto"/>
              </w:rPr>
            </w:pPr>
          </w:p>
        </w:tc>
        <w:tc>
          <w:tcPr>
            <w:tcW w:w="1140" w:type="dxa"/>
            <w:vAlign w:val="bottom"/>
          </w:tcPr>
          <w:p>
            <w:pPr>
              <w:jc w:val="right"/>
              <w:ind w:right="243"/>
              <w:spacing w:after="0"/>
              <w:rPr>
                <w:sz w:val="20"/>
                <w:szCs w:val="20"/>
                <w:color w:val="auto"/>
              </w:rPr>
            </w:pPr>
            <w:r>
              <w:rPr>
                <w:rFonts w:ascii="Arial" w:cs="Arial" w:eastAsia="Arial" w:hAnsi="Arial"/>
                <w:sz w:val="11"/>
                <w:szCs w:val="11"/>
                <w:b w:val="1"/>
                <w:bCs w:val="1"/>
                <w:color w:val="auto"/>
              </w:rPr>
              <w:t>Consolidated</w:t>
            </w:r>
          </w:p>
        </w:tc>
      </w:tr>
      <w:tr>
        <w:trPr>
          <w:trHeight w:val="192"/>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16,107</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366</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4,706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3,461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(2,896)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21,744</w:t>
            </w:r>
          </w:p>
        </w:tc>
      </w:tr>
      <w:tr>
        <w:trPr>
          <w:trHeight w:val="208"/>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Interest expense</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b w:val="1"/>
                <w:bCs w:val="1"/>
                <w:color w:val="auto"/>
              </w:rPr>
              <w:t>3,587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b w:val="1"/>
                <w:bCs w:val="1"/>
                <w:color w:val="auto"/>
              </w:rPr>
              <w:t>209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b w:val="1"/>
                <w:bCs w:val="1"/>
                <w:color w:val="auto"/>
              </w:rPr>
              <w:t>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b w:val="1"/>
                <w:bCs w:val="1"/>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b w:val="1"/>
                <w:bCs w:val="1"/>
                <w:color w:val="auto"/>
              </w:rPr>
              <w:t>4,057</w:t>
            </w:r>
          </w:p>
        </w:tc>
      </w:tr>
      <w:tr>
        <w:trPr>
          <w:trHeight w:val="196"/>
        </w:trPr>
        <w:tc>
          <w:tcPr>
            <w:tcW w:w="3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12,520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157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4,706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3,183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17,687</w:t>
            </w:r>
          </w:p>
        </w:tc>
      </w:tr>
      <w:tr>
        <w:trPr>
          <w:trHeight w:val="208"/>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Provision for loan losses</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b w:val="1"/>
                <w:bCs w:val="1"/>
                <w:color w:val="auto"/>
              </w:rPr>
              <w:t>2,192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b w:val="1"/>
                <w:bCs w:val="1"/>
                <w:color w:val="auto"/>
              </w:rPr>
              <w:t>2,409</w:t>
            </w:r>
          </w:p>
        </w:tc>
      </w:tr>
      <w:tr>
        <w:trPr>
          <w:trHeight w:val="196"/>
        </w:trPr>
        <w:tc>
          <w:tcPr>
            <w:tcW w:w="3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b w:val="1"/>
                <w:bCs w:val="1"/>
                <w:color w:val="auto"/>
              </w:rPr>
              <w:t>Net interest income after provision</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10,328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157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4,489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3,183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15,278</w:t>
            </w:r>
          </w:p>
        </w:tc>
      </w:tr>
      <w:tr>
        <w:trPr>
          <w:trHeight w:val="208"/>
        </w:trPr>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Noninterest income</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b w:val="1"/>
                <w:bCs w:val="1"/>
                <w:color w:val="auto"/>
              </w:rPr>
              <w:t>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b w:val="1"/>
                <w:bCs w:val="1"/>
                <w:color w:val="auto"/>
              </w:rPr>
              <w:t>4,345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b w:val="1"/>
                <w:bCs w:val="1"/>
                <w:color w:val="auto"/>
              </w:rPr>
              <w:t>2,008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b w:val="1"/>
                <w:bCs w:val="1"/>
                <w:color w:val="auto"/>
              </w:rPr>
              <w:t>6,579</w:t>
            </w: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8,704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3,448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5,582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17,843</w:t>
            </w:r>
          </w:p>
        </w:tc>
      </w:tr>
      <w:tr>
        <w:trPr>
          <w:trHeight w:val="226"/>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1"/>
                <w:szCs w:val="11"/>
                <w:b w:val="1"/>
                <w:bCs w:val="1"/>
                <w:color w:val="auto"/>
              </w:rPr>
              <w:t>Net income before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1,849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1,054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915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3,075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(2,879)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4,014</w:t>
            </w:r>
          </w:p>
        </w:tc>
      </w:tr>
      <w:tr>
        <w:trPr>
          <w:trHeight w:val="184"/>
        </w:trPr>
        <w:tc>
          <w:tcPr>
            <w:tcW w:w="3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4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1,354,546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75,261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44,889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158,072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(124,921)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1,507,847</w:t>
            </w:r>
          </w:p>
        </w:tc>
      </w:tr>
      <w:tr>
        <w:trPr>
          <w:trHeight w:val="184"/>
        </w:trPr>
        <w:tc>
          <w:tcPr>
            <w:tcW w:w="3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8"/>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 the Three Months Ended March 31, 2019</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07"/>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13,911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3,808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18,318</w:t>
            </w:r>
          </w:p>
        </w:tc>
      </w:tr>
      <w:tr>
        <w:trPr>
          <w:trHeight w:val="208"/>
        </w:trPr>
        <w:tc>
          <w:tcPr>
            <w:tcW w:w="306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3,243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color w:val="auto"/>
              </w:rPr>
              <w:t>3,574</w:t>
            </w:r>
          </w:p>
        </w:tc>
      </w:tr>
      <w:tr>
        <w:trPr>
          <w:trHeight w:val="196"/>
        </w:trPr>
        <w:tc>
          <w:tcPr>
            <w:tcW w:w="3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10,668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281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3,590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3,547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14,744</w:t>
            </w:r>
          </w:p>
        </w:tc>
      </w:tr>
      <w:tr>
        <w:trPr>
          <w:trHeight w:val="208"/>
        </w:trPr>
        <w:tc>
          <w:tcPr>
            <w:tcW w:w="3060" w:type="dxa"/>
            <w:vAlign w:val="bottom"/>
          </w:tcPr>
          <w:p>
            <w:pPr>
              <w:ind w:left="20"/>
              <w:spacing w:after="0"/>
              <w:rPr>
                <w:sz w:val="20"/>
                <w:szCs w:val="20"/>
                <w:color w:val="auto"/>
              </w:rPr>
            </w:pPr>
            <w:r>
              <w:rPr>
                <w:rFonts w:ascii="Arial" w:cs="Arial" w:eastAsia="Arial" w:hAnsi="Arial"/>
                <w:sz w:val="11"/>
                <w:szCs w:val="11"/>
                <w:color w:val="auto"/>
              </w:rPr>
              <w:t>Provision for (recovery of) loan losses</w:t>
            </w:r>
          </w:p>
        </w:tc>
        <w:tc>
          <w:tcPr>
            <w:tcW w:w="120" w:type="dxa"/>
            <w:vAlign w:val="bottom"/>
          </w:tcPr>
          <w:p>
            <w:pPr>
              <w:spacing w:after="0"/>
              <w:rPr>
                <w:sz w:val="18"/>
                <w:szCs w:val="18"/>
                <w:color w:val="auto"/>
              </w:rPr>
            </w:pPr>
          </w:p>
        </w:tc>
        <w:tc>
          <w:tcPr>
            <w:tcW w:w="1140" w:type="dxa"/>
            <w:vAlign w:val="bottom"/>
          </w:tcPr>
          <w:p>
            <w:pPr>
              <w:jc w:val="right"/>
              <w:ind w:right="23"/>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color w:val="auto"/>
              </w:rPr>
              <w:t>121</w:t>
            </w:r>
          </w:p>
        </w:tc>
      </w:tr>
      <w:tr>
        <w:trPr>
          <w:trHeight w:val="196"/>
        </w:trPr>
        <w:tc>
          <w:tcPr>
            <w:tcW w:w="3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b w:val="1"/>
                <w:bCs w:val="1"/>
                <w:color w:val="auto"/>
              </w:rPr>
              <w:t>Net interest income after provision</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10,756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281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3,431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3,497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14,623</w:t>
            </w:r>
          </w:p>
        </w:tc>
      </w:tr>
      <w:tr>
        <w:trPr>
          <w:trHeight w:val="208"/>
        </w:trPr>
        <w:tc>
          <w:tcPr>
            <w:tcW w:w="3060" w:type="dxa"/>
            <w:vAlign w:val="bottom"/>
          </w:tcPr>
          <w:p>
            <w:pPr>
              <w:ind w:left="20"/>
              <w:spacing w:after="0"/>
              <w:rPr>
                <w:sz w:val="20"/>
                <w:szCs w:val="20"/>
                <w:color w:val="auto"/>
              </w:rPr>
            </w:pPr>
            <w:r>
              <w:rPr>
                <w:rFonts w:ascii="Arial" w:cs="Arial" w:eastAsia="Arial" w:hAnsi="Arial"/>
                <w:sz w:val="11"/>
                <w:szCs w:val="11"/>
                <w:color w:val="auto"/>
              </w:rPr>
              <w:t>Noninterest income</w:t>
            </w:r>
          </w:p>
        </w:tc>
        <w:tc>
          <w:tcPr>
            <w:tcW w:w="1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2,404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1,543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1"/>
                <w:szCs w:val="11"/>
                <w:color w:val="auto"/>
              </w:rPr>
              <w:t>4,092</w:t>
            </w: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Noninterest expense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7,414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4,362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14,330</w:t>
            </w:r>
          </w:p>
        </w:tc>
      </w:tr>
      <w:tr>
        <w:trPr>
          <w:trHeight w:val="222"/>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1"/>
                <w:szCs w:val="11"/>
                <w:b w:val="1"/>
                <w:bCs w:val="1"/>
                <w:color w:val="auto"/>
              </w:rPr>
              <w:t>Net income before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3,486</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201</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612</w:t>
            </w:r>
          </w:p>
        </w:tc>
        <w:tc>
          <w:tcPr>
            <w:tcW w:w="1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3,428</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(3,342)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4,385</w:t>
            </w:r>
          </w:p>
        </w:tc>
      </w:tr>
      <w:tr>
        <w:trPr>
          <w:trHeight w:val="184"/>
        </w:trPr>
        <w:tc>
          <w:tcPr>
            <w:tcW w:w="3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2"/>
        </w:trPr>
        <w:tc>
          <w:tcPr>
            <w:tcW w:w="306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1,031,062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22,572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34,605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137,842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(102,329)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1,123,752</w:t>
            </w: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Litigation</w:t>
      </w:r>
    </w:p>
    <w:p>
      <w:pPr>
        <w:spacing w:after="0" w:line="19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is involved in legal proceedings occurring in the ordinary course of business. The aggregate effect of these, in management’s opinion, will not materially affect the results of operations or financial condition of the Company.</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605" w:right="319" w:bottom="1440" w:gutter="0" w:footer="0" w:header="0"/>
        </w:sectPr>
      </w:pPr>
    </w:p>
    <w:bookmarkStart w:id="39" w:name="page40"/>
    <w:bookmarkEnd w:id="39"/>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10 - Subsequent Events</w:t>
      </w:r>
    </w:p>
    <w:p>
      <w:pPr>
        <w:spacing w:after="0" w:line="37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58"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Coronavirus Aid, Relief, and Economic Security Act (“CARES Act”), enacted March 27, 2020 in response to the COVID-19 pandemic, includes provisions designed to provide relief to individuals and businesses. This legislation created the $349 billion Paycheck Protection Program ("PPP"). The principal and interest of PPP loans is guaranteed by the Small Business Administration ("SBA"). PPP covered loans also afford borrowers forgiveness of the principal and interest of the covered loan if the proceeds are used primarily to retain workers and pay other qualified business expenses. As an SBA lender, the Bank is actively participating in the PPP and are working hard to meet the needs of our customers and community, processing as many eligible applications as soon as possible.</w:t>
      </w:r>
    </w:p>
    <w:p>
      <w:pPr>
        <w:spacing w:after="0" w:line="16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Section 4013 of the CARES Act addressed COVID-19 related modifications and specified that such modifications made on loans that were current as of December 31, 2019 are not TDRs. In accordance with interagency guidance issued in April 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None of the modified loans met or are expected to meet the criteria of a TDR under the CARES Act or the related interagency statement.</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Through April 30, 2020, the Bank processed over 1,110 PPP loan applications for approximately $246.0 million in the first and second round of the program.</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Through April 30, 2020, we granted payment deferrals for commercial and consumer loans with aggregate balances of $107.3 million.</w:t>
      </w:r>
    </w:p>
    <w:p>
      <w:pPr>
        <w:spacing w:after="0" w:line="167"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Additionally, we have offered assistance to our OpenSky</w:t>
      </w:r>
      <w:r>
        <w:rPr>
          <w:rFonts w:ascii="Arial" w:cs="Arial" w:eastAsia="Arial" w:hAnsi="Arial"/>
          <w:sz w:val="16"/>
          <w:szCs w:val="16"/>
          <w:b w:val="1"/>
          <w:bCs w:val="1"/>
          <w:color w:val="auto"/>
          <w:vertAlign w:val="superscript"/>
        </w:rPr>
        <w:t>®</w:t>
      </w:r>
      <w:r>
        <w:rPr>
          <w:rFonts w:ascii="Arial" w:cs="Arial" w:eastAsia="Arial" w:hAnsi="Arial"/>
          <w:sz w:val="14"/>
          <w:szCs w:val="14"/>
          <w:color w:val="auto"/>
        </w:rPr>
        <w:t xml:space="preserve"> cardholders, including late fee waivers and minimum payment deferrals, in an effort for them to avoid delinquency and negative credit bureau reporting. In the OpenSky</w:t>
      </w:r>
      <w:r>
        <w:rPr>
          <w:rFonts w:ascii="Arial" w:cs="Arial" w:eastAsia="Arial" w:hAnsi="Arial"/>
          <w:sz w:val="16"/>
          <w:szCs w:val="16"/>
          <w:b w:val="1"/>
          <w:bCs w:val="1"/>
          <w:color w:val="auto"/>
          <w:vertAlign w:val="superscript"/>
        </w:rPr>
        <w:t>®</w:t>
      </w:r>
      <w:r>
        <w:rPr>
          <w:rFonts w:ascii="Arial" w:cs="Arial" w:eastAsia="Arial" w:hAnsi="Arial"/>
          <w:sz w:val="14"/>
          <w:szCs w:val="14"/>
          <w:color w:val="auto"/>
        </w:rPr>
        <w:t xml:space="preserve"> Secured Credit Card business, we launched a relief program in March 2020 for affected customers requesting assistance</w:t>
      </w:r>
      <w:r>
        <w:rPr>
          <w:rFonts w:ascii="Arial" w:cs="Arial" w:eastAsia="Arial" w:hAnsi="Arial"/>
          <w:sz w:val="14"/>
          <w:szCs w:val="14"/>
          <w:b w:val="1"/>
          <w:bCs w:val="1"/>
          <w:color w:val="auto"/>
        </w:rPr>
        <w:t>.</w:t>
      </w:r>
      <w:r>
        <w:rPr>
          <w:rFonts w:ascii="Arial" w:cs="Arial" w:eastAsia="Arial" w:hAnsi="Arial"/>
          <w:sz w:val="14"/>
          <w:szCs w:val="14"/>
          <w:color w:val="auto"/>
        </w:rPr>
        <w:t xml:space="preserve"> The program provides for payment deferral and relief without impacting our customers' credit history. As of April 30, 2020, 2,139 customers or 0.71% of total customers, representing $716 thousand in balances outstanding, had taken advantage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605"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2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2019.</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PRIVATE SECURITIES LITIGATION REFORM ACT SAFE HARBOR STATEMENT</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161"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addition to the foregoing, the COVID-19 pandemic is adversely affecting us, our customers, counterparties, employees and third party service providers, and the ultimate extent of the impacts on our business, financial position, results of operations, liquidity, and prospects is uncertain. Continued deterioration in general business and economic conditions, including further increases in unemployment rates, or turbulence in domestic or global financial markets could adversely affect our revenues and the values of our assets and liabilities, reduce the availability of funding, lead to a tightening of credit, and further increase stock price volatility, which could result in impairment to our goodwill in future periods. Changes to statutes, regulations, or regulatory policies or practices as a result of, or in response to COVID-19, could affect us in substantial and unpredictable ways, including the potential adverse impact of loan modifications and payment deferrals implemented consistent with recent regulatory guidance. The following factors, among others, could cause our financial performance to differ materially from that expressed in such forward-looking statements: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COVID-19 Pandemic</w:t>
      </w:r>
    </w:p>
    <w:p>
      <w:pPr>
        <w:spacing w:after="0" w:line="197" w:lineRule="exact"/>
        <w:rPr>
          <w:sz w:val="20"/>
          <w:szCs w:val="20"/>
          <w:color w:val="auto"/>
        </w:rPr>
      </w:pPr>
    </w:p>
    <w:p>
      <w:pPr>
        <w:ind w:left="520" w:hanging="260"/>
        <w:spacing w:after="0" w:line="266"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responsive actions related to the COVID-19 pandemic may adversely affect our business, financial condition, results of operations, liquidity, and cash flow. It is impossible to predict the extent of any such impact as the circumstances rapidly evolve;</w:t>
      </w:r>
    </w:p>
    <w:p>
      <w:pPr>
        <w:spacing w:after="0" w:line="152" w:lineRule="exact"/>
        <w:rPr>
          <w:rFonts w:ascii="Arial" w:cs="Arial" w:eastAsia="Arial" w:hAnsi="Arial"/>
          <w:sz w:val="14"/>
          <w:szCs w:val="14"/>
          <w:color w:val="auto"/>
        </w:rPr>
      </w:pPr>
    </w:p>
    <w:p>
      <w:pPr>
        <w:jc w:val="both"/>
        <w:ind w:left="520" w:hanging="260"/>
        <w:spacing w:after="0" w:line="257"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public health officials have recommended and mandated precautions to mitigate the spread of COVID-19, including prohibitions on congregating in heavily populated areas and shelter-in-place orders or similar measures. As a result, we have temporarily closed certain of our branches and other locations over the past several months. Our results could be adversely impacted by these closures and other actions taken to contain the impact of COVID-19, and the extent of such impact will depend on future developments, which are highly uncertain and cannot be predicted;</w:t>
      </w:r>
    </w:p>
    <w:p>
      <w:pPr>
        <w:spacing w:after="0" w:line="159" w:lineRule="exact"/>
        <w:rPr>
          <w:rFonts w:ascii="Arial" w:cs="Arial" w:eastAsia="Arial" w:hAnsi="Arial"/>
          <w:sz w:val="14"/>
          <w:szCs w:val="14"/>
          <w:color w:val="auto"/>
        </w:rPr>
      </w:pPr>
    </w:p>
    <w:p>
      <w:pPr>
        <w:ind w:left="520" w:hanging="260"/>
        <w:spacing w:after="0" w:line="266"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while we expect the impacts of COVID-19 to have an adverse effect on our business, financial condition and results of operations, we are unable to predict the extent or nature of these impacts at this time;</w:t>
      </w:r>
    </w:p>
    <w:p>
      <w:pPr>
        <w:spacing w:after="0" w:line="152" w:lineRule="exact"/>
        <w:rPr>
          <w:rFonts w:ascii="Arial" w:cs="Arial" w:eastAsia="Arial" w:hAnsi="Arial"/>
          <w:sz w:val="14"/>
          <w:szCs w:val="14"/>
          <w:color w:val="auto"/>
        </w:rPr>
      </w:pPr>
    </w:p>
    <w:p>
      <w:pPr>
        <w:ind w:left="520" w:hanging="260"/>
        <w:spacing w:after="0" w:line="266"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risks associated with our residential mortgage banking, consumer credit card and commercial businesses may be adversely affected by the effect of the COVID-19 pandemic and other circumstances;</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291" w:right="319" w:bottom="1440" w:gutter="0" w:footer="0" w:header="0"/>
        </w:sectPr>
      </w:pPr>
    </w:p>
    <w:bookmarkStart w:id="41" w:name="page42"/>
    <w:bookmarkEnd w:id="41"/>
    <w:p>
      <w:pPr>
        <w:ind w:left="260" w:hanging="260"/>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adequacy of reserves, including our allowance for loan losses may be impacted by effects of the COVID-19 pandemic and other circumstances;</w:t>
      </w:r>
    </w:p>
    <w:p>
      <w:pPr>
        <w:spacing w:after="0" w:line="178"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asset quality within the Company’s loan portfolio and the value of collateral securing our loans may deteriorate and be adversely impacted by the effects and duration of the COVID-19 pandemic and other circumstances;</w:t>
      </w:r>
    </w:p>
    <w:p>
      <w:pPr>
        <w:spacing w:after="0" w:line="152"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allowance for loan losses may increase if borrowers experience financial difficulties, which will adversely affect our results of operations; the net worth and liquidity of loan guarantors may decline, impairing their ability to honor their commitments to us;</w:t>
      </w:r>
    </w:p>
    <w:p>
      <w:pPr>
        <w:spacing w:after="0" w:line="152" w:lineRule="exact"/>
        <w:rPr>
          <w:rFonts w:ascii="Arial" w:cs="Arial" w:eastAsia="Arial" w:hAnsi="Arial"/>
          <w:sz w:val="14"/>
          <w:szCs w:val="14"/>
          <w:color w:val="auto"/>
        </w:rPr>
      </w:pPr>
    </w:p>
    <w:p>
      <w:pPr>
        <w:jc w:val="both"/>
        <w:ind w:left="260" w:hanging="260"/>
        <w:spacing w:after="0" w:line="259"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the economy is unable to substantially reopen, and high levels of unemployment continue for an extended period of time, loan delinquencies, problem assets, and foreclosures may increase, resulting in increased charges and reduced income; collateral for loans, especially real estate, may decline in value, which could cause loan losses to increase;</w:t>
      </w:r>
    </w:p>
    <w:p>
      <w:pPr>
        <w:spacing w:after="0" w:line="157" w:lineRule="exact"/>
        <w:rPr>
          <w:rFonts w:ascii="Arial" w:cs="Arial" w:eastAsia="Arial" w:hAnsi="Arial"/>
          <w:sz w:val="14"/>
          <w:szCs w:val="14"/>
          <w:color w:val="auto"/>
        </w:rPr>
      </w:pPr>
    </w:p>
    <w:p>
      <w:pPr>
        <w:ind w:left="260" w:hanging="260"/>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liquidity risks associated with our business could be adversely affected by the COVID-19 pandemic and other circumstances;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maintain important deposit customer relationships and our reputation could be impacted by the COVID-19 pandemic and other circumstances;</w:t>
      </w:r>
    </w:p>
    <w:p>
      <w:pPr>
        <w:spacing w:after="0" w:line="178"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sufficiency of our capital, including sources of capital and the extent to which we may be required to raise additional capital to meet our goals may be impacted by the COVID-19 pandemic and other circumstances;</w:t>
      </w:r>
    </w:p>
    <w:p>
      <w:pPr>
        <w:spacing w:after="0" w:line="152" w:lineRule="exact"/>
        <w:rPr>
          <w:rFonts w:ascii="Arial" w:cs="Arial" w:eastAsia="Arial" w:hAnsi="Arial"/>
          <w:sz w:val="14"/>
          <w:szCs w:val="14"/>
          <w:color w:val="auto"/>
        </w:rPr>
      </w:pPr>
    </w:p>
    <w:p>
      <w:pPr>
        <w:ind w:left="260" w:hanging="260"/>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fluctuations in the fair value of our investment securities that are beyond our control could be impacted by the COVID-19 pandemic duration;</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 exposure to fraud, negligence, computer theft and cyber-crime as an effect of the COVID-19 pandemic and other circumstances could increase;</w:t>
      </w:r>
    </w:p>
    <w:p>
      <w:pPr>
        <w:spacing w:after="0" w:line="178"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adequacy of our risk management framework may be impacted by the COVID-19 pandemic as our cyber security risks are increased as the result of an increase in the number of employees working remotely;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Economic Conditions</w:t>
      </w:r>
    </w:p>
    <w:p>
      <w:pPr>
        <w:spacing w:after="0" w:line="197" w:lineRule="exact"/>
        <w:rPr>
          <w:sz w:val="20"/>
          <w:szCs w:val="20"/>
          <w:color w:val="auto"/>
        </w:rPr>
      </w:pPr>
    </w:p>
    <w:p>
      <w:pPr>
        <w:ind w:left="260" w:hanging="260"/>
        <w:spacing w:after="0" w:line="266"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52"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rate risk associated with our business, including sensitivity of our interest earning assets and interest bearing liabilities to interest rates, and the impact to our earnings from changes in interest rates;</w:t>
      </w:r>
    </w:p>
    <w:p>
      <w:pPr>
        <w:spacing w:after="0" w:line="152"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concentration of our business in the Washington, D.C. and Baltimore metropolitan areas and the effect of changes in the economic, political and environmental conditions on these markets;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Business Operations</w:t>
      </w:r>
    </w:p>
    <w:p>
      <w:pPr>
        <w:spacing w:after="0" w:line="197" w:lineRule="exact"/>
        <w:rPr>
          <w:sz w:val="20"/>
          <w:szCs w:val="20"/>
          <w:color w:val="auto"/>
        </w:rPr>
      </w:pPr>
    </w:p>
    <w:p>
      <w:pPr>
        <w:ind w:left="260" w:hanging="260"/>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prudently manage our growth and execute our strategy;</w:t>
      </w:r>
    </w:p>
    <w:p>
      <w:pPr>
        <w:spacing w:after="0" w:line="200" w:lineRule="exact"/>
        <w:rPr>
          <w:sz w:val="20"/>
          <w:szCs w:val="20"/>
          <w:color w:val="auto"/>
        </w:rPr>
      </w:pPr>
    </w:p>
    <w:p>
      <w:pPr>
        <w:spacing w:after="0" w:line="286"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020"/>
          </w:cols>
          <w:pgMar w:left="560" w:top="309" w:right="319" w:bottom="1440" w:gutter="0" w:footer="0" w:header="0"/>
        </w:sectPr>
      </w:pPr>
    </w:p>
    <w:bookmarkStart w:id="42" w:name="page43"/>
    <w:bookmarkEnd w:id="42"/>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plans to grow our commercial real estate and commercial business loan portfolios which may carry material risks of non-payment or other unfavorable consequences;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strategic acquisitions we may undertake to achieve our goals;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dependence on our information technology and telecommunications systems and the potential for any systems failures or interruptions;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dependence upon outside third parties for the processing and handling of our records and data;</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adapt to technological change;</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engagement in derivative transactions;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volatility and direction of market interest rates;</w:t>
      </w:r>
    </w:p>
    <w:p>
      <w:pPr>
        <w:spacing w:after="0" w:line="164"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 possible impact of uncertainty about the future of </w:t>
      </w:r>
      <w:r>
        <w:rPr>
          <w:rFonts w:ascii="Arial" w:cs="Arial" w:eastAsia="Arial" w:hAnsi="Arial"/>
          <w:sz w:val="14"/>
          <w:szCs w:val="14"/>
          <w:i w:val="1"/>
          <w:iCs w:val="1"/>
          <w:color w:val="auto"/>
        </w:rPr>
        <w:t>LIBOR</w:t>
      </w:r>
      <w:r>
        <w:rPr>
          <w:rFonts w:ascii="Arial" w:cs="Arial" w:eastAsia="Arial" w:hAnsi="Arial"/>
          <w:sz w:val="14"/>
          <w:szCs w:val="14"/>
          <w:color w:val="auto"/>
        </w:rPr>
        <w:t xml:space="preserve"> on our net interest income;</w:t>
      </w:r>
    </w:p>
    <w:p>
      <w:pPr>
        <w:spacing w:after="0" w:line="192"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due to the decline in the Federal Reserve Board’s target federal funds rate to near 0%, the yield on our assets may decline to a greater extent than the decline in our cost of interest-bearing liabilities, reducing our net interest margin and spread and reducing net income;</w:t>
      </w:r>
    </w:p>
    <w:p>
      <w:pPr>
        <w:spacing w:after="0" w:line="152"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effectiveness of our internal controls over financial reporting and our ability to remediate any future material weakness in our internal controls over financial reporting;</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dependence on our management team and board of directors and changes in management and board composition;</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involvement from time to time in legal proceedings, examinations and remedial actions by regulators;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risks associated with our OpenSky credit card division, including compliance with applicable consumer finance and fraud prevention regulations;</w:t>
      </w:r>
    </w:p>
    <w:p>
      <w:pPr>
        <w:spacing w:after="0" w:line="178" w:lineRule="exact"/>
        <w:rPr>
          <w:rFonts w:ascii="Arial" w:cs="Arial" w:eastAsia="Arial" w:hAnsi="Arial"/>
          <w:sz w:val="14"/>
          <w:szCs w:val="14"/>
          <w:color w:val="auto"/>
        </w:rPr>
      </w:pPr>
    </w:p>
    <w:p>
      <w:pPr>
        <w:ind w:left="260" w:hanging="260"/>
        <w:spacing w:after="0" w:line="266"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results of examinations of us by our regulators, including the possibility that our regulators may, among other things, require us to increase our allowance for loan losses or to write-down assets;</w:t>
      </w:r>
    </w:p>
    <w:p>
      <w:pPr>
        <w:spacing w:after="0" w:line="152"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the laws, rules, regulations, interpretations or policies relating to financial institution, accounting, tax, trade, monetary and fiscal matters;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competition in the financial services industry, particularly from regional and national institutions;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financial soundness of other financial institutions;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Deposit Insurance Corporation premiums may increase if the agency experiences additional resolution costs;</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further government intervention in the U.S. financial system; and</w:t>
      </w:r>
    </w:p>
    <w:p>
      <w:pPr>
        <w:spacing w:after="0" w:line="178" w:lineRule="exact"/>
        <w:rPr>
          <w:rFonts w:ascii="Arial" w:cs="Arial" w:eastAsia="Arial" w:hAnsi="Arial"/>
          <w:sz w:val="14"/>
          <w:szCs w:val="14"/>
          <w:color w:val="auto"/>
        </w:rPr>
      </w:pPr>
    </w:p>
    <w:p>
      <w:pPr>
        <w:ind w:left="260" w:hanging="260"/>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disasters and adverse weather, acts of terrorism, an outbreak of hostilities or other international or domestic calamities, and other matters beyond our control.</w:t>
      </w:r>
    </w:p>
    <w:p>
      <w:pPr>
        <w:spacing w:after="0" w:line="200" w:lineRule="exact"/>
        <w:rPr>
          <w:sz w:val="20"/>
          <w:szCs w:val="20"/>
          <w:color w:val="auto"/>
        </w:rPr>
      </w:pPr>
    </w:p>
    <w:p>
      <w:pPr>
        <w:spacing w:after="0" w:line="286"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020"/>
          </w:cols>
          <w:pgMar w:left="560" w:top="309" w:right="319" w:bottom="1440" w:gutter="0" w:footer="0" w:header="0"/>
        </w:sectPr>
      </w:pPr>
    </w:p>
    <w:bookmarkStart w:id="43" w:name="page44"/>
    <w:bookmarkEnd w:id="43"/>
    <w:p>
      <w:pPr>
        <w:jc w:val="both"/>
        <w:ind w:firstLine="255"/>
        <w:spacing w:after="0" w:line="255" w:lineRule="auto"/>
        <w:rPr>
          <w:sz w:val="20"/>
          <w:szCs w:val="20"/>
          <w:color w:val="auto"/>
        </w:rPr>
      </w:pPr>
      <w:r>
        <w:rPr>
          <w:rFonts w:ascii="Arial" w:cs="Arial" w:eastAsia="Arial" w:hAnsi="Arial"/>
          <w:sz w:val="14"/>
          <w:szCs w:val="14"/>
          <w:color w:val="auto"/>
        </w:rPr>
        <w:t>As you read and consider forward -looking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2019 in addition to Part II, Item 1A - Risk Factors of this Quarterly Report on Form 10-Q and other reports as filed with the SEC.</w:t>
      </w:r>
    </w:p>
    <w:p>
      <w:pPr>
        <w:spacing w:after="0" w:line="161"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9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16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5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Commercial Banking division accounts for the majority of the Bank’s total assets. Our commercial bankers provide high quality service, customized solutions and tailored advice to commercial clients in our operating markets.</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51" w:lineRule="exact"/>
        <w:rPr>
          <w:sz w:val="20"/>
          <w:szCs w:val="20"/>
          <w:color w:val="auto"/>
        </w:rPr>
      </w:pPr>
    </w:p>
    <w:p>
      <w:pPr>
        <w:jc w:val="both"/>
        <w:ind w:firstLine="255"/>
        <w:spacing w:after="0" w:line="248" w:lineRule="auto"/>
        <w:rPr>
          <w:sz w:val="20"/>
          <w:szCs w:val="20"/>
          <w:color w:val="auto"/>
        </w:rPr>
      </w:pPr>
      <w:r>
        <w:rPr>
          <w:rFonts w:ascii="Arial" w:cs="Arial" w:eastAsia="Arial" w:hAnsi="Arial"/>
          <w:sz w:val="14"/>
          <w:szCs w:val="14"/>
          <w:color w:val="auto"/>
        </w:rPr>
        <w:t>Our OpenSky</w:t>
      </w:r>
      <w:r>
        <w:rPr>
          <w:rFonts w:ascii="Arial" w:cs="Arial" w:eastAsia="Arial" w:hAnsi="Arial"/>
          <w:sz w:val="16"/>
          <w:szCs w:val="16"/>
          <w:color w:val="auto"/>
          <w:vertAlign w:val="superscript"/>
        </w:rPr>
        <w:t>®</w:t>
      </w:r>
      <w:r>
        <w:rPr>
          <w:rFonts w:ascii="Arial" w:cs="Arial" w:eastAsia="Arial" w:hAnsi="Arial"/>
          <w:sz w:val="14"/>
          <w:szCs w:val="14"/>
          <w:color w:val="auto"/>
        </w:rPr>
        <w:t xml:space="preserve"> division provides secured credit cards on a nationwide basis to under-banked populations and those looking to rebuild their credit scores. OpenSky</w:t>
      </w:r>
      <w:r>
        <w:rPr>
          <w:rFonts w:ascii="Arial" w:cs="Arial" w:eastAsia="Arial" w:hAnsi="Arial"/>
          <w:sz w:val="16"/>
          <w:szCs w:val="16"/>
          <w:color w:val="auto"/>
          <w:vertAlign w:val="superscript"/>
        </w:rPr>
        <w:t>®</w:t>
      </w:r>
      <w:r>
        <w:rPr>
          <w:rFonts w:ascii="Arial" w:cs="Arial" w:eastAsia="Arial" w:hAnsi="Arial"/>
          <w:sz w:val="14"/>
          <w:szCs w:val="14"/>
          <w:color w:val="auto"/>
        </w:rPr>
        <w:t xml:space="preserve"> cards operate on a fully digital and mobile enabled platform with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the Bank has recently begun to offer certain existing customers an unsecured line in excess of their secured line of credit.</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309" w:right="319" w:bottom="1440" w:gutter="0" w:footer="0" w:header="0"/>
        </w:sectPr>
      </w:pPr>
    </w:p>
    <w:bookmarkStart w:id="44" w:name="page45"/>
    <w:bookmarkEnd w:id="44"/>
    <w:p>
      <w:pPr>
        <w:ind w:left="260"/>
        <w:spacing w:after="0"/>
        <w:rPr>
          <w:sz w:val="20"/>
          <w:szCs w:val="20"/>
          <w:color w:val="auto"/>
        </w:rPr>
      </w:pPr>
      <w:r>
        <w:rPr>
          <w:rFonts w:ascii="Arial" w:cs="Arial" w:eastAsia="Arial" w:hAnsi="Arial"/>
          <w:sz w:val="14"/>
          <w:szCs w:val="14"/>
          <w:b w:val="1"/>
          <w:bCs w:val="1"/>
          <w:u w:val="single" w:color="auto"/>
          <w:color w:val="auto"/>
        </w:rPr>
        <w:t>COVID-19 Pandemic</w:t>
      </w:r>
    </w:p>
    <w:p>
      <w:pPr>
        <w:spacing w:after="0" w:line="19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recent outbreak of COVID-19, which was declared a pandemic by the World Health Organization on March 11, 2020, has led to adverse impacts on economic conditions and created uncertainty in financial markets. Correspondingly, in early March 2020, the Company began preparing for potential disruptions and government limitations of activity in the markets in which we serve. Our team activated our Business Continuity Program and was able to quickly execute on multiple initiatives to adjust our operations to protect the health and safety of our employees and clients. Currently, we have approximately 94%% of our workforce, working remotely without impacting our productivity while continuing to provide a superior level of customer service. Since the beginning of the crisis, we have been in close contact with our clients, assessing the level of impact on their businesses, and providing relief programs according to each client’s specific situation and qualifications. We have also enhanced awareness of digital banking offerings, expanded services at our drive thru locations, and allowed customers to make appointments in the branch for critical services. The Company’s branches remain open and have taken steps to comply with various government directives regarding “social distancing,” as well as enhanced cleaning and disinfecting of all surface areas to protect its clients and employees.</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291" w:right="319" w:bottom="1440" w:gutter="0" w:footer="0" w:header="0"/>
        </w:sectPr>
      </w:pPr>
    </w:p>
    <w:bookmarkStart w:id="45" w:name="page46"/>
    <w:bookmarkEnd w:id="45"/>
    <w:p>
      <w:pPr>
        <w:ind w:left="260"/>
        <w:spacing w:after="0"/>
        <w:rPr>
          <w:sz w:val="20"/>
          <w:szCs w:val="20"/>
          <w:color w:val="auto"/>
        </w:rPr>
      </w:pPr>
      <w:r>
        <w:rPr>
          <w:rFonts w:ascii="Arial" w:cs="Arial" w:eastAsia="Arial" w:hAnsi="Arial"/>
          <w:sz w:val="14"/>
          <w:szCs w:val="14"/>
          <w:u w:val="single" w:color="auto"/>
          <w:color w:val="auto"/>
        </w:rPr>
        <w:t>Small Business Administration’s Paycheck Protection Program</w:t>
      </w:r>
    </w:p>
    <w:p>
      <w:pPr>
        <w:spacing w:after="0" w:line="179"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were able to quickly establish our process for participating in the Small Business Administration’s Paycheck Protection Program (“PPP”) that enabled our clients to utilize this valuable resource beginning in April 2020. Loans under the PPP are designed to provide assistance for small businesses during the COVID-19 pandemic to help meet the costs associated with payroll, mortgage interest, rent and utilities. These loans are guaranteed by the SBA and forgiveness of the loan, by the SBA, is granted to the borrower if the borrower uses at least 75% of the funds to cover payroll costs and benefits. Forgiveness is also based on the small business maintaining or quickly rehiring their employees and maintaining salary levels for their employees. Loans under the PPP do not require any collateral or personal guarantees, as such, these loans are typically included in the commercial loans segment below. Through April 30, 2020, our team has been able to process over 1,110 PPP loans for approximately $246.0 million in the first and second round of the program, which has allowed us to further strengthen and deepen our client relationships, while positively impacting thousands of individuals. We are also closely monitoring the credit quality of the loan portfolio and monitor line of credit draws for deviation from normal activity to improve loan performance and reduce credit risk.</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Short-term Modifications for Borrowers</w:t>
      </w:r>
    </w:p>
    <w:p>
      <w:pPr>
        <w:spacing w:after="0" w:line="179"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keeping with regulatory guidance to work with borrowers during this unprecedented situation and as outlined in Section 4013 of the Coronavirus Aid, Relief, and Economic Security Act (“CARES Act”), the Company is providing modifications where appropriate, including potential interest only payments or payment deferrals for clients that are adversely affected by the COVID-19 pandemic. Section 4013 of the CARES Act also addressed COVID-19 related modifications and specified that such modifications made on loans that were current as of December 31, 2019 are not TDRs. In accordance with interagency guidance issued in April2020,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As of March 31, 2020, we deferred payments of principal and/or interest on a short-term basis for 9 commercial and consumer loans with an aggregate balance of $10.2 million. Through April 30, 2020, we granted additional payment deferrals for commercial and consumer loans with aggregate balances of $107.3 million.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Liquidity</w:t>
      </w:r>
    </w:p>
    <w:p>
      <w:pPr>
        <w:spacing w:after="0" w:line="179"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We are vigilantly monitoring our liquidity position on an ongoing basis as the circumstances surrounding the pandemic continue to evolve. The Company has several available sources of on and off-balance sheet liquidity. Currently, the Company has not needed to tap into these available liquidity sources due to payment deferrals by customers, funding of</w:t>
      </w:r>
    </w:p>
    <w:p>
      <w:pPr>
        <w:ind w:firstLine="5"/>
        <w:spacing w:after="0" w:line="266" w:lineRule="auto"/>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loans, or organic loan growth. The potential for increased reliance on available liquidity sources may be required based on the effects of the pandemic and their impact on the level of deposits and other factors. Additional discussion on our liquidity as of the report date is reflected in the “Liquidity” section of management’s discussion and analysis.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Capital</w:t>
      </w:r>
    </w:p>
    <w:p>
      <w:pPr>
        <w:spacing w:after="0" w:line="17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As of March 31, 2020,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Additionally, through April 30, 2020, the Bank’s capital ratios continued to exceed the regulatory minimums for well-capitalized institutions. We are closely monitoring our capital position and are taking appropriate steps to ensure our level of capital remains strong. Our capital, while significant, may deteriorate in future periods due to the impact of the pandemic and limit our ability to pay dividends.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30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Income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principal components of net income for the periods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99"/>
        </w:trPr>
        <w:tc>
          <w:tcPr>
            <w:tcW w:w="63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 Change</w:t>
            </w:r>
          </w:p>
        </w:tc>
      </w:tr>
      <w:tr>
        <w:trPr>
          <w:trHeight w:val="202"/>
        </w:trPr>
        <w:tc>
          <w:tcPr>
            <w:tcW w:w="634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1"/>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940" w:type="dxa"/>
            <w:vAlign w:val="bottom"/>
            <w:shd w:val="clear" w:color="auto" w:fill="CCEEFF"/>
          </w:tcPr>
          <w:p>
            <w:pPr>
              <w:jc w:val="right"/>
              <w:ind w:right="779"/>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21,744</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18.7 %</w:t>
            </w:r>
          </w:p>
        </w:tc>
      </w:tr>
      <w:tr>
        <w:trPr>
          <w:trHeight w:val="20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4,057</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3,574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13.5 %</w:t>
            </w:r>
          </w:p>
        </w:tc>
      </w:tr>
      <w:tr>
        <w:trPr>
          <w:trHeight w:val="200"/>
        </w:trPr>
        <w:tc>
          <w:tcPr>
            <w:tcW w:w="63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Net interest income</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17,687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20.0 %</w:t>
            </w:r>
          </w:p>
        </w:tc>
      </w:tr>
      <w:tr>
        <w:trPr>
          <w:trHeight w:val="20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loan losses</w:t>
            </w: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2,409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1,890.9 %</w:t>
            </w:r>
          </w:p>
        </w:tc>
      </w:tr>
      <w:tr>
        <w:trPr>
          <w:trHeight w:val="200"/>
        </w:trPr>
        <w:tc>
          <w:tcPr>
            <w:tcW w:w="634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Net interest income after provision</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15,278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4.5 %</w:t>
            </w:r>
          </w:p>
        </w:tc>
      </w:tr>
      <w:tr>
        <w:trPr>
          <w:trHeight w:val="205"/>
        </w:trPr>
        <w:tc>
          <w:tcPr>
            <w:tcW w:w="6340" w:type="dxa"/>
            <w:vAlign w:val="bottom"/>
          </w:tcPr>
          <w:p>
            <w:pPr>
              <w:ind w:left="20"/>
              <w:spacing w:after="0"/>
              <w:rPr>
                <w:sz w:val="20"/>
                <w:szCs w:val="20"/>
                <w:color w:val="auto"/>
              </w:rPr>
            </w:pPr>
            <w:r>
              <w:rPr>
                <w:rFonts w:ascii="Arial" w:cs="Arial" w:eastAsia="Arial" w:hAnsi="Arial"/>
                <w:sz w:val="13"/>
                <w:szCs w:val="13"/>
                <w:color w:val="auto"/>
              </w:rPr>
              <w:t>Noninterest income</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6,579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4,092</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60.8 %</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expenses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17,843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14,330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24.5 %</w:t>
            </w:r>
          </w:p>
        </w:tc>
      </w:tr>
      <w:tr>
        <w:trPr>
          <w:trHeight w:val="192"/>
        </w:trPr>
        <w:tc>
          <w:tcPr>
            <w:tcW w:w="6340" w:type="dxa"/>
            <w:vAlign w:val="bottom"/>
          </w:tcPr>
          <w:p>
            <w:pPr>
              <w:ind w:left="220"/>
              <w:spacing w:after="0"/>
              <w:rPr>
                <w:sz w:val="20"/>
                <w:szCs w:val="20"/>
                <w:color w:val="auto"/>
              </w:rPr>
            </w:pPr>
            <w:r>
              <w:rPr>
                <w:rFonts w:ascii="Arial" w:cs="Arial" w:eastAsia="Arial" w:hAnsi="Arial"/>
                <w:sz w:val="13"/>
                <w:szCs w:val="13"/>
                <w:b w:val="1"/>
                <w:bCs w:val="1"/>
                <w:color w:val="auto"/>
              </w:rPr>
              <w:t>Net income before income taxes</w:t>
            </w: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4,014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4,385</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(8.5)%</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1.3 %</w:t>
            </w:r>
          </w:p>
        </w:tc>
      </w:tr>
      <w:tr>
        <w:trPr>
          <w:trHeight w:val="187"/>
        </w:trPr>
        <w:tc>
          <w:tcPr>
            <w:tcW w:w="6340" w:type="dxa"/>
            <w:vAlign w:val="bottom"/>
          </w:tcPr>
          <w:p>
            <w:pPr>
              <w:ind w:left="220"/>
              <w:spacing w:after="0"/>
              <w:rPr>
                <w:sz w:val="20"/>
                <w:szCs w:val="20"/>
                <w:color w:val="auto"/>
              </w:rPr>
            </w:pPr>
            <w:r>
              <w:rPr>
                <w:rFonts w:ascii="Arial" w:cs="Arial" w:eastAsia="Arial" w:hAnsi="Arial"/>
                <w:sz w:val="13"/>
                <w:szCs w:val="13"/>
                <w:b w:val="1"/>
                <w:bCs w:val="1"/>
                <w:color w:val="auto"/>
              </w:rPr>
              <w:t>Net income</w:t>
            </w:r>
          </w:p>
        </w:tc>
        <w:tc>
          <w:tcPr>
            <w:tcW w:w="940" w:type="dxa"/>
            <w:vAlign w:val="bottom"/>
          </w:tcPr>
          <w:p>
            <w:pPr>
              <w:jc w:val="right"/>
              <w:ind w:right="779"/>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2,934</w:t>
            </w:r>
          </w:p>
        </w:tc>
        <w:tc>
          <w:tcPr>
            <w:tcW w:w="5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3,319</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(11.6)%</w:t>
            </w:r>
          </w:p>
        </w:tc>
      </w:tr>
      <w:tr>
        <w:trPr>
          <w:trHeight w:val="20"/>
        </w:trPr>
        <w:tc>
          <w:tcPr>
            <w:tcW w:w="6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Net income for the three months ended March 31, 2020 decreased 11.6 percent to $2.9 million from $3.3 million for the first quarter of 2019. The decrease was primarily the result of an increase in the loan loss provision of $2.4 million in the current quarter, $2.2 million of which was the result of macro-economic deterioration from the COVID-19 worldwide pandemic.</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Interest Income and Net Margin Analysis</w:t>
      </w:r>
    </w:p>
    <w:p>
      <w:pPr>
        <w:spacing w:after="0" w:line="19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analyze our ability to generate income from interest earning assets and control the interest expenses of our liabilities, measured as net interest income, through our net interest margin and net interest spread. Net interest income is the difference between the interest and fees earned on interest earning assets, such as loans and securities, and the interest expense incurred in connection with 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16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Changes in market interest rates and the interest rates we earn on interest earning assets or pay on interest bearing liabilities, as well as in the volume and types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16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costs are calculated by dividing income or expense by the average daily balances of the corresponding assets or liabilities for the same period.</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291"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760" w:type="dxa"/>
            <w:vAlign w:val="bottom"/>
            <w:gridSpan w:val="10"/>
          </w:tcPr>
          <w:p>
            <w:pPr>
              <w:jc w:val="right"/>
              <w:ind w:right="120"/>
              <w:spacing w:after="0"/>
              <w:rPr>
                <w:sz w:val="20"/>
                <w:szCs w:val="20"/>
                <w:color w:val="auto"/>
              </w:rPr>
            </w:pPr>
            <w:r>
              <w:rPr>
                <w:rFonts w:ascii="Arial" w:cs="Arial" w:eastAsia="Arial" w:hAnsi="Arial"/>
                <w:sz w:val="14"/>
                <w:szCs w:val="14"/>
                <w:b w:val="1"/>
                <w:bCs w:val="1"/>
                <w:color w:val="auto"/>
              </w:rPr>
              <w:t>AVERAGE BALANCE SHEET AND NET INTEREST ANALYSIS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3"/>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1"/>
                <w:szCs w:val="1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Interest Income/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Yield/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1"/>
                <w:szCs w:val="1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Interest Income/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Balance</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Expense</w:t>
            </w:r>
          </w:p>
        </w:tc>
        <w:tc>
          <w:tcPr>
            <w:tcW w:w="10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Rate</w:t>
            </w:r>
            <w:r>
              <w:rPr>
                <w:rFonts w:ascii="Arial" w:cs="Arial" w:eastAsia="Arial" w:hAnsi="Arial"/>
                <w:sz w:val="14"/>
                <w:szCs w:val="14"/>
                <w:b w:val="1"/>
                <w:bCs w:val="1"/>
                <w:color w:val="auto"/>
                <w:w w:val="96"/>
                <w:vertAlign w:val="superscript"/>
              </w:rPr>
              <w:t>(1)</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Balance</w:t>
            </w: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Expense</w:t>
            </w:r>
          </w:p>
        </w:tc>
        <w:tc>
          <w:tcPr>
            <w:tcW w:w="10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Rate</w:t>
            </w:r>
            <w:r>
              <w:rPr>
                <w:rFonts w:ascii="Arial" w:cs="Arial" w:eastAsia="Arial" w:hAnsi="Arial"/>
                <w:sz w:val="14"/>
                <w:szCs w:val="14"/>
                <w:b w:val="1"/>
                <w:bCs w:val="1"/>
                <w:color w:val="auto"/>
                <w:w w:val="96"/>
                <w:vertAlign w:val="superscript"/>
              </w:rPr>
              <w:t>(1)</w:t>
            </w:r>
          </w:p>
        </w:tc>
        <w:tc>
          <w:tcPr>
            <w:tcW w:w="0" w:type="dxa"/>
            <w:vAlign w:val="bottom"/>
          </w:tcPr>
          <w:p>
            <w:pPr>
              <w:spacing w:after="0"/>
              <w:rPr>
                <w:sz w:val="1"/>
                <w:szCs w:val="1"/>
                <w:color w:val="auto"/>
              </w:rPr>
            </w:pPr>
          </w:p>
        </w:tc>
      </w:tr>
      <w:tr>
        <w:trPr>
          <w:trHeight w:val="194"/>
        </w:trPr>
        <w:tc>
          <w:tcPr>
            <w:tcW w:w="304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20"/>
              <w:spacing w:after="0"/>
              <w:rPr>
                <w:sz w:val="20"/>
                <w:szCs w:val="20"/>
                <w:color w:val="auto"/>
              </w:rPr>
            </w:pPr>
            <w:r>
              <w:rPr>
                <w:rFonts w:ascii="Arial" w:cs="Arial" w:eastAsia="Arial" w:hAnsi="Arial"/>
                <w:sz w:val="11"/>
                <w:szCs w:val="11"/>
                <w:color w:val="auto"/>
              </w:rPr>
              <w:t>Interest earning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Interest bearing deposits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96,622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259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w:t>
            </w:r>
          </w:p>
        </w:tc>
        <w:tc>
          <w:tcPr>
            <w:tcW w:w="0" w:type="dxa"/>
            <w:vAlign w:val="bottom"/>
          </w:tcPr>
          <w:p>
            <w:pPr>
              <w:spacing w:after="0"/>
              <w:rPr>
                <w:sz w:val="1"/>
                <w:szCs w:val="1"/>
                <w:color w:val="auto"/>
              </w:rPr>
            </w:pPr>
          </w:p>
        </w:tc>
      </w:tr>
      <w:tr>
        <w:trPr>
          <w:trHeight w:val="208"/>
        </w:trPr>
        <w:tc>
          <w:tcPr>
            <w:tcW w:w="3040" w:type="dxa"/>
            <w:vAlign w:val="bottom"/>
          </w:tcPr>
          <w:p>
            <w:pPr>
              <w:ind w:left="160"/>
              <w:spacing w:after="0"/>
              <w:rPr>
                <w:sz w:val="20"/>
                <w:szCs w:val="20"/>
                <w:color w:val="auto"/>
              </w:rPr>
            </w:pPr>
            <w:r>
              <w:rPr>
                <w:rFonts w:ascii="Arial" w:cs="Arial" w:eastAsia="Arial" w:hAnsi="Arial"/>
                <w:sz w:val="11"/>
                <w:szCs w:val="11"/>
                <w:color w:val="auto"/>
              </w:rPr>
              <w:t>Federal funds sold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b w:val="1"/>
                <w:bCs w:val="1"/>
                <w:color w:val="auto"/>
              </w:rPr>
              <w:t>1,068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Investment securities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60,396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340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46,512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208"/>
        </w:trPr>
        <w:tc>
          <w:tcPr>
            <w:tcW w:w="3040" w:type="dxa"/>
            <w:vAlign w:val="bottom"/>
          </w:tcPr>
          <w:p>
            <w:pPr>
              <w:ind w:left="160"/>
              <w:spacing w:after="0"/>
              <w:rPr>
                <w:sz w:val="20"/>
                <w:szCs w:val="20"/>
                <w:color w:val="auto"/>
              </w:rPr>
            </w:pPr>
            <w:r>
              <w:rPr>
                <w:rFonts w:ascii="Arial" w:cs="Arial" w:eastAsia="Arial" w:hAnsi="Arial"/>
                <w:sz w:val="11"/>
                <w:szCs w:val="11"/>
                <w:color w:val="auto"/>
              </w:rPr>
              <w:t>Restricted investments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b w:val="1"/>
                <w:bCs w:val="1"/>
                <w:color w:val="auto"/>
              </w:rPr>
              <w:t>3,918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67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2,739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Loans held for sale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42,105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366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14,290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351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9.97%</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Loans</w:t>
            </w:r>
            <w:r>
              <w:rPr>
                <w:rFonts w:ascii="Arial" w:cs="Arial" w:eastAsia="Arial" w:hAnsi="Arial"/>
                <w:sz w:val="14"/>
                <w:szCs w:val="14"/>
                <w:color w:val="auto"/>
                <w:vertAlign w:val="superscript"/>
              </w:rPr>
              <w:t>(2)</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1,175,090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20,708</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1"/>
                <w:szCs w:val="11"/>
                <w:b w:val="1"/>
                <w:bCs w:val="1"/>
                <w:color w:val="auto"/>
              </w:rPr>
              <w:t>7.09%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999,500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17,493</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interest earning assets</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1,379,199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21,744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1,095,810</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18,318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Noninterest earning assets</w:t>
            </w:r>
          </w:p>
        </w:tc>
        <w:tc>
          <w:tcPr>
            <w:tcW w:w="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18,099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12,162</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assets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1,397,298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1,107,972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6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20"/>
              <w:spacing w:after="0"/>
              <w:rPr>
                <w:sz w:val="20"/>
                <w:szCs w:val="20"/>
                <w:color w:val="auto"/>
              </w:rPr>
            </w:pPr>
            <w:r>
              <w:rPr>
                <w:rFonts w:ascii="Arial" w:cs="Arial" w:eastAsia="Arial" w:hAnsi="Arial"/>
                <w:sz w:val="11"/>
                <w:szCs w:val="11"/>
                <w:color w:val="auto"/>
              </w:rPr>
              <w:t>Interest bearing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Interest bearing demand accounts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143,875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228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0.64%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78,027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0.41%</w:t>
            </w:r>
          </w:p>
        </w:tc>
        <w:tc>
          <w:tcPr>
            <w:tcW w:w="0" w:type="dxa"/>
            <w:vAlign w:val="bottom"/>
          </w:tcPr>
          <w:p>
            <w:pPr>
              <w:spacing w:after="0"/>
              <w:rPr>
                <w:sz w:val="1"/>
                <w:szCs w:val="1"/>
                <w:color w:val="auto"/>
              </w:rPr>
            </w:pPr>
          </w:p>
        </w:tc>
      </w:tr>
      <w:tr>
        <w:trPr>
          <w:trHeight w:val="208"/>
        </w:trPr>
        <w:tc>
          <w:tcPr>
            <w:tcW w:w="3040" w:type="dxa"/>
            <w:vAlign w:val="bottom"/>
          </w:tcPr>
          <w:p>
            <w:pPr>
              <w:ind w:left="160"/>
              <w:spacing w:after="0"/>
              <w:rPr>
                <w:sz w:val="20"/>
                <w:szCs w:val="20"/>
                <w:color w:val="auto"/>
              </w:rPr>
            </w:pPr>
            <w:r>
              <w:rPr>
                <w:rFonts w:ascii="Arial" w:cs="Arial" w:eastAsia="Arial" w:hAnsi="Arial"/>
                <w:sz w:val="11"/>
                <w:szCs w:val="11"/>
                <w:color w:val="auto"/>
              </w:rPr>
              <w:t>Savings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b w:val="1"/>
                <w:bCs w:val="1"/>
                <w:color w:val="auto"/>
              </w:rPr>
              <w:t>4,409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0.30%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3,341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0.36%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Money market accounts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446,928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1,687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317,007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1,314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0" w:type="dxa"/>
            <w:vAlign w:val="bottom"/>
          </w:tcPr>
          <w:p>
            <w:pPr>
              <w:spacing w:after="0"/>
              <w:rPr>
                <w:sz w:val="1"/>
                <w:szCs w:val="1"/>
                <w:color w:val="auto"/>
              </w:rPr>
            </w:pPr>
          </w:p>
        </w:tc>
      </w:tr>
      <w:tr>
        <w:trPr>
          <w:trHeight w:val="208"/>
        </w:trPr>
        <w:tc>
          <w:tcPr>
            <w:tcW w:w="3040" w:type="dxa"/>
            <w:vAlign w:val="bottom"/>
          </w:tcPr>
          <w:p>
            <w:pPr>
              <w:ind w:left="160"/>
              <w:spacing w:after="0"/>
              <w:rPr>
                <w:sz w:val="20"/>
                <w:szCs w:val="20"/>
                <w:color w:val="auto"/>
              </w:rPr>
            </w:pPr>
            <w:r>
              <w:rPr>
                <w:rFonts w:ascii="Arial" w:cs="Arial" w:eastAsia="Arial" w:hAnsi="Arial"/>
                <w:sz w:val="11"/>
                <w:szCs w:val="11"/>
                <w:color w:val="auto"/>
              </w:rPr>
              <w:t>Time deposits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b w:val="1"/>
                <w:bCs w:val="1"/>
                <w:color w:val="auto"/>
              </w:rPr>
              <w:t>304,053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1,695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320,446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1,848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Borrowed funds</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45,757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444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25,918</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331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Total interest bearing liabilities</w:t>
            </w: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ind w:right="63"/>
              <w:spacing w:after="0"/>
              <w:rPr>
                <w:sz w:val="20"/>
                <w:szCs w:val="20"/>
                <w:color w:val="auto"/>
              </w:rPr>
            </w:pPr>
            <w:r>
              <w:rPr>
                <w:rFonts w:ascii="Arial" w:cs="Arial" w:eastAsia="Arial" w:hAnsi="Arial"/>
                <w:sz w:val="11"/>
                <w:szCs w:val="11"/>
                <w:b w:val="1"/>
                <w:bCs w:val="1"/>
                <w:color w:val="auto"/>
              </w:rPr>
              <w:t>945,022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4,057</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1"/>
                <w:szCs w:val="11"/>
                <w:b w:val="1"/>
                <w:bCs w:val="1"/>
                <w:color w:val="auto"/>
              </w:rPr>
              <w:t>1.73%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744,739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3,574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1.95%</w:t>
            </w:r>
          </w:p>
        </w:tc>
        <w:tc>
          <w:tcPr>
            <w:tcW w:w="0" w:type="dxa"/>
            <w:vAlign w:val="bottom"/>
          </w:tcPr>
          <w:p>
            <w:pPr>
              <w:spacing w:after="0"/>
              <w:rPr>
                <w:sz w:val="1"/>
                <w:szCs w:val="1"/>
                <w:color w:val="auto"/>
              </w:rPr>
            </w:pPr>
          </w:p>
        </w:tc>
      </w:tr>
      <w:tr>
        <w:trPr>
          <w:trHeight w:val="207"/>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Noninterest bearing liabilities: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160"/>
              <w:spacing w:after="0"/>
              <w:rPr>
                <w:sz w:val="20"/>
                <w:szCs w:val="20"/>
                <w:color w:val="auto"/>
              </w:rPr>
            </w:pPr>
            <w:r>
              <w:rPr>
                <w:rFonts w:ascii="Arial" w:cs="Arial" w:eastAsia="Arial" w:hAnsi="Arial"/>
                <w:sz w:val="11"/>
                <w:szCs w:val="11"/>
                <w:color w:val="auto"/>
              </w:rPr>
              <w:t>Noninterest bearing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b w:val="1"/>
                <w:bCs w:val="1"/>
                <w:color w:val="auto"/>
              </w:rPr>
              <w:t>19,835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11,689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Noninterest bearing deposits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295,060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233,379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4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Stockholders’ equity</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137,381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118,165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liabilities and stockholders’ equity</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1,397,298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1,107,972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interest spread</w:t>
            </w:r>
            <w:r>
              <w:rPr>
                <w:rFonts w:ascii="Arial" w:cs="Arial" w:eastAsia="Arial" w:hAnsi="Arial"/>
                <w:sz w:val="14"/>
                <w:szCs w:val="14"/>
                <w:color w:val="auto"/>
                <w:vertAlign w:val="superscript"/>
              </w:rPr>
              <w:t>(3)</w:t>
            </w: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1"/>
                <w:szCs w:val="11"/>
                <w:color w:val="auto"/>
              </w:rPr>
              <w:t>Net interest income</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17,687</w:t>
            </w: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vMerge w:val="restart"/>
          </w:tcPr>
          <w:p>
            <w:pPr>
              <w:jc w:val="right"/>
              <w:ind w:right="43"/>
              <w:spacing w:after="0"/>
              <w:rPr>
                <w:sz w:val="20"/>
                <w:szCs w:val="20"/>
                <w:color w:val="auto"/>
              </w:rPr>
            </w:pPr>
            <w:r>
              <w:rPr>
                <w:rFonts w:ascii="Arial" w:cs="Arial" w:eastAsia="Arial" w:hAnsi="Arial"/>
                <w:sz w:val="11"/>
                <w:szCs w:val="11"/>
                <w:color w:val="auto"/>
              </w:rPr>
              <w:t>14,744</w:t>
            </w: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40" w:type="dxa"/>
            <w:vAlign w:val="bottom"/>
            <w:tcBorders>
              <w:bottom w:val="single" w:sz="8" w:color="CCEEFF"/>
            </w:tcBorders>
            <w:vMerge w:val="continue"/>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interest margin</w:t>
            </w:r>
            <w:r>
              <w:rPr>
                <w:rFonts w:ascii="Arial" w:cs="Arial" w:eastAsia="Arial" w:hAnsi="Arial"/>
                <w:sz w:val="14"/>
                <w:szCs w:val="14"/>
                <w:color w:val="auto"/>
                <w:vertAlign w:val="superscript"/>
              </w:rPr>
              <w:t>(4)</w:t>
            </w:r>
          </w:p>
        </w:tc>
        <w:tc>
          <w:tcPr>
            <w:tcW w:w="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5.16%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40" w:type="dxa"/>
            <w:vAlign w:val="bottom"/>
            <w:vMerge w:val="restart"/>
          </w:tcPr>
          <w:p>
            <w:pPr>
              <w:ind w:left="20"/>
              <w:spacing w:after="0"/>
              <w:rPr>
                <w:sz w:val="20"/>
                <w:szCs w:val="20"/>
                <w:color w:val="auto"/>
              </w:rPr>
            </w:pPr>
            <w:r>
              <w:rPr>
                <w:rFonts w:ascii="Arial" w:cs="Arial" w:eastAsia="Arial" w:hAnsi="Arial"/>
                <w:sz w:val="11"/>
                <w:szCs w:val="11"/>
                <w:color w:val="auto"/>
              </w:rPr>
              <w:t>Net interest margin excluding credit card portfolio</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3.96%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4.30%</w:t>
            </w:r>
          </w:p>
        </w:tc>
        <w:tc>
          <w:tcPr>
            <w:tcW w:w="0" w:type="dxa"/>
            <w:vAlign w:val="bottom"/>
          </w:tcPr>
          <w:p>
            <w:pPr>
              <w:spacing w:after="0"/>
              <w:rPr>
                <w:sz w:val="1"/>
                <w:szCs w:val="1"/>
                <w:color w:val="auto"/>
              </w:rPr>
            </w:pPr>
          </w:p>
        </w:tc>
      </w:tr>
      <w:tr>
        <w:trPr>
          <w:trHeight w:val="53"/>
        </w:trPr>
        <w:tc>
          <w:tcPr>
            <w:tcW w:w="30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-635</wp:posOffset>
            </wp:positionV>
            <wp:extent cx="65341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3415" cy="698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12065</wp:posOffset>
            </wp:positionV>
            <wp:extent cx="65341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3415" cy="6985"/>
                    </a:xfrm>
                    <a:prstGeom prst="rect">
                      <a:avLst/>
                    </a:prstGeom>
                    <a:noFill/>
                  </pic:spPr>
                </pic:pic>
              </a:graphicData>
            </a:graphic>
          </wp:anchor>
        </w:drawing>
        <w:drawing>
          <wp:anchor simplePos="0" relativeHeight="251657728" behindDoc="1" locked="0" layoutInCell="0" allowOverlap="1">
            <wp:simplePos x="0" y="0"/>
            <wp:positionH relativeFrom="column">
              <wp:posOffset>4099560</wp:posOffset>
            </wp:positionH>
            <wp:positionV relativeFrom="paragraph">
              <wp:posOffset>-635</wp:posOffset>
            </wp:positionV>
            <wp:extent cx="65341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3415" cy="6985"/>
                    </a:xfrm>
                    <a:prstGeom prst="rect">
                      <a:avLst/>
                    </a:prstGeom>
                    <a:noFill/>
                  </pic:spPr>
                </pic:pic>
              </a:graphicData>
            </a:graphic>
          </wp:anchor>
        </w:drawing>
        <w:drawing>
          <wp:anchor simplePos="0" relativeHeight="251657728" behindDoc="1" locked="0" layoutInCell="0" allowOverlap="1">
            <wp:simplePos x="0" y="0"/>
            <wp:positionH relativeFrom="column">
              <wp:posOffset>4099560</wp:posOffset>
            </wp:positionH>
            <wp:positionV relativeFrom="paragraph">
              <wp:posOffset>12065</wp:posOffset>
            </wp:positionV>
            <wp:extent cx="65341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3415" cy="698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260" w:hanging="255"/>
        <w:spacing w:after="0" w:line="209" w:lineRule="auto"/>
        <w:tabs>
          <w:tab w:leader="none" w:pos="26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260" w:hanging="255"/>
        <w:spacing w:after="0" w:line="189" w:lineRule="auto"/>
        <w:tabs>
          <w:tab w:leader="none" w:pos="26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Includes nonaccrual loans.</w:t>
      </w:r>
    </w:p>
    <w:p>
      <w:pPr>
        <w:ind w:left="260" w:hanging="255"/>
        <w:spacing w:after="0" w:line="189" w:lineRule="auto"/>
        <w:tabs>
          <w:tab w:leader="none" w:pos="26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Net interest spread is the difference between interest rates earned on interest earning assets and interest rates paid on interest bearing liabilities.</w:t>
      </w:r>
    </w:p>
    <w:p>
      <w:pPr>
        <w:ind w:left="260" w:hanging="255"/>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11"/>
          <w:szCs w:val="11"/>
          <w:color w:val="auto"/>
        </w:rPr>
        <w:t>Net interest margin is a ratio calculated as annualized net interest income divided by average interest earning assets for the same period.</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291" w:right="319" w:bottom="1440" w:gutter="0" w:footer="0" w:header="0"/>
        </w:sectPr>
      </w:pPr>
    </w:p>
    <w:bookmarkStart w:id="48" w:name="page49"/>
    <w:bookmarkEnd w:id="48"/>
    <w:p>
      <w:pPr>
        <w:jc w:val="both"/>
        <w:ind w:firstLine="255"/>
        <w:spacing w:after="0" w:line="259" w:lineRule="auto"/>
        <w:rPr>
          <w:sz w:val="20"/>
          <w:szCs w:val="20"/>
          <w:color w:val="auto"/>
        </w:rPr>
      </w:pPr>
      <w:r>
        <w:rPr>
          <w:rFonts w:ascii="Arial" w:cs="Arial" w:eastAsia="Arial" w:hAnsi="Arial"/>
          <w:sz w:val="14"/>
          <w:szCs w:val="14"/>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 changes attributable to changes in interest rates. For purposes of this table, changes attributable to both rate and volume that cannot be segregated have been proportionately allocated to both volume and rate.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ANALYSIS OF CHANGES IN NET INTEREST INCOME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00" w:type="dxa"/>
            <w:vAlign w:val="bottom"/>
            <w:gridSpan w:val="6"/>
          </w:tcPr>
          <w:p>
            <w:pPr>
              <w:jc w:val="center"/>
              <w:ind w:right="63"/>
              <w:spacing w:after="0"/>
              <w:rPr>
                <w:sz w:val="20"/>
                <w:szCs w:val="20"/>
                <w:color w:val="auto"/>
              </w:rPr>
            </w:pPr>
            <w:r>
              <w:rPr>
                <w:rFonts w:ascii="Arial" w:cs="Arial" w:eastAsia="Arial" w:hAnsi="Arial"/>
                <w:sz w:val="11"/>
                <w:szCs w:val="11"/>
                <w:b w:val="1"/>
                <w:bCs w:val="1"/>
                <w:color w:val="auto"/>
              </w:rPr>
              <w:t>Three Months Ended March 31, 2020</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263"/>
              <w:spacing w:after="0"/>
              <w:rPr>
                <w:sz w:val="20"/>
                <w:szCs w:val="20"/>
                <w:color w:val="auto"/>
              </w:rPr>
            </w:pPr>
            <w:r>
              <w:rPr>
                <w:rFonts w:ascii="Arial" w:cs="Arial" w:eastAsia="Arial" w:hAnsi="Arial"/>
                <w:sz w:val="11"/>
                <w:szCs w:val="11"/>
                <w:b w:val="1"/>
                <w:bCs w:val="1"/>
                <w:color w:val="auto"/>
              </w:rPr>
              <w:t>Compared to the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6"/>
          </w:tcPr>
          <w:p>
            <w:pPr>
              <w:jc w:val="center"/>
              <w:ind w:right="63"/>
              <w:spacing w:after="0"/>
              <w:rPr>
                <w:sz w:val="20"/>
                <w:szCs w:val="20"/>
                <w:color w:val="auto"/>
              </w:rPr>
            </w:pPr>
            <w:r>
              <w:rPr>
                <w:rFonts w:ascii="Arial" w:cs="Arial" w:eastAsia="Arial" w:hAnsi="Arial"/>
                <w:sz w:val="11"/>
                <w:szCs w:val="11"/>
                <w:b w:val="1"/>
                <w:bCs w:val="1"/>
                <w:color w:val="auto"/>
              </w:rPr>
              <w:t>Three Months Ended March 31, 2019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63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gridSpan w:val="4"/>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gridSpan w:val="4"/>
          </w:tcPr>
          <w:p>
            <w:pPr>
              <w:jc w:val="right"/>
              <w:ind w:right="823"/>
              <w:spacing w:after="0"/>
              <w:rPr>
                <w:sz w:val="20"/>
                <w:szCs w:val="20"/>
                <w:color w:val="auto"/>
              </w:rPr>
            </w:pPr>
            <w:r>
              <w:rPr>
                <w:rFonts w:ascii="Arial" w:cs="Arial" w:eastAsia="Arial" w:hAnsi="Arial"/>
                <w:sz w:val="11"/>
                <w:szCs w:val="11"/>
                <w:b w:val="1"/>
                <w:bCs w:val="1"/>
                <w:color w:val="auto"/>
              </w:rPr>
              <w:t>Change Due To</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63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6300" w:type="dxa"/>
            <w:vAlign w:val="bottom"/>
            <w:vMerge w:val="restart"/>
          </w:tcPr>
          <w:p>
            <w:pPr>
              <w:ind w:left="20"/>
              <w:spacing w:after="0"/>
              <w:rPr>
                <w:sz w:val="20"/>
                <w:szCs w:val="20"/>
                <w:color w:val="auto"/>
              </w:rPr>
            </w:pPr>
            <w:r>
              <w:rPr>
                <w:rFonts w:ascii="Arial" w:cs="Arial" w:eastAsia="Arial" w:hAnsi="Arial"/>
                <w:sz w:val="8"/>
                <w:szCs w:val="8"/>
                <w:i w:val="1"/>
                <w:iCs w:val="1"/>
                <w:color w:val="auto"/>
              </w:rPr>
              <w:t>(in thousands)</w:t>
            </w:r>
          </w:p>
        </w:tc>
        <w:tc>
          <w:tcPr>
            <w:tcW w:w="1100" w:type="dxa"/>
            <w:vAlign w:val="bottom"/>
          </w:tcPr>
          <w:p>
            <w:pPr>
              <w:jc w:val="right"/>
              <w:ind w:right="43"/>
              <w:spacing w:after="0"/>
              <w:rPr>
                <w:sz w:val="20"/>
                <w:szCs w:val="20"/>
                <w:color w:val="auto"/>
              </w:rPr>
            </w:pPr>
            <w:r>
              <w:rPr>
                <w:rFonts w:ascii="Arial" w:cs="Arial" w:eastAsia="Arial" w:hAnsi="Arial"/>
                <w:sz w:val="11"/>
                <w:szCs w:val="11"/>
                <w:b w:val="1"/>
                <w:bCs w:val="1"/>
                <w:color w:val="auto"/>
              </w:rPr>
              <w:t>Volume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83"/>
              <w:spacing w:after="0"/>
              <w:rPr>
                <w:sz w:val="20"/>
                <w:szCs w:val="20"/>
                <w:color w:val="auto"/>
              </w:rPr>
            </w:pPr>
            <w:r>
              <w:rPr>
                <w:rFonts w:ascii="Arial" w:cs="Arial" w:eastAsia="Arial" w:hAnsi="Arial"/>
                <w:sz w:val="11"/>
                <w:szCs w:val="11"/>
                <w:b w:val="1"/>
                <w:bCs w:val="1"/>
                <w:color w:val="auto"/>
              </w:rPr>
              <w:t>Rate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283"/>
              <w:spacing w:after="0"/>
              <w:rPr>
                <w:sz w:val="20"/>
                <w:szCs w:val="20"/>
                <w:color w:val="auto"/>
              </w:rPr>
            </w:pPr>
            <w:r>
              <w:rPr>
                <w:rFonts w:ascii="Arial" w:cs="Arial" w:eastAsia="Arial" w:hAnsi="Arial"/>
                <w:sz w:val="11"/>
                <w:szCs w:val="11"/>
                <w:b w:val="1"/>
                <w:bCs w:val="1"/>
                <w:color w:val="auto"/>
              </w:rPr>
              <w:t>Interest Variance</w:t>
            </w: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300" w:type="dxa"/>
            <w:vAlign w:val="bottom"/>
          </w:tcPr>
          <w:p>
            <w:pPr>
              <w:ind w:left="20"/>
              <w:spacing w:after="0"/>
              <w:rPr>
                <w:sz w:val="20"/>
                <w:szCs w:val="20"/>
                <w:color w:val="auto"/>
              </w:rPr>
            </w:pPr>
            <w:r>
              <w:rPr>
                <w:rFonts w:ascii="Arial" w:cs="Arial" w:eastAsia="Arial" w:hAnsi="Arial"/>
                <w:sz w:val="11"/>
                <w:szCs w:val="11"/>
                <w:b w:val="1"/>
                <w:bCs w:val="1"/>
                <w:color w:val="auto"/>
              </w:rPr>
              <w:t>Interest Income:</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Interest bearing deposits</w:t>
            </w:r>
          </w:p>
        </w:tc>
        <w:tc>
          <w:tcPr>
            <w:tcW w:w="1100" w:type="dxa"/>
            <w:vAlign w:val="bottom"/>
            <w:shd w:val="clear" w:color="auto" w:fill="CCEEFF"/>
          </w:tcPr>
          <w:p>
            <w:pPr>
              <w:jc w:val="right"/>
              <w:ind w:right="943"/>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440" w:type="dxa"/>
            <w:vAlign w:val="bottom"/>
            <w:gridSpan w:val="3"/>
            <w:shd w:val="clear" w:color="auto" w:fill="CCEEFF"/>
          </w:tcPr>
          <w:p>
            <w:pPr>
              <w:jc w:val="right"/>
              <w:ind w:right="108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208"/>
        </w:trPr>
        <w:tc>
          <w:tcPr>
            <w:tcW w:w="6300" w:type="dxa"/>
            <w:vAlign w:val="bottom"/>
          </w:tcPr>
          <w:p>
            <w:pPr>
              <w:ind w:left="160"/>
              <w:spacing w:after="0"/>
              <w:rPr>
                <w:sz w:val="20"/>
                <w:szCs w:val="20"/>
                <w:color w:val="auto"/>
              </w:rPr>
            </w:pPr>
            <w:r>
              <w:rPr>
                <w:rFonts w:ascii="Arial" w:cs="Arial" w:eastAsia="Arial" w:hAnsi="Arial"/>
                <w:sz w:val="11"/>
                <w:szCs w:val="11"/>
                <w:color w:val="auto"/>
              </w:rPr>
              <w:t>Federal funds sold</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ind w:right="4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Investment securities</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208"/>
        </w:trPr>
        <w:tc>
          <w:tcPr>
            <w:tcW w:w="6300" w:type="dxa"/>
            <w:vAlign w:val="bottom"/>
          </w:tcPr>
          <w:p>
            <w:pPr>
              <w:ind w:left="160"/>
              <w:spacing w:after="0"/>
              <w:rPr>
                <w:sz w:val="20"/>
                <w:szCs w:val="20"/>
                <w:color w:val="auto"/>
              </w:rPr>
            </w:pPr>
            <w:r>
              <w:rPr>
                <w:rFonts w:ascii="Arial" w:cs="Arial" w:eastAsia="Arial" w:hAnsi="Arial"/>
                <w:sz w:val="11"/>
                <w:szCs w:val="11"/>
                <w:color w:val="auto"/>
              </w:rPr>
              <w:t>Restricted stock</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Loans held for sale</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Loans</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3,214</w:t>
            </w:r>
          </w:p>
        </w:tc>
        <w:tc>
          <w:tcPr>
            <w:tcW w:w="0" w:type="dxa"/>
            <w:vAlign w:val="bottom"/>
          </w:tcPr>
          <w:p>
            <w:pPr>
              <w:spacing w:after="0"/>
              <w:rPr>
                <w:sz w:val="1"/>
                <w:szCs w:val="1"/>
                <w:color w:val="auto"/>
              </w:rPr>
            </w:pPr>
          </w:p>
        </w:tc>
      </w:tr>
      <w:tr>
        <w:trPr>
          <w:trHeight w:val="192"/>
        </w:trPr>
        <w:tc>
          <w:tcPr>
            <w:tcW w:w="63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interest income</w:t>
            </w:r>
          </w:p>
        </w:tc>
        <w:tc>
          <w:tcPr>
            <w:tcW w:w="1100" w:type="dxa"/>
            <w:vAlign w:val="bottom"/>
            <w:shd w:val="clear" w:color="auto" w:fill="CCEEFF"/>
          </w:tcPr>
          <w:p>
            <w:pPr>
              <w:jc w:val="right"/>
              <w:ind w:right="943"/>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3,494</w:t>
            </w:r>
          </w:p>
        </w:tc>
        <w:tc>
          <w:tcPr>
            <w:tcW w:w="1440" w:type="dxa"/>
            <w:vAlign w:val="bottom"/>
            <w:gridSpan w:val="3"/>
            <w:shd w:val="clear" w:color="auto" w:fill="CCEEFF"/>
          </w:tcPr>
          <w:p>
            <w:pPr>
              <w:jc w:val="right"/>
              <w:ind w:right="1083"/>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3,426</w:t>
            </w:r>
          </w:p>
        </w:tc>
        <w:tc>
          <w:tcPr>
            <w:tcW w:w="0" w:type="dxa"/>
            <w:vAlign w:val="bottom"/>
          </w:tcPr>
          <w:p>
            <w:pPr>
              <w:spacing w:after="0"/>
              <w:rPr>
                <w:sz w:val="1"/>
                <w:szCs w:val="1"/>
                <w:color w:val="auto"/>
              </w:rPr>
            </w:pPr>
          </w:p>
        </w:tc>
      </w:tr>
      <w:tr>
        <w:trPr>
          <w:trHeight w:val="207"/>
        </w:trPr>
        <w:tc>
          <w:tcPr>
            <w:tcW w:w="6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Interest Expense:</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tcPr>
          <w:p>
            <w:pPr>
              <w:ind w:left="160"/>
              <w:spacing w:after="0"/>
              <w:rPr>
                <w:sz w:val="20"/>
                <w:szCs w:val="20"/>
                <w:color w:val="auto"/>
              </w:rPr>
            </w:pPr>
            <w:r>
              <w:rPr>
                <w:rFonts w:ascii="Arial" w:cs="Arial" w:eastAsia="Arial" w:hAnsi="Arial"/>
                <w:sz w:val="11"/>
                <w:szCs w:val="11"/>
                <w:color w:val="auto"/>
              </w:rPr>
              <w:t>Interest bearing demand accounts</w:t>
            </w:r>
          </w:p>
        </w:tc>
        <w:tc>
          <w:tcPr>
            <w:tcW w:w="1100" w:type="dxa"/>
            <w:vAlign w:val="bottom"/>
          </w:tcPr>
          <w:p>
            <w:pPr>
              <w:jc w:val="right"/>
              <w:ind w:right="943"/>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89</w:t>
            </w:r>
          </w:p>
        </w:tc>
        <w:tc>
          <w:tcPr>
            <w:tcW w:w="1440" w:type="dxa"/>
            <w:vAlign w:val="bottom"/>
            <w:gridSpan w:val="3"/>
          </w:tcPr>
          <w:p>
            <w:pPr>
              <w:jc w:val="right"/>
              <w:ind w:right="1083"/>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43"/>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8"/>
                <w:szCs w:val="18"/>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3"/>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Savings</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8"/>
        </w:trPr>
        <w:tc>
          <w:tcPr>
            <w:tcW w:w="6300" w:type="dxa"/>
            <w:vAlign w:val="bottom"/>
          </w:tcPr>
          <w:p>
            <w:pPr>
              <w:ind w:left="160"/>
              <w:spacing w:after="0"/>
              <w:rPr>
                <w:sz w:val="20"/>
                <w:szCs w:val="20"/>
                <w:color w:val="auto"/>
              </w:rPr>
            </w:pPr>
            <w:r>
              <w:rPr>
                <w:rFonts w:ascii="Arial" w:cs="Arial" w:eastAsia="Arial" w:hAnsi="Arial"/>
                <w:sz w:val="11"/>
                <w:szCs w:val="11"/>
                <w:color w:val="auto"/>
              </w:rPr>
              <w:t>Money market accounts</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ind w:right="3"/>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Time deposits</w:t>
            </w: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(85)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Borrowed funds</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Total interest expense</w:t>
            </w:r>
          </w:p>
        </w:tc>
        <w:tc>
          <w:tcPr>
            <w:tcW w:w="1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661</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82"/>
        </w:trPr>
        <w:tc>
          <w:tcPr>
            <w:tcW w:w="6300" w:type="dxa"/>
            <w:vAlign w:val="bottom"/>
          </w:tcPr>
          <w:p>
            <w:pPr>
              <w:ind w:left="20"/>
              <w:spacing w:after="0"/>
              <w:rPr>
                <w:sz w:val="20"/>
                <w:szCs w:val="20"/>
                <w:color w:val="auto"/>
              </w:rPr>
            </w:pPr>
            <w:r>
              <w:rPr>
                <w:rFonts w:ascii="Arial" w:cs="Arial" w:eastAsia="Arial" w:hAnsi="Arial"/>
                <w:sz w:val="11"/>
                <w:szCs w:val="11"/>
                <w:b w:val="1"/>
                <w:bCs w:val="1"/>
                <w:color w:val="auto"/>
              </w:rPr>
              <w:t>Net interest income</w:t>
            </w:r>
          </w:p>
        </w:tc>
        <w:tc>
          <w:tcPr>
            <w:tcW w:w="1100" w:type="dxa"/>
            <w:vAlign w:val="bottom"/>
          </w:tcPr>
          <w:p>
            <w:pPr>
              <w:jc w:val="right"/>
              <w:ind w:right="943"/>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2,833</w:t>
            </w:r>
          </w:p>
        </w:tc>
        <w:tc>
          <w:tcPr>
            <w:tcW w:w="1440" w:type="dxa"/>
            <w:vAlign w:val="bottom"/>
            <w:gridSpan w:val="3"/>
          </w:tcPr>
          <w:p>
            <w:pPr>
              <w:jc w:val="right"/>
              <w:ind w:right="1083"/>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43"/>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5"/>
                <w:szCs w:val="15"/>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3"/>
              <w:spacing w:after="0"/>
              <w:rPr>
                <w:sz w:val="20"/>
                <w:szCs w:val="20"/>
                <w:color w:val="auto"/>
              </w:rPr>
            </w:pPr>
            <w:r>
              <w:rPr>
                <w:rFonts w:ascii="Arial" w:cs="Arial" w:eastAsia="Arial" w:hAnsi="Arial"/>
                <w:sz w:val="11"/>
                <w:szCs w:val="11"/>
                <w:color w:val="auto"/>
              </w:rPr>
              <w:t>2,943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Net interest income increased by $2.9 million, or 20.0%, for the first quarter 2020 compared to the first quarter of 2019 as average total interest earning assets increased from $1.10 billion to $1.38 billion. The increase in average interest earning assets was driven by an increase in average loan balances of $175.6 million, or 17.6%, from an average of $1.0 billion for the quarter ended March 31, 2019 to $1.2 billion for the quarter ended March 31, 2020. Reflective of the decreasing interest rate environment beginning in the third quarter of 2019, the annualized yield on interest earning assets decreased 44 basis points, from 6.78% for the three months ended March 31, 2019 to 6.34% for the three months ended March 31, 2020.</w:t>
      </w:r>
    </w:p>
    <w:p>
      <w:pPr>
        <w:spacing w:after="0" w:line="160"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Average interest bearing liabilities increased by $200.3 million, or 26.9%, from $744.7 million for the first quarter of 2019 to $945.0 million for the first quarter of 2020. The increase was due to growth of $180.4 million, or 25.1%, in the average balance of interest bearing deposits and an increase in the average balance of borrowed funds of $ 19.8 million, or 77%. The annualized average interest rate paid on interest bearing liabilities decreased 22 basis points to 1.73% for the first quarter of 2020 from 1.95% for the first quarter of 2019. The average annualized interest rate on interest bearing deposits and borrowed funds decreased by 105 basis points and 128 basis points, respectively. The decreases in the annualized average interest rates reflect interest rate decreases in 2019 and 2020.</w:t>
      </w:r>
    </w:p>
    <w:p>
      <w:pPr>
        <w:spacing w:after="0" w:line="16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net interest margin decreased 30 basis points to 5.16% for the three months ended March 31, 2020, from 5.46% for the three months ended March 31, 2019. Excluding credit cards, the Company’s annualized net interest margin was 3.96% for the three months ended March 31, 2020, down 34 basis points from 4.30% for the three months ended March 31, 2019. The year over year net interest margin decrease of 30 basis points was primarily due to the decreasing rate environment. The Company’s net interest spread was 4.61% and 4.83% for the three months ended March 31, 2020 and 2019, respectively.</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30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color w:val="auto"/>
        </w:rPr>
        <w:t>Provision for Loan Losses</w:t>
      </w:r>
    </w:p>
    <w:p>
      <w:pPr>
        <w:spacing w:after="0" w:line="193"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15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provision for loan losses was $2.4 million and $121 thousand for the three months ended March 31, 2020 and 2019, respectively. For the quarter ended March 31, 2020, the COVID-19 pandemic related deterioration in the macro-economic environment resulted in a $2.2 million provision. The current provision also included $189 thousand as a result of loan growth. Our allowance for loan losses as a percent of total loans was 1.31% and 1.14% at March 31, 2020 and December 31, 2019, respectively. Net charge-offs amounted to $196 thousand for the three months ended March 31, 2020, compared to $82 thousand for the three months ended March 31, 2019. The increase in net charge-offs for the quarter was primarily due to increases in charge-offs of $86 thousand and $25 thousand in credit cards and commercial loans,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Noninterest Income</w:t>
      </w:r>
    </w:p>
    <w:p>
      <w:pPr>
        <w:spacing w:after="0" w:line="19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primary sources of recurring noninterest income are service charges on deposit accounts, certain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for the periods indicated, the major categories of noninterest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NONINTEREST INCOME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Three Months Ended March 31,</w:t>
            </w:r>
          </w:p>
        </w:tc>
        <w:tc>
          <w:tcPr>
            <w:tcW w:w="1320" w:type="dxa"/>
            <w:vAlign w:val="bottom"/>
            <w:tcBorders>
              <w:bottom w:val="single" w:sz="8" w:color="auto"/>
            </w:tcBorders>
          </w:tcPr>
          <w:p>
            <w:pPr>
              <w:spacing w:after="0"/>
              <w:rPr>
                <w:sz w:val="15"/>
                <w:szCs w:val="15"/>
                <w:color w:val="auto"/>
              </w:rPr>
            </w:pPr>
          </w:p>
        </w:tc>
      </w:tr>
      <w:tr>
        <w:trPr>
          <w:trHeight w:val="201"/>
        </w:trPr>
        <w:tc>
          <w:tcPr>
            <w:tcW w:w="6320" w:type="dxa"/>
            <w:vAlign w:val="bottom"/>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 Change</w:t>
            </w:r>
          </w:p>
        </w:tc>
      </w:tr>
      <w:tr>
        <w:trPr>
          <w:trHeight w:val="203"/>
        </w:trPr>
        <w:tc>
          <w:tcPr>
            <w:tcW w:w="632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income: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5"/>
        </w:trPr>
        <w:tc>
          <w:tcPr>
            <w:tcW w:w="6320" w:type="dxa"/>
            <w:vAlign w:val="bottom"/>
          </w:tcPr>
          <w:p>
            <w:pPr>
              <w:ind w:left="160"/>
              <w:spacing w:after="0"/>
              <w:rPr>
                <w:sz w:val="20"/>
                <w:szCs w:val="20"/>
                <w:color w:val="auto"/>
              </w:rPr>
            </w:pPr>
            <w:r>
              <w:rPr>
                <w:rFonts w:ascii="Arial" w:cs="Arial" w:eastAsia="Arial" w:hAnsi="Arial"/>
                <w:sz w:val="13"/>
                <w:szCs w:val="13"/>
                <w:color w:val="auto"/>
              </w:rPr>
              <w:t>Service charges on deposit accounts</w:t>
            </w:r>
          </w:p>
        </w:tc>
        <w:tc>
          <w:tcPr>
            <w:tcW w:w="1060" w:type="dxa"/>
            <w:vAlign w:val="bottom"/>
          </w:tcPr>
          <w:p>
            <w:pPr>
              <w:jc w:val="right"/>
              <w:ind w:right="896"/>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149</w:t>
            </w:r>
          </w:p>
        </w:tc>
        <w:tc>
          <w:tcPr>
            <w:tcW w:w="5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52.0%</w:t>
            </w:r>
          </w:p>
        </w:tc>
      </w:tr>
      <w:tr>
        <w:trPr>
          <w:trHeight w:val="220"/>
        </w:trPr>
        <w:tc>
          <w:tcPr>
            <w:tcW w:w="6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Credit card fees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2,008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r>
      <w:tr>
        <w:trPr>
          <w:trHeight w:val="205"/>
        </w:trPr>
        <w:tc>
          <w:tcPr>
            <w:tcW w:w="6320" w:type="dxa"/>
            <w:vAlign w:val="bottom"/>
          </w:tcPr>
          <w:p>
            <w:pPr>
              <w:ind w:left="160"/>
              <w:spacing w:after="0"/>
              <w:rPr>
                <w:sz w:val="20"/>
                <w:szCs w:val="20"/>
                <w:color w:val="auto"/>
              </w:rPr>
            </w:pPr>
            <w:r>
              <w:rPr>
                <w:rFonts w:ascii="Arial" w:cs="Arial" w:eastAsia="Arial" w:hAnsi="Arial"/>
                <w:sz w:val="13"/>
                <w:szCs w:val="13"/>
                <w:color w:val="auto"/>
              </w:rPr>
              <w:t>Mortgage banking revenue</w:t>
            </w: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4,017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2,376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69.1%</w:t>
            </w:r>
          </w:p>
        </w:tc>
      </w:tr>
      <w:tr>
        <w:trPr>
          <w:trHeight w:val="212"/>
        </w:trPr>
        <w:tc>
          <w:tcPr>
            <w:tcW w:w="6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fees and charges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221.4%</w:t>
            </w:r>
          </w:p>
        </w:tc>
      </w:tr>
      <w:tr>
        <w:trPr>
          <w:trHeight w:val="187"/>
        </w:trPr>
        <w:tc>
          <w:tcPr>
            <w:tcW w:w="6320" w:type="dxa"/>
            <w:vAlign w:val="bottom"/>
          </w:tcPr>
          <w:p>
            <w:pPr>
              <w:ind w:left="280"/>
              <w:spacing w:after="0"/>
              <w:rPr>
                <w:sz w:val="20"/>
                <w:szCs w:val="20"/>
                <w:color w:val="auto"/>
              </w:rPr>
            </w:pPr>
            <w:r>
              <w:rPr>
                <w:rFonts w:ascii="Arial" w:cs="Arial" w:eastAsia="Arial" w:hAnsi="Arial"/>
                <w:sz w:val="13"/>
                <w:szCs w:val="13"/>
                <w:color w:val="auto"/>
              </w:rPr>
              <w:t>Total noninterest income</w:t>
            </w:r>
          </w:p>
        </w:tc>
        <w:tc>
          <w:tcPr>
            <w:tcW w:w="1060" w:type="dxa"/>
            <w:vAlign w:val="bottom"/>
          </w:tcPr>
          <w:p>
            <w:pPr>
              <w:jc w:val="right"/>
              <w:ind w:right="896"/>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6,579</w:t>
            </w:r>
          </w:p>
        </w:tc>
        <w:tc>
          <w:tcPr>
            <w:tcW w:w="5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4,092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60.8%</w:t>
            </w:r>
          </w:p>
        </w:tc>
      </w:tr>
      <w:tr>
        <w:trPr>
          <w:trHeight w:val="20"/>
        </w:trPr>
        <w:tc>
          <w:tcPr>
            <w:tcW w:w="6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Noninterest income increased $2.5 million, or 61%, to $6.6 million for the three months ended March 31, 2020 from $4.1 million for the three months ended March 31, 2019. The primary increase was due to mortgage banking revenue, which increased by $1.6 million, or 69%, during the first quarter of 2020 compared to the first quarter of 2019. Purchase volume as a percentage of loan originations was 33% for the first quarter of 2020, compared to 29% for the first quarter of 2019. Net proceeds from the sale of loans held for sale amounted to $177.5 million for the three months ended March 31, 2020 compared to $71.7 million for the three months ended March 31, 2019.</w:t>
      </w:r>
    </w:p>
    <w:p>
      <w:pPr>
        <w:spacing w:after="0" w:line="157"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OpenSky</w:t>
      </w:r>
      <w:r>
        <w:rPr>
          <w:rFonts w:ascii="Arial" w:cs="Arial" w:eastAsia="Arial" w:hAnsi="Arial"/>
          <w:sz w:val="16"/>
          <w:szCs w:val="16"/>
          <w:color w:val="auto"/>
          <w:vertAlign w:val="superscript"/>
        </w:rPr>
        <w:t>®</w:t>
      </w:r>
      <w:r>
        <w:rPr>
          <w:rFonts w:ascii="Arial" w:cs="Arial" w:eastAsia="Arial" w:hAnsi="Arial"/>
          <w:sz w:val="14"/>
          <w:szCs w:val="14"/>
          <w:color w:val="auto"/>
        </w:rPr>
        <w:t xml:space="preserve"> credit card issuances continued at higher levels, totaling 43 thousand for the three months ended March 31, 2020, compared to 35 thousand for the three months ended March 31, 2019. Credit card fees correspondingly increased $516 thousand to $2.0 million for the three months ended March 31, 2020 from $1.5 million for the three months ended March 31, 2019.</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Noninterest Expense</w:t>
      </w:r>
    </w:p>
    <w:p>
      <w:pPr>
        <w:spacing w:after="0" w:line="1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Generally, noninterest expense is composed of all employee expenses and costs associated with operating our facilities, obtaining and retaining customer relationships and providing bank services. The</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634" w:right="31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4"/>
          <w:szCs w:val="14"/>
          <w:color w:val="auto"/>
        </w:rPr>
        <w:t>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for the periods indicated, the major categories of noninterest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NONINTEREST EXPENSE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Three Months Ended March 31,</w:t>
            </w:r>
          </w:p>
        </w:tc>
        <w:tc>
          <w:tcPr>
            <w:tcW w:w="1600" w:type="dxa"/>
            <w:vAlign w:val="bottom"/>
            <w:tcBorders>
              <w:bottom w:val="single" w:sz="8" w:color="auto"/>
            </w:tcBorders>
          </w:tcPr>
          <w:p>
            <w:pPr>
              <w:spacing w:after="0"/>
              <w:rPr>
                <w:sz w:val="13"/>
                <w:szCs w:val="13"/>
                <w:color w:val="auto"/>
              </w:rPr>
            </w:pPr>
          </w:p>
        </w:tc>
      </w:tr>
      <w:tr>
        <w:trPr>
          <w:trHeight w:val="199"/>
        </w:trPr>
        <w:tc>
          <w:tcPr>
            <w:tcW w:w="6320" w:type="dxa"/>
            <w:vAlign w:val="bottom"/>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457"/>
              <w:spacing w:after="0"/>
              <w:rPr>
                <w:sz w:val="20"/>
                <w:szCs w:val="20"/>
                <w:color w:val="auto"/>
              </w:rPr>
            </w:pPr>
            <w:r>
              <w:rPr>
                <w:rFonts w:ascii="Arial" w:cs="Arial" w:eastAsia="Arial" w:hAnsi="Arial"/>
                <w:sz w:val="11"/>
                <w:szCs w:val="11"/>
                <w:b w:val="1"/>
                <w:bCs w:val="1"/>
                <w:color w:val="auto"/>
              </w:rPr>
              <w:t>% Change</w:t>
            </w:r>
          </w:p>
        </w:tc>
      </w:tr>
      <w:tr>
        <w:trPr>
          <w:trHeight w:val="193"/>
        </w:trPr>
        <w:tc>
          <w:tcPr>
            <w:tcW w:w="632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3"/>
                <w:szCs w:val="13"/>
                <w:color w:val="auto"/>
              </w:rPr>
              <w:t>Noninterest expense:</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0"/>
        </w:trPr>
        <w:tc>
          <w:tcPr>
            <w:tcW w:w="6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Salaries and employee benefits</w:t>
            </w:r>
          </w:p>
        </w:tc>
        <w:tc>
          <w:tcPr>
            <w:tcW w:w="1000" w:type="dxa"/>
            <w:vAlign w:val="bottom"/>
            <w:shd w:val="clear" w:color="auto" w:fill="CCEEFF"/>
          </w:tcPr>
          <w:p>
            <w:pPr>
              <w:jc w:val="right"/>
              <w:ind w:right="839"/>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8,457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6,787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r>
      <w:tr>
        <w:trPr>
          <w:trHeight w:val="205"/>
        </w:trPr>
        <w:tc>
          <w:tcPr>
            <w:tcW w:w="6320" w:type="dxa"/>
            <w:vAlign w:val="bottom"/>
          </w:tcPr>
          <w:p>
            <w:pPr>
              <w:ind w:left="160"/>
              <w:spacing w:after="0"/>
              <w:rPr>
                <w:sz w:val="20"/>
                <w:szCs w:val="20"/>
                <w:color w:val="auto"/>
              </w:rPr>
            </w:pPr>
            <w:r>
              <w:rPr>
                <w:rFonts w:ascii="Arial" w:cs="Arial" w:eastAsia="Arial" w:hAnsi="Arial"/>
                <w:sz w:val="13"/>
                <w:szCs w:val="13"/>
                <w:color w:val="auto"/>
              </w:rPr>
              <w:t>Occupancy and equipment</w:t>
            </w:r>
          </w:p>
        </w:tc>
        <w:tc>
          <w:tcPr>
            <w:tcW w:w="1000" w:type="dxa"/>
            <w:vAlign w:val="bottom"/>
          </w:tcPr>
          <w:p>
            <w:pPr>
              <w:spacing w:after="0"/>
              <w:rPr>
                <w:sz w:val="17"/>
                <w:szCs w:val="17"/>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b w:val="1"/>
                <w:bCs w:val="1"/>
                <w:color w:val="auto"/>
              </w:rPr>
              <w:t>1,178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1,094</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220"/>
        </w:trPr>
        <w:tc>
          <w:tcPr>
            <w:tcW w:w="6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Professional services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r>
      <w:tr>
        <w:trPr>
          <w:trHeight w:val="205"/>
        </w:trPr>
        <w:tc>
          <w:tcPr>
            <w:tcW w:w="6320" w:type="dxa"/>
            <w:vAlign w:val="bottom"/>
          </w:tcPr>
          <w:p>
            <w:pPr>
              <w:ind w:left="160"/>
              <w:spacing w:after="0"/>
              <w:rPr>
                <w:sz w:val="20"/>
                <w:szCs w:val="20"/>
                <w:color w:val="auto"/>
              </w:rPr>
            </w:pPr>
            <w:r>
              <w:rPr>
                <w:rFonts w:ascii="Arial" w:cs="Arial" w:eastAsia="Arial" w:hAnsi="Arial"/>
                <w:sz w:val="13"/>
                <w:szCs w:val="13"/>
                <w:color w:val="auto"/>
              </w:rPr>
              <w:t>Data processing</w:t>
            </w:r>
          </w:p>
        </w:tc>
        <w:tc>
          <w:tcPr>
            <w:tcW w:w="1000" w:type="dxa"/>
            <w:vAlign w:val="bottom"/>
          </w:tcPr>
          <w:p>
            <w:pPr>
              <w:spacing w:after="0"/>
              <w:rPr>
                <w:sz w:val="17"/>
                <w:szCs w:val="17"/>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b w:val="1"/>
                <w:bCs w:val="1"/>
                <w:color w:val="auto"/>
              </w:rPr>
              <w:t>4,117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3,313</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24.3%</w:t>
            </w:r>
          </w:p>
        </w:tc>
      </w:tr>
      <w:tr>
        <w:trPr>
          <w:trHeight w:val="220"/>
        </w:trPr>
        <w:tc>
          <w:tcPr>
            <w:tcW w:w="6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Advertising</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636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r>
      <w:tr>
        <w:trPr>
          <w:trHeight w:val="205"/>
        </w:trPr>
        <w:tc>
          <w:tcPr>
            <w:tcW w:w="6320" w:type="dxa"/>
            <w:vAlign w:val="bottom"/>
          </w:tcPr>
          <w:p>
            <w:pPr>
              <w:ind w:left="160"/>
              <w:spacing w:after="0"/>
              <w:rPr>
                <w:sz w:val="20"/>
                <w:szCs w:val="20"/>
                <w:color w:val="auto"/>
              </w:rPr>
            </w:pPr>
            <w:r>
              <w:rPr>
                <w:rFonts w:ascii="Arial" w:cs="Arial" w:eastAsia="Arial" w:hAnsi="Arial"/>
                <w:sz w:val="13"/>
                <w:szCs w:val="13"/>
                <w:color w:val="auto"/>
              </w:rPr>
              <w:t>Loan processing</w:t>
            </w:r>
          </w:p>
        </w:tc>
        <w:tc>
          <w:tcPr>
            <w:tcW w:w="1000" w:type="dxa"/>
            <w:vAlign w:val="bottom"/>
          </w:tcPr>
          <w:p>
            <w:pPr>
              <w:spacing w:after="0"/>
              <w:rPr>
                <w:sz w:val="17"/>
                <w:szCs w:val="17"/>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b w:val="1"/>
                <w:bCs w:val="1"/>
                <w:color w:val="auto"/>
              </w:rPr>
              <w:t>447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46.6%</w:t>
            </w:r>
          </w:p>
        </w:tc>
      </w:tr>
      <w:tr>
        <w:trPr>
          <w:trHeight w:val="220"/>
        </w:trPr>
        <w:tc>
          <w:tcPr>
            <w:tcW w:w="6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real estate expense,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r>
      <w:tr>
        <w:trPr>
          <w:trHeight w:val="205"/>
        </w:trPr>
        <w:tc>
          <w:tcPr>
            <w:tcW w:w="63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2,193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1,747</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r>
      <w:tr>
        <w:trPr>
          <w:trHeight w:val="187"/>
        </w:trPr>
        <w:tc>
          <w:tcPr>
            <w:tcW w:w="6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noninterest expense</w:t>
            </w:r>
          </w:p>
        </w:tc>
        <w:tc>
          <w:tcPr>
            <w:tcW w:w="1000" w:type="dxa"/>
            <w:vAlign w:val="bottom"/>
            <w:shd w:val="clear" w:color="auto" w:fill="CCEEFF"/>
          </w:tcPr>
          <w:p>
            <w:pPr>
              <w:jc w:val="right"/>
              <w:ind w:right="839"/>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17,843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14,330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Noninterest expense amounted to $17.8 million for the three months ended March 31, 2020, an increase of $3.5 million, or 25%, compared to $14.3 million for the three months ended March 31, 2019. The increase was primarily due to increases in salaries and employee benefits, which include commissions paid on mortgage originations, data processing expenses, advertising, and other expenses. Commissions paid on mortgage originations increased 53.1% from $682 thousand to $1.0 million, reflective of higher levels of mortgage originations. Another component of the increase in salary and employee benefits expense resulted from a 12.1% increase in employees to 240 at March 31, 2020, from 214 at March 31, 2019. The increase in employees is reflective of the organic growth of the Company and includes 24 new employees in the revenue producing teams of the commercial banking and mortgage banking divisions. In addition, there was an increase of $804 thousand in data processing expense reflecting the higher volume of open credit cards and higher loan and deposit balances during the period.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9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amount of income tax expense we incur is influenced by our pre-tax income and our other nondeductible expenses. Deferred tax assets and liabilities are reflected at current income tax rates in effect for the period in which the deferred tax assets and liabilities are expected to be realized or settled. 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15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Income tax expense was $ 1.1 million for both the three months ended March 31, 2020 and 2019. . Our effective tax rates were approximately 26.9% and 24.3% for the 2020 and 2019 periods, respectively. The lower effective rate for 2019 was due to favorable changes in the relative levels of taxable income across multiple state tax jurisdictions.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March 31, 2020, our total assets increased $79.4 million from December 31, 2019 to approximately $1.5 billion. Loans receivable, interest bearing deposits at other financial institutions and loans held for sale increased. Fed funds sold, premises and equipment and investment securities decreased over the period. Noninterest bearing deposits increased to $363.4 million at March 31, 2020 from $291.8 million at December 31, 2019 and interest bearing deposits increased to $939.5 million from $933.6 million, in the</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30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period. Stockholders’ equity increased $2.7 million, or 2.1%, to $136.1 million at March 31, 2020, primarily due to earnings.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Bearing Deposits at Other Financial Institutions</w:t>
      </w:r>
    </w:p>
    <w:p>
      <w:pPr>
        <w:spacing w:after="0" w:line="1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As of March 31, 2020, interest bearing deposits at other financial institutions increased $61.9 million, or 60.4%, to $164.3 million from $102.4 million at December 31, 2019. The increase was primarily due to increased deposits from fiduciary accounts.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Securities</w:t>
      </w:r>
    </w:p>
    <w:p>
      <w:pPr>
        <w:spacing w:after="0" w:line="1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use our securities portfolio to provide a source of liquidity, provide an appropriate return on funds invested, manage interest rate risk, meet collateral requirements and meet regulatory capital requirements.</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5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investment portfolio decreased by 2.1%, or approximately $1.3 million, from $60.8 million at December 31, 2019, to $59.5 million at March 31, 2020 primarily as a result of $1.2 million of paydowns received on mortgage-backed securities. To supplement interest income earned on our loan portfolio, we invest in high quality mortgage-backed securities, government agency bonds, and high quality municipal and corporate bonds.</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tables summarize the contractual maturities and weighted-average yields of investment securities at March 31, 2020 and the amortized cost and carrying value of those securities as of the indicated dates.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INVESTMENT MATURITIES</w:t>
      </w: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6"/>
          </w:tcPr>
          <w:p>
            <w:pPr>
              <w:ind w:left="20"/>
              <w:spacing w:after="0"/>
              <w:rPr>
                <w:sz w:val="20"/>
                <w:szCs w:val="20"/>
                <w:color w:val="auto"/>
              </w:rPr>
            </w:pPr>
            <w:r>
              <w:rPr>
                <w:rFonts w:ascii="Arial" w:cs="Arial" w:eastAsia="Arial" w:hAnsi="Arial"/>
                <w:sz w:val="10"/>
                <w:szCs w:val="10"/>
                <w:b w:val="1"/>
                <w:bCs w:val="1"/>
                <w:color w:val="auto"/>
              </w:rPr>
              <w:t>More Than Five Years Through 10</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0"/>
                <w:szCs w:val="10"/>
                <w:b w:val="1"/>
                <w:bCs w:val="1"/>
                <w:color w:val="auto"/>
              </w:rPr>
              <w:t>One Year or Less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0"/>
                <w:szCs w:val="10"/>
                <w:b w:val="1"/>
                <w:bCs w:val="1"/>
                <w:color w:val="auto"/>
              </w:rPr>
              <w:t>Years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0"/>
                <w:szCs w:val="10"/>
                <w:b w:val="1"/>
                <w:bCs w:val="1"/>
                <w:color w:val="auto"/>
              </w:rPr>
              <w:t>More Than 10 Years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1"/>
              </w:rPr>
              <w:t>Total</w:t>
            </w: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Weighted Average</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Weighted</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Weighted</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right"/>
              <w:ind w:right="153"/>
              <w:spacing w:after="0"/>
              <w:rPr>
                <w:sz w:val="20"/>
                <w:szCs w:val="20"/>
                <w:color w:val="auto"/>
              </w:rPr>
            </w:pPr>
            <w:r>
              <w:rPr>
                <w:rFonts w:ascii="Arial" w:cs="Arial" w:eastAsia="Arial" w:hAnsi="Arial"/>
                <w:sz w:val="8"/>
                <w:szCs w:val="8"/>
                <w:b w:val="1"/>
                <w:bCs w:val="1"/>
                <w:color w:val="auto"/>
              </w:rPr>
              <w:t>Weighted</w:t>
            </w:r>
          </w:p>
        </w:tc>
        <w:tc>
          <w:tcPr>
            <w:tcW w:w="0" w:type="dxa"/>
            <w:vAlign w:val="bottom"/>
          </w:tcPr>
          <w:p>
            <w:pPr>
              <w:spacing w:after="0"/>
              <w:rPr>
                <w:sz w:val="1"/>
                <w:szCs w:val="1"/>
                <w:color w:val="auto"/>
              </w:rPr>
            </w:pPr>
          </w:p>
        </w:tc>
      </w:tr>
      <w:tr>
        <w:trPr>
          <w:trHeight w:val="121"/>
        </w:trPr>
        <w:tc>
          <w:tcPr>
            <w:tcW w:w="3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Book Value</w:t>
            </w:r>
          </w:p>
        </w:tc>
        <w:tc>
          <w:tcPr>
            <w:tcW w:w="90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Yield</w:t>
            </w:r>
          </w:p>
        </w:tc>
        <w:tc>
          <w:tcPr>
            <w:tcW w:w="100" w:type="dxa"/>
            <w:vAlign w:val="bottom"/>
          </w:tcPr>
          <w:p>
            <w:pPr>
              <w:spacing w:after="0"/>
              <w:rPr>
                <w:sz w:val="10"/>
                <w:szCs w:val="10"/>
                <w:color w:val="auto"/>
              </w:rPr>
            </w:pPr>
          </w:p>
        </w:tc>
        <w:tc>
          <w:tcPr>
            <w:tcW w:w="560" w:type="dxa"/>
            <w:vAlign w:val="bottom"/>
          </w:tcPr>
          <w:p>
            <w:pPr>
              <w:jc w:val="right"/>
              <w:ind w:right="12"/>
              <w:spacing w:after="0"/>
              <w:rPr>
                <w:sz w:val="20"/>
                <w:szCs w:val="20"/>
                <w:color w:val="auto"/>
              </w:rPr>
            </w:pPr>
            <w:r>
              <w:rPr>
                <w:rFonts w:ascii="Arial" w:cs="Arial" w:eastAsia="Arial" w:hAnsi="Arial"/>
                <w:sz w:val="8"/>
                <w:szCs w:val="8"/>
                <w:b w:val="1"/>
                <w:bCs w:val="1"/>
                <w:color w:val="auto"/>
              </w:rPr>
              <w:t>Book Value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Average Yield</w:t>
            </w:r>
          </w:p>
        </w:tc>
        <w:tc>
          <w:tcPr>
            <w:tcW w:w="1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Book Value</w:t>
            </w:r>
          </w:p>
        </w:tc>
        <w:tc>
          <w:tcPr>
            <w:tcW w:w="88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Average Yield</w:t>
            </w:r>
          </w:p>
        </w:tc>
        <w:tc>
          <w:tcPr>
            <w:tcW w:w="10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Arial" w:cs="Arial" w:eastAsia="Arial" w:hAnsi="Arial"/>
                <w:sz w:val="8"/>
                <w:szCs w:val="8"/>
                <w:b w:val="1"/>
                <w:bCs w:val="1"/>
                <w:color w:val="auto"/>
              </w:rPr>
              <w:t>Book Value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8"/>
                <w:szCs w:val="8"/>
                <w:b w:val="1"/>
                <w:bCs w:val="1"/>
                <w:color w:val="auto"/>
              </w:rPr>
              <w:t>Fair Value</w:t>
            </w:r>
          </w:p>
        </w:tc>
        <w:tc>
          <w:tcPr>
            <w:tcW w:w="760" w:type="dxa"/>
            <w:vAlign w:val="bottom"/>
          </w:tcPr>
          <w:p>
            <w:pPr>
              <w:jc w:val="right"/>
              <w:ind w:right="53"/>
              <w:spacing w:after="0"/>
              <w:rPr>
                <w:sz w:val="20"/>
                <w:szCs w:val="20"/>
                <w:color w:val="auto"/>
              </w:rPr>
            </w:pPr>
            <w:r>
              <w:rPr>
                <w:rFonts w:ascii="Arial" w:cs="Arial" w:eastAsia="Arial" w:hAnsi="Arial"/>
                <w:sz w:val="8"/>
                <w:szCs w:val="8"/>
                <w:b w:val="1"/>
                <w:bCs w:val="1"/>
                <w:color w:val="auto"/>
              </w:rPr>
              <w:t>Average Yield</w:t>
            </w:r>
          </w:p>
        </w:tc>
        <w:tc>
          <w:tcPr>
            <w:tcW w:w="0" w:type="dxa"/>
            <w:vAlign w:val="bottom"/>
          </w:tcPr>
          <w:p>
            <w:pPr>
              <w:spacing w:after="0"/>
              <w:rPr>
                <w:sz w:val="1"/>
                <w:szCs w:val="1"/>
                <w:color w:val="auto"/>
              </w:rPr>
            </w:pPr>
          </w:p>
        </w:tc>
      </w:tr>
      <w:tr>
        <w:trPr>
          <w:trHeight w:val="202"/>
        </w:trPr>
        <w:tc>
          <w:tcPr>
            <w:tcW w:w="3200" w:type="dxa"/>
            <w:vAlign w:val="bottom"/>
          </w:tcPr>
          <w:p>
            <w:pPr>
              <w:spacing w:after="0"/>
              <w:rPr>
                <w:sz w:val="20"/>
                <w:szCs w:val="20"/>
                <w:color w:val="auto"/>
              </w:rPr>
            </w:pPr>
            <w:r>
              <w:rPr>
                <w:rFonts w:ascii="Arial" w:cs="Arial" w:eastAsia="Arial" w:hAnsi="Arial"/>
                <w:sz w:val="8"/>
                <w:szCs w:val="8"/>
                <w:color w:val="auto"/>
              </w:rPr>
              <w:t>(in thousands)</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0" w:type="dxa"/>
            <w:vAlign w:val="bottom"/>
            <w:shd w:val="clear" w:color="auto" w:fill="CCEEFF"/>
          </w:tcPr>
          <w:p>
            <w:pPr>
              <w:spacing w:after="0"/>
              <w:rPr>
                <w:sz w:val="20"/>
                <w:szCs w:val="20"/>
                <w:color w:val="auto"/>
              </w:rPr>
            </w:pPr>
            <w:r>
              <w:rPr>
                <w:rFonts w:ascii="Arial" w:cs="Arial" w:eastAsia="Arial" w:hAnsi="Arial"/>
                <w:sz w:val="10"/>
                <w:szCs w:val="10"/>
                <w:color w:val="auto"/>
              </w:rPr>
              <w:t>Securities Available for Sale:</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0"/>
                <w:szCs w:val="10"/>
                <w:color w:val="auto"/>
              </w:rPr>
              <w:t>U.S. government-sponsored agencies</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1,000</w:t>
            </w:r>
          </w:p>
        </w:tc>
        <w:tc>
          <w:tcPr>
            <w:tcW w:w="30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1,002</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spacing w:after="0"/>
              <w:rPr>
                <w:sz w:val="20"/>
                <w:szCs w:val="20"/>
                <w:color w:val="auto"/>
              </w:rPr>
            </w:pPr>
            <w:r>
              <w:rPr>
                <w:rFonts w:ascii="Arial" w:cs="Arial" w:eastAsia="Arial" w:hAnsi="Arial"/>
                <w:sz w:val="10"/>
                <w:szCs w:val="10"/>
                <w:color w:val="auto"/>
              </w:rPr>
              <w:t>Municipal</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471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0"/>
                <w:szCs w:val="10"/>
                <w:color w:val="auto"/>
              </w:rPr>
              <w:t>Corporate bonds</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2,000</w:t>
            </w: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5.50%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260</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2,203</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5.41%</w:t>
            </w: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spacing w:after="0"/>
              <w:rPr>
                <w:sz w:val="20"/>
                <w:szCs w:val="20"/>
                <w:color w:val="auto"/>
              </w:rPr>
            </w:pPr>
            <w:r>
              <w:rPr>
                <w:rFonts w:ascii="Arial" w:cs="Arial" w:eastAsia="Arial" w:hAnsi="Arial"/>
                <w:sz w:val="10"/>
                <w:szCs w:val="10"/>
                <w:color w:val="auto"/>
              </w:rPr>
              <w:t>Mortgage-backed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17,768</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36,925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54,693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55,848</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2.09%</w:t>
            </w:r>
          </w:p>
        </w:tc>
        <w:tc>
          <w:tcPr>
            <w:tcW w:w="0" w:type="dxa"/>
            <w:vAlign w:val="bottom"/>
          </w:tcPr>
          <w:p>
            <w:pPr>
              <w:spacing w:after="0"/>
              <w:rPr>
                <w:sz w:val="1"/>
                <w:szCs w:val="1"/>
                <w:color w:val="auto"/>
              </w:rPr>
            </w:pPr>
          </w:p>
        </w:tc>
      </w:tr>
      <w:tr>
        <w:trPr>
          <w:trHeight w:val="187"/>
        </w:trPr>
        <w:tc>
          <w:tcPr>
            <w:tcW w:w="3200" w:type="dxa"/>
            <w:vAlign w:val="bottom"/>
          </w:tcPr>
          <w:p>
            <w:pPr>
              <w:spacing w:after="0"/>
              <w:rPr>
                <w:sz w:val="20"/>
                <w:szCs w:val="20"/>
                <w:color w:val="auto"/>
              </w:rPr>
            </w:pPr>
            <w:r>
              <w:rPr>
                <w:rFonts w:ascii="Arial" w:cs="Arial" w:eastAsia="Arial" w:hAnsi="Arial"/>
                <w:sz w:val="10"/>
                <w:szCs w:val="10"/>
                <w:color w:val="auto"/>
              </w:rPr>
              <w:t>Total</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19,768</w:t>
            </w: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2.45%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37,699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58,467</w:t>
            </w:r>
          </w:p>
        </w:tc>
        <w:tc>
          <w:tcPr>
            <w:tcW w:w="30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59,524</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Loan Portfolio</w:t>
      </w:r>
    </w:p>
    <w:p>
      <w:pPr>
        <w:spacing w:after="0" w:line="1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primary source of income is derived from interest earned on loans. Our loan portfolio consists of loans secured by real estate as well as commercial business loans,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and investment commercial real</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308" w:right="31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4"/>
          <w:szCs w:val="14"/>
          <w:color w:val="auto"/>
        </w:rPr>
        <w:t>estate loans, residential construction loans and commercial business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are principally directed to our market area consisting of the Washington, D.C. and Baltimore metropolitan areas.</w:t>
      </w: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loan portfolio by type of loan as of the dates indicated: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COMPOSITION OF LOAN PORTFOLIO</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8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March 31, 2020</w:t>
            </w: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auto"/>
              </w:rPr>
              <w:t>December 31, 2019</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Percent</w:t>
            </w:r>
          </w:p>
        </w:tc>
        <w:tc>
          <w:tcPr>
            <w:tcW w:w="380" w:type="dxa"/>
            <w:vAlign w:val="bottom"/>
          </w:tcPr>
          <w:p>
            <w:pPr>
              <w:spacing w:after="0"/>
              <w:rPr>
                <w:sz w:val="9"/>
                <w:szCs w:val="9"/>
                <w:color w:val="auto"/>
              </w:rPr>
            </w:pPr>
          </w:p>
        </w:tc>
        <w:tc>
          <w:tcPr>
            <w:tcW w:w="1820" w:type="dxa"/>
            <w:vAlign w:val="bottom"/>
            <w:gridSpan w:val="3"/>
            <w:vMerge w:val="restart"/>
          </w:tcPr>
          <w:p>
            <w:pPr>
              <w:ind w:left="280"/>
              <w:spacing w:after="0"/>
              <w:rPr>
                <w:sz w:val="20"/>
                <w:szCs w:val="20"/>
                <w:color w:val="auto"/>
              </w:rPr>
            </w:pPr>
            <w:r>
              <w:rPr>
                <w:rFonts w:ascii="Arial" w:cs="Arial" w:eastAsia="Arial" w:hAnsi="Arial"/>
                <w:sz w:val="11"/>
                <w:szCs w:val="11"/>
                <w:b w:val="1"/>
                <w:bCs w:val="1"/>
                <w:color w:val="auto"/>
              </w:rPr>
              <w:t>Amount</w:t>
            </w:r>
          </w:p>
        </w:tc>
        <w:tc>
          <w:tcPr>
            <w:tcW w:w="940" w:type="dxa"/>
            <w:vAlign w:val="bottom"/>
            <w:vMerge w:val="restart"/>
          </w:tcPr>
          <w:p>
            <w:pPr>
              <w:jc w:val="right"/>
              <w:ind w:right="357"/>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95"/>
        </w:trPr>
        <w:tc>
          <w:tcPr>
            <w:tcW w:w="48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20"/>
              <w:spacing w:after="0"/>
              <w:rPr>
                <w:sz w:val="20"/>
                <w:szCs w:val="20"/>
                <w:color w:val="auto"/>
              </w:rPr>
            </w:pPr>
            <w:r>
              <w:rPr>
                <w:rFonts w:ascii="Arial" w:cs="Arial" w:eastAsia="Arial" w:hAnsi="Arial"/>
                <w:sz w:val="13"/>
                <w:szCs w:val="13"/>
                <w:color w:val="auto"/>
              </w:rPr>
              <w:t>Real estate:</w:t>
            </w:r>
          </w:p>
        </w:tc>
        <w:tc>
          <w:tcPr>
            <w:tcW w:w="1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Residential</w:t>
            </w:r>
          </w:p>
        </w:tc>
        <w:tc>
          <w:tcPr>
            <w:tcW w:w="1120" w:type="dxa"/>
            <w:vAlign w:val="bottom"/>
            <w:shd w:val="clear" w:color="auto" w:fill="CCEEFF"/>
          </w:tcPr>
          <w:p>
            <w:pPr>
              <w:jc w:val="right"/>
              <w:ind w:right="959"/>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430,870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427,926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5"/>
        </w:trPr>
        <w:tc>
          <w:tcPr>
            <w:tcW w:w="4860" w:type="dxa"/>
            <w:vAlign w:val="bottom"/>
          </w:tcPr>
          <w:p>
            <w:pPr>
              <w:ind w:left="160"/>
              <w:spacing w:after="0"/>
              <w:rPr>
                <w:sz w:val="20"/>
                <w:szCs w:val="20"/>
                <w:color w:val="auto"/>
              </w:rPr>
            </w:pPr>
            <w:r>
              <w:rPr>
                <w:rFonts w:ascii="Arial" w:cs="Arial" w:eastAsia="Arial" w:hAnsi="Arial"/>
                <w:sz w:val="13"/>
                <w:szCs w:val="13"/>
                <w:color w:val="auto"/>
              </w:rPr>
              <w:t>Commercial</w:t>
            </w:r>
          </w:p>
        </w:tc>
        <w:tc>
          <w:tcPr>
            <w:tcW w:w="1120" w:type="dxa"/>
            <w:vAlign w:val="bottom"/>
          </w:tcPr>
          <w:p>
            <w:pPr>
              <w:spacing w:after="0"/>
              <w:rPr>
                <w:sz w:val="17"/>
                <w:szCs w:val="17"/>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360,601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348,091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Construction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204,047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5"/>
        </w:trPr>
        <w:tc>
          <w:tcPr>
            <w:tcW w:w="4860" w:type="dxa"/>
            <w:vAlign w:val="bottom"/>
          </w:tcPr>
          <w:p>
            <w:pPr>
              <w:ind w:left="20"/>
              <w:spacing w:after="0"/>
              <w:rPr>
                <w:sz w:val="20"/>
                <w:szCs w:val="20"/>
                <w:color w:val="auto"/>
              </w:rPr>
            </w:pPr>
            <w:r>
              <w:rPr>
                <w:rFonts w:ascii="Arial" w:cs="Arial" w:eastAsia="Arial" w:hAnsi="Arial"/>
                <w:sz w:val="13"/>
                <w:szCs w:val="13"/>
                <w:color w:val="auto"/>
              </w:rPr>
              <w:t>Commercial</w:t>
            </w:r>
          </w:p>
        </w:tc>
        <w:tc>
          <w:tcPr>
            <w:tcW w:w="1120" w:type="dxa"/>
            <w:vAlign w:val="bottom"/>
          </w:tcPr>
          <w:p>
            <w:pPr>
              <w:spacing w:after="0"/>
              <w:rPr>
                <w:sz w:val="17"/>
                <w:szCs w:val="17"/>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151,551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151,109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41,881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5"/>
        </w:trPr>
        <w:tc>
          <w:tcPr>
            <w:tcW w:w="4860" w:type="dxa"/>
            <w:vAlign w:val="bottom"/>
          </w:tcPr>
          <w:p>
            <w:pPr>
              <w:ind w:left="20"/>
              <w:spacing w:after="0"/>
              <w:rPr>
                <w:sz w:val="20"/>
                <w:szCs w:val="20"/>
                <w:color w:val="auto"/>
              </w:rPr>
            </w:pPr>
            <w:r>
              <w:rPr>
                <w:rFonts w:ascii="Arial" w:cs="Arial" w:eastAsia="Arial" w:hAnsi="Arial"/>
                <w:sz w:val="13"/>
                <w:szCs w:val="13"/>
                <w:color w:val="auto"/>
              </w:rPr>
              <w:t>Other consumer</w:t>
            </w:r>
          </w:p>
        </w:tc>
        <w:tc>
          <w:tcPr>
            <w:tcW w:w="1120" w:type="dxa"/>
            <w:vAlign w:val="bottom"/>
          </w:tcPr>
          <w:p>
            <w:pPr>
              <w:spacing w:after="0"/>
              <w:rPr>
                <w:sz w:val="17"/>
                <w:szCs w:val="17"/>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1,103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7"/>
                <w:szCs w:val="17"/>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1,285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gross loans</w:t>
            </w: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1,190,053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1,173,525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3"/>
                <w:szCs w:val="13"/>
                <w:color w:val="auto"/>
              </w:rPr>
              <w:t>Unearned income</w:t>
            </w:r>
          </w:p>
        </w:tc>
        <w:tc>
          <w:tcPr>
            <w:tcW w:w="1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(2,254)</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(2,404)</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86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loans, net of unearned income</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1,187,799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1,171,121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Allowance for loan losses</w:t>
            </w: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(15,514)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net loans</w:t>
            </w:r>
          </w:p>
        </w:tc>
        <w:tc>
          <w:tcPr>
            <w:tcW w:w="112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1,172,285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1,157,820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repayment of loans is a source of additional liquidity for us. The following table details maturities and sensitivity to interest rate changes for our loan portfolio at March 31, 2020: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LOAN MATURITY AND SENSITIVITY TO CHANGES IN INTEREST RATES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March 31, 2020</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33"/>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Due in One Year</w:t>
            </w:r>
          </w:p>
        </w:tc>
        <w:tc>
          <w:tcPr>
            <w:tcW w:w="260" w:type="dxa"/>
            <w:vAlign w:val="bottom"/>
          </w:tcPr>
          <w:p>
            <w:pPr>
              <w:spacing w:after="0"/>
              <w:rPr>
                <w:sz w:val="11"/>
                <w:szCs w:val="11"/>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Due in One to</w:t>
            </w:r>
          </w:p>
        </w:tc>
        <w:tc>
          <w:tcPr>
            <w:tcW w:w="500" w:type="dxa"/>
            <w:vAlign w:val="bottom"/>
          </w:tcPr>
          <w:p>
            <w:pPr>
              <w:spacing w:after="0"/>
              <w:rPr>
                <w:sz w:val="11"/>
                <w:szCs w:val="11"/>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Due After</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0"/>
        </w:trPr>
        <w:tc>
          <w:tcPr>
            <w:tcW w:w="464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or Less</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Five Years</w:t>
            </w:r>
          </w:p>
        </w:tc>
        <w:tc>
          <w:tcPr>
            <w:tcW w:w="5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Five Years</w:t>
            </w:r>
          </w:p>
        </w:tc>
        <w:tc>
          <w:tcPr>
            <w:tcW w:w="380" w:type="dxa"/>
            <w:vAlign w:val="bottom"/>
          </w:tcPr>
          <w:p>
            <w:pPr>
              <w:spacing w:after="0"/>
              <w:rPr>
                <w:sz w:val="13"/>
                <w:szCs w:val="13"/>
                <w:color w:val="auto"/>
              </w:rPr>
            </w:pPr>
          </w:p>
        </w:tc>
        <w:tc>
          <w:tcPr>
            <w:tcW w:w="1180" w:type="dxa"/>
            <w:vAlign w:val="bottom"/>
          </w:tcPr>
          <w:p>
            <w:pPr>
              <w:jc w:val="right"/>
              <w:ind w:right="577"/>
              <w:spacing w:after="0"/>
              <w:rPr>
                <w:sz w:val="20"/>
                <w:szCs w:val="20"/>
                <w:color w:val="auto"/>
              </w:rPr>
            </w:pPr>
            <w:r>
              <w:rPr>
                <w:rFonts w:ascii="Arial" w:cs="Arial" w:eastAsia="Arial" w:hAnsi="Arial"/>
                <w:sz w:val="11"/>
                <w:szCs w:val="11"/>
                <w:b w:val="1"/>
                <w:bCs w:val="1"/>
                <w:color w:val="auto"/>
              </w:rPr>
              <w:t>Total</w:t>
            </w:r>
          </w:p>
        </w:tc>
      </w:tr>
      <w:tr>
        <w:trPr>
          <w:trHeight w:val="204"/>
        </w:trPr>
        <w:tc>
          <w:tcPr>
            <w:tcW w:w="4640" w:type="dxa"/>
            <w:vAlign w:val="bottom"/>
          </w:tcPr>
          <w:p>
            <w:pPr>
              <w:ind w:left="20"/>
              <w:spacing w:after="0"/>
              <w:rPr>
                <w:sz w:val="20"/>
                <w:szCs w:val="20"/>
                <w:color w:val="auto"/>
              </w:rPr>
            </w:pPr>
            <w:r>
              <w:rPr>
                <w:rFonts w:ascii="Arial" w:cs="Arial" w:eastAsia="Arial" w:hAnsi="Arial"/>
                <w:sz w:val="13"/>
                <w:szCs w:val="13"/>
                <w:color w:val="auto"/>
              </w:rPr>
              <w:t>Real estate: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20"/>
        </w:trPr>
        <w:tc>
          <w:tcPr>
            <w:tcW w:w="4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Residential</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107,697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127,291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195,882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430,870</w:t>
            </w:r>
          </w:p>
        </w:tc>
      </w:tr>
      <w:tr>
        <w:trPr>
          <w:trHeight w:val="205"/>
        </w:trPr>
        <w:tc>
          <w:tcPr>
            <w:tcW w:w="4640" w:type="dxa"/>
            <w:vAlign w:val="bottom"/>
          </w:tcPr>
          <w:p>
            <w:pPr>
              <w:ind w:left="160"/>
              <w:spacing w:after="0"/>
              <w:rPr>
                <w:sz w:val="20"/>
                <w:szCs w:val="20"/>
                <w:color w:val="auto"/>
              </w:rPr>
            </w:pPr>
            <w:r>
              <w:rPr>
                <w:rFonts w:ascii="Arial" w:cs="Arial" w:eastAsia="Arial" w:hAnsi="Arial"/>
                <w:sz w:val="13"/>
                <w:szCs w:val="13"/>
                <w:color w:val="auto"/>
              </w:rPr>
              <w:t>Commercial</w:t>
            </w:r>
          </w:p>
        </w:tc>
        <w:tc>
          <w:tcPr>
            <w:tcW w:w="22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Arial" w:cs="Arial" w:eastAsia="Arial" w:hAnsi="Arial"/>
                <w:sz w:val="13"/>
                <w:szCs w:val="13"/>
                <w:color w:val="auto"/>
              </w:rPr>
              <w:t>75,836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58"/>
              <w:spacing w:after="0"/>
              <w:rPr>
                <w:sz w:val="20"/>
                <w:szCs w:val="20"/>
                <w:color w:val="auto"/>
              </w:rPr>
            </w:pPr>
            <w:r>
              <w:rPr>
                <w:rFonts w:ascii="Arial" w:cs="Arial" w:eastAsia="Arial" w:hAnsi="Arial"/>
                <w:sz w:val="13"/>
                <w:szCs w:val="13"/>
                <w:color w:val="auto"/>
              </w:rPr>
              <w:t>172,017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8"/>
              <w:spacing w:after="0"/>
              <w:rPr>
                <w:sz w:val="20"/>
                <w:szCs w:val="20"/>
                <w:color w:val="auto"/>
              </w:rPr>
            </w:pPr>
            <w:r>
              <w:rPr>
                <w:rFonts w:ascii="Arial" w:cs="Arial" w:eastAsia="Arial" w:hAnsi="Arial"/>
                <w:sz w:val="13"/>
                <w:szCs w:val="13"/>
                <w:color w:val="auto"/>
              </w:rPr>
              <w:t>112,748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360,601</w:t>
            </w:r>
          </w:p>
        </w:tc>
      </w:tr>
      <w:tr>
        <w:trPr>
          <w:trHeight w:val="220"/>
        </w:trPr>
        <w:tc>
          <w:tcPr>
            <w:tcW w:w="4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Construction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181,060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20,927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204,047</w:t>
            </w:r>
          </w:p>
        </w:tc>
      </w:tr>
      <w:tr>
        <w:trPr>
          <w:trHeight w:val="205"/>
        </w:trPr>
        <w:tc>
          <w:tcPr>
            <w:tcW w:w="4640" w:type="dxa"/>
            <w:vAlign w:val="bottom"/>
          </w:tcPr>
          <w:p>
            <w:pPr>
              <w:ind w:left="20"/>
              <w:spacing w:after="0"/>
              <w:rPr>
                <w:sz w:val="20"/>
                <w:szCs w:val="20"/>
                <w:color w:val="auto"/>
              </w:rPr>
            </w:pPr>
            <w:r>
              <w:rPr>
                <w:rFonts w:ascii="Arial" w:cs="Arial" w:eastAsia="Arial" w:hAnsi="Arial"/>
                <w:sz w:val="13"/>
                <w:szCs w:val="13"/>
                <w:color w:val="auto"/>
              </w:rPr>
              <w:t>Commercial</w:t>
            </w:r>
          </w:p>
        </w:tc>
        <w:tc>
          <w:tcPr>
            <w:tcW w:w="22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Arial" w:cs="Arial" w:eastAsia="Arial" w:hAnsi="Arial"/>
                <w:sz w:val="13"/>
                <w:szCs w:val="13"/>
                <w:color w:val="auto"/>
              </w:rPr>
              <w:t>80,060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58"/>
              <w:spacing w:after="0"/>
              <w:rPr>
                <w:sz w:val="20"/>
                <w:szCs w:val="20"/>
                <w:color w:val="auto"/>
              </w:rPr>
            </w:pPr>
            <w:r>
              <w:rPr>
                <w:rFonts w:ascii="Arial" w:cs="Arial" w:eastAsia="Arial" w:hAnsi="Arial"/>
                <w:sz w:val="13"/>
                <w:szCs w:val="13"/>
                <w:color w:val="auto"/>
              </w:rPr>
              <w:t>44,587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8"/>
              <w:spacing w:after="0"/>
              <w:rPr>
                <w:sz w:val="20"/>
                <w:szCs w:val="20"/>
                <w:color w:val="auto"/>
              </w:rPr>
            </w:pPr>
            <w:r>
              <w:rPr>
                <w:rFonts w:ascii="Arial" w:cs="Arial" w:eastAsia="Arial" w:hAnsi="Arial"/>
                <w:sz w:val="13"/>
                <w:szCs w:val="13"/>
                <w:color w:val="auto"/>
              </w:rPr>
              <w:t>26,904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151,551</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41,881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41,881</w:t>
            </w:r>
          </w:p>
        </w:tc>
      </w:tr>
      <w:tr>
        <w:trPr>
          <w:trHeight w:val="20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consumer</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343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1,103</w:t>
            </w:r>
          </w:p>
        </w:tc>
      </w:tr>
      <w:tr>
        <w:trPr>
          <w:trHeight w:val="187"/>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loans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487,255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365,165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337,633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1,190,053</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Amounts with fixed rates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108,799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265,891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81,321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456,011</w:t>
            </w:r>
          </w:p>
        </w:tc>
      </w:tr>
      <w:tr>
        <w:trPr>
          <w:trHeight w:val="163"/>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Amounts with floating rates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378,455</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99,275</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256,311</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734,041</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Nonperforming Assets</w:t>
      </w:r>
    </w:p>
    <w:p>
      <w:pPr>
        <w:spacing w:after="0" w:line="1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Nonperforming loans increased to $5.8 million, or 0.49% of total loans, at March 31, 2020 compared to $4.7 million, or 0.40% of total loans, at December 31, 2019. The $1.1 million, or 22.6%, increase during the</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309" w:right="31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4"/>
          <w:szCs w:val="14"/>
          <w:color w:val="auto"/>
        </w:rPr>
        <w:t>three months ended March 31, 2020 was primarily due to an increase of $1.4 million in nonperforming construction loans. The increase was attributable to a single borrower relationship that we believe to be well secured and on which no impairment is expected. Included in the non-performing loans at March 31, 2020 are troubled debt restructurings of $454 thousand.</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Foreclosed real estate increased to $3.4 million as of March 31, 2020 compared to $2.4 million as of December 31, 2019 due to the foreclosure of a residential loan.</w:t>
      </w:r>
    </w:p>
    <w:p>
      <w:pPr>
        <w:spacing w:after="0" w:line="179"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Total nonperforming assets were $9.2 million at March 31, 2020 compared to $7.1 million at December 31, 2019, or 0.61% and 0.50%, respectively, of corresponding total assets.</w:t>
      </w:r>
    </w:p>
    <w:p>
      <w:pPr>
        <w:spacing w:after="0" w:line="34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As a result of the COVID-19 pandemic, we anticipate that our commercial, commercial real estate, residential and consumer borrowers will continue to encounter economic difficulties, which could lead to increases in our levels of nonperforming assets, impaired loans and troubled debt restructurings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information regarding nonperforming assets at the dates indicated: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NONPERFORMING ASSETS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00" w:type="dxa"/>
            <w:vAlign w:val="bottom"/>
          </w:tcPr>
          <w:p>
            <w:pPr>
              <w:spacing w:after="0"/>
              <w:rPr>
                <w:sz w:val="13"/>
                <w:szCs w:val="13"/>
                <w:color w:val="auto"/>
              </w:rPr>
            </w:pPr>
          </w:p>
        </w:tc>
        <w:tc>
          <w:tcPr>
            <w:tcW w:w="154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March 31, 2020</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December 31, 2019</w:t>
            </w:r>
          </w:p>
        </w:tc>
      </w:tr>
      <w:tr>
        <w:trPr>
          <w:trHeight w:val="108"/>
        </w:trPr>
        <w:tc>
          <w:tcPr>
            <w:tcW w:w="650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308"/>
        </w:trPr>
        <w:tc>
          <w:tcPr>
            <w:tcW w:w="6500" w:type="dxa"/>
            <w:vAlign w:val="bottom"/>
          </w:tcPr>
          <w:p>
            <w:pPr>
              <w:ind w:left="20"/>
              <w:spacing w:after="0"/>
              <w:rPr>
                <w:sz w:val="20"/>
                <w:szCs w:val="20"/>
                <w:color w:val="auto"/>
              </w:rPr>
            </w:pPr>
            <w:r>
              <w:rPr>
                <w:rFonts w:ascii="Arial" w:cs="Arial" w:eastAsia="Arial" w:hAnsi="Arial"/>
                <w:sz w:val="13"/>
                <w:szCs w:val="13"/>
                <w:color w:val="auto"/>
              </w:rPr>
              <w:t>Nonaccrual loans</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0"/>
        </w:trPr>
        <w:tc>
          <w:tcPr>
            <w:tcW w:w="6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Real Estate:</w:t>
            </w: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05"/>
        </w:trPr>
        <w:tc>
          <w:tcPr>
            <w:tcW w:w="6500" w:type="dxa"/>
            <w:vAlign w:val="bottom"/>
          </w:tcPr>
          <w:p>
            <w:pPr>
              <w:ind w:left="280"/>
              <w:spacing w:after="0"/>
              <w:rPr>
                <w:sz w:val="20"/>
                <w:szCs w:val="20"/>
                <w:color w:val="auto"/>
              </w:rPr>
            </w:pPr>
            <w:r>
              <w:rPr>
                <w:rFonts w:ascii="Arial" w:cs="Arial" w:eastAsia="Arial" w:hAnsi="Arial"/>
                <w:sz w:val="13"/>
                <w:szCs w:val="13"/>
                <w:color w:val="auto"/>
              </w:rPr>
              <w:t>Residential</w:t>
            </w:r>
          </w:p>
        </w:tc>
        <w:tc>
          <w:tcPr>
            <w:tcW w:w="1540" w:type="dxa"/>
            <w:vAlign w:val="bottom"/>
          </w:tcPr>
          <w:p>
            <w:pPr>
              <w:jc w:val="right"/>
              <w:ind w:right="1378"/>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76"/>
              <w:spacing w:after="0"/>
              <w:rPr>
                <w:sz w:val="20"/>
                <w:szCs w:val="20"/>
                <w:color w:val="auto"/>
              </w:rPr>
            </w:pPr>
            <w:r>
              <w:rPr>
                <w:rFonts w:ascii="Arial" w:cs="Arial" w:eastAsia="Arial" w:hAnsi="Arial"/>
                <w:sz w:val="13"/>
                <w:szCs w:val="13"/>
                <w:b w:val="1"/>
                <w:bCs w:val="1"/>
                <w:color w:val="auto"/>
              </w:rPr>
              <w:t>1,633</w:t>
            </w:r>
          </w:p>
        </w:tc>
        <w:tc>
          <w:tcPr>
            <w:tcW w:w="20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680" w:type="dxa"/>
            <w:vAlign w:val="bottom"/>
          </w:tcPr>
          <w:p>
            <w:pPr>
              <w:jc w:val="right"/>
              <w:ind w:right="77"/>
              <w:spacing w:after="0"/>
              <w:rPr>
                <w:sz w:val="20"/>
                <w:szCs w:val="20"/>
                <w:color w:val="auto"/>
              </w:rPr>
            </w:pPr>
            <w:r>
              <w:rPr>
                <w:rFonts w:ascii="Arial" w:cs="Arial" w:eastAsia="Arial" w:hAnsi="Arial"/>
                <w:sz w:val="13"/>
                <w:szCs w:val="13"/>
                <w:color w:val="auto"/>
              </w:rPr>
              <w:t>2,193</w:t>
            </w:r>
          </w:p>
        </w:tc>
      </w:tr>
      <w:tr>
        <w:trPr>
          <w:trHeight w:val="220"/>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Commercial</w:t>
            </w: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1,408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1,433</w:t>
            </w:r>
          </w:p>
        </w:tc>
      </w:tr>
      <w:tr>
        <w:trPr>
          <w:trHeight w:val="205"/>
        </w:trPr>
        <w:tc>
          <w:tcPr>
            <w:tcW w:w="6500" w:type="dxa"/>
            <w:vAlign w:val="bottom"/>
          </w:tcPr>
          <w:p>
            <w:pPr>
              <w:ind w:left="280"/>
              <w:spacing w:after="0"/>
              <w:rPr>
                <w:sz w:val="20"/>
                <w:szCs w:val="20"/>
                <w:color w:val="auto"/>
              </w:rPr>
            </w:pPr>
            <w:r>
              <w:rPr>
                <w:rFonts w:ascii="Arial" w:cs="Arial" w:eastAsia="Arial" w:hAnsi="Arial"/>
                <w:sz w:val="13"/>
                <w:szCs w:val="13"/>
                <w:color w:val="auto"/>
              </w:rPr>
              <w:t>Construction</w:t>
            </w:r>
          </w:p>
        </w:tc>
        <w:tc>
          <w:tcPr>
            <w:tcW w:w="1540" w:type="dxa"/>
            <w:vAlign w:val="bottom"/>
          </w:tcPr>
          <w:p>
            <w:pPr>
              <w:spacing w:after="0"/>
              <w:rPr>
                <w:sz w:val="17"/>
                <w:szCs w:val="17"/>
                <w:color w:val="auto"/>
              </w:rPr>
            </w:pPr>
          </w:p>
        </w:tc>
        <w:tc>
          <w:tcPr>
            <w:tcW w:w="540" w:type="dxa"/>
            <w:vAlign w:val="bottom"/>
          </w:tcPr>
          <w:p>
            <w:pPr>
              <w:jc w:val="right"/>
              <w:ind w:right="76"/>
              <w:spacing w:after="0"/>
              <w:rPr>
                <w:sz w:val="20"/>
                <w:szCs w:val="20"/>
                <w:color w:val="auto"/>
              </w:rPr>
            </w:pPr>
            <w:r>
              <w:rPr>
                <w:rFonts w:ascii="Arial" w:cs="Arial" w:eastAsia="Arial" w:hAnsi="Arial"/>
                <w:sz w:val="13"/>
                <w:szCs w:val="13"/>
                <w:b w:val="1"/>
                <w:bCs w:val="1"/>
                <w:color w:val="auto"/>
              </w:rPr>
              <w:t>1,503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220"/>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w:t>
            </w: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440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474</w:t>
            </w:r>
          </w:p>
        </w:tc>
      </w:tr>
      <w:tr>
        <w:trPr>
          <w:trHeight w:val="205"/>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Accruing loans 90 or more days past due</w:t>
            </w:r>
          </w:p>
        </w:tc>
        <w:tc>
          <w:tcPr>
            <w:tcW w:w="1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803</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620</w:t>
            </w:r>
          </w:p>
        </w:tc>
      </w:tr>
      <w:tr>
        <w:trPr>
          <w:trHeight w:val="200"/>
        </w:trPr>
        <w:tc>
          <w:tcPr>
            <w:tcW w:w="6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nonperforming loans</w:t>
            </w:r>
          </w:p>
        </w:tc>
        <w:tc>
          <w:tcPr>
            <w:tcW w:w="15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5,787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4,720</w:t>
            </w:r>
          </w:p>
        </w:tc>
      </w:tr>
      <w:tr>
        <w:trPr>
          <w:trHeight w:val="205"/>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real estate owned</w:t>
            </w:r>
          </w:p>
        </w:tc>
        <w:tc>
          <w:tcPr>
            <w:tcW w:w="1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3,401</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2,384</w:t>
            </w:r>
          </w:p>
        </w:tc>
      </w:tr>
      <w:tr>
        <w:trPr>
          <w:trHeight w:val="182"/>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nonperforming assets</w:t>
            </w:r>
          </w:p>
        </w:tc>
        <w:tc>
          <w:tcPr>
            <w:tcW w:w="1540" w:type="dxa"/>
            <w:vAlign w:val="bottom"/>
            <w:tcBorders>
              <w:bottom w:val="single" w:sz="8" w:color="auto"/>
            </w:tcBorders>
            <w:shd w:val="clear" w:color="auto" w:fill="CCEEFF"/>
          </w:tcPr>
          <w:p>
            <w:pPr>
              <w:jc w:val="right"/>
              <w:ind w:right="1378"/>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9,188</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7,104</w:t>
            </w:r>
          </w:p>
        </w:tc>
      </w:tr>
      <w:tr>
        <w:trPr>
          <w:trHeight w:val="20"/>
        </w:trPr>
        <w:tc>
          <w:tcPr>
            <w:tcW w:w="6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2"/>
        </w:trPr>
        <w:tc>
          <w:tcPr>
            <w:tcW w:w="6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2"/>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Restructured loans-nonaccrual</w:t>
            </w:r>
          </w:p>
        </w:tc>
        <w:tc>
          <w:tcPr>
            <w:tcW w:w="1540" w:type="dxa"/>
            <w:vAlign w:val="bottom"/>
            <w:shd w:val="clear" w:color="auto" w:fill="CCEEFF"/>
          </w:tcPr>
          <w:p>
            <w:pPr>
              <w:jc w:val="right"/>
              <w:ind w:right="137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459</w:t>
            </w:r>
          </w:p>
        </w:tc>
      </w:tr>
      <w:tr>
        <w:trPr>
          <w:trHeight w:val="205"/>
        </w:trPr>
        <w:tc>
          <w:tcPr>
            <w:tcW w:w="6500" w:type="dxa"/>
            <w:vAlign w:val="bottom"/>
          </w:tcPr>
          <w:p>
            <w:pPr>
              <w:ind w:left="20"/>
              <w:spacing w:after="0"/>
              <w:rPr>
                <w:sz w:val="20"/>
                <w:szCs w:val="20"/>
                <w:color w:val="auto"/>
              </w:rPr>
            </w:pPr>
            <w:r>
              <w:rPr>
                <w:rFonts w:ascii="Arial" w:cs="Arial" w:eastAsia="Arial" w:hAnsi="Arial"/>
                <w:sz w:val="13"/>
                <w:szCs w:val="13"/>
                <w:color w:val="auto"/>
              </w:rPr>
              <w:t>Restructured loans-accruing</w:t>
            </w:r>
          </w:p>
        </w:tc>
        <w:tc>
          <w:tcPr>
            <w:tcW w:w="1540" w:type="dxa"/>
            <w:vAlign w:val="bottom"/>
          </w:tcPr>
          <w:p>
            <w:pPr>
              <w:jc w:val="right"/>
              <w:ind w:right="1378"/>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6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Ratio of nonperforming loans to total loans</w:t>
            </w: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0.49%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0.40%</w:t>
            </w:r>
          </w:p>
        </w:tc>
      </w:tr>
      <w:tr>
        <w:trPr>
          <w:trHeight w:val="218"/>
        </w:trPr>
        <w:tc>
          <w:tcPr>
            <w:tcW w:w="6500" w:type="dxa"/>
            <w:vAlign w:val="bottom"/>
          </w:tcPr>
          <w:p>
            <w:pPr>
              <w:ind w:left="20"/>
              <w:spacing w:after="0"/>
              <w:rPr>
                <w:sz w:val="20"/>
                <w:szCs w:val="20"/>
                <w:color w:val="auto"/>
              </w:rPr>
            </w:pPr>
            <w:r>
              <w:rPr>
                <w:rFonts w:ascii="Arial" w:cs="Arial" w:eastAsia="Arial" w:hAnsi="Arial"/>
                <w:sz w:val="13"/>
                <w:szCs w:val="13"/>
                <w:color w:val="auto"/>
              </w:rPr>
              <w:t>Ratio of nonperforming assets to total assets</w:t>
            </w:r>
          </w:p>
        </w:tc>
        <w:tc>
          <w:tcPr>
            <w:tcW w:w="1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0.61%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0.50%</w:t>
            </w:r>
          </w:p>
        </w:tc>
      </w:tr>
    </w:tbl>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309" w:right="319" w:bottom="1440" w:gutter="0" w:footer="0" w:header="0"/>
        </w:sectPr>
      </w:pPr>
    </w:p>
    <w:bookmarkStart w:id="54" w:name="page55"/>
    <w:bookmarkEnd w:id="54"/>
    <w:p>
      <w:pPr>
        <w:ind w:left="260"/>
        <w:spacing w:after="0"/>
        <w:rPr>
          <w:sz w:val="20"/>
          <w:szCs w:val="20"/>
          <w:color w:val="auto"/>
        </w:rPr>
      </w:pPr>
      <w:r>
        <w:rPr>
          <w:rFonts w:ascii="Arial" w:cs="Arial" w:eastAsia="Arial" w:hAnsi="Arial"/>
          <w:sz w:val="14"/>
          <w:szCs w:val="14"/>
          <w:color w:val="auto"/>
        </w:rPr>
        <w:t>The following table presents the loan balances by category as well as risk rating at the dates indicated. No assets were classified as loss during the periods presented.</w:t>
      </w:r>
    </w:p>
    <w:p>
      <w:pPr>
        <w:spacing w:after="0" w:line="161"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LOAN CLASSIFICATION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Pass</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Special Mention</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Substandard</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Doubtful</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4"/>
        </w:trPr>
        <w:tc>
          <w:tcPr>
            <w:tcW w:w="350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3"/>
                <w:szCs w:val="13"/>
                <w:color w:val="auto"/>
              </w:rPr>
              <w:t>Real estate: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Residential</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424,908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4,257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430,870</w:t>
            </w:r>
          </w:p>
        </w:tc>
        <w:tc>
          <w:tcPr>
            <w:tcW w:w="0" w:type="dxa"/>
            <w:vAlign w:val="bottom"/>
          </w:tcPr>
          <w:p>
            <w:pPr>
              <w:spacing w:after="0"/>
              <w:rPr>
                <w:sz w:val="1"/>
                <w:szCs w:val="1"/>
                <w:color w:val="auto"/>
              </w:rPr>
            </w:pPr>
          </w:p>
        </w:tc>
      </w:tr>
      <w:tr>
        <w:trPr>
          <w:trHeight w:val="205"/>
        </w:trPr>
        <w:tc>
          <w:tcPr>
            <w:tcW w:w="3500" w:type="dxa"/>
            <w:vAlign w:val="bottom"/>
          </w:tcPr>
          <w:p>
            <w:pPr>
              <w:ind w:left="160"/>
              <w:spacing w:after="0"/>
              <w:rPr>
                <w:sz w:val="20"/>
                <w:szCs w:val="20"/>
                <w:color w:val="auto"/>
              </w:rPr>
            </w:pPr>
            <w:r>
              <w:rPr>
                <w:rFonts w:ascii="Arial" w:cs="Arial" w:eastAsia="Arial" w:hAnsi="Arial"/>
                <w:sz w:val="13"/>
                <w:szCs w:val="13"/>
                <w:color w:val="auto"/>
              </w:rPr>
              <w:t>Commercial</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352,880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b w:val="1"/>
                <w:bCs w:val="1"/>
                <w:color w:val="auto"/>
              </w:rPr>
              <w:t>6,313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b w:val="1"/>
                <w:bCs w:val="1"/>
                <w:color w:val="auto"/>
              </w:rPr>
              <w:t>1,408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92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360,601</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Construction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200,885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1,568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204,047</w:t>
            </w:r>
          </w:p>
        </w:tc>
        <w:tc>
          <w:tcPr>
            <w:tcW w:w="0" w:type="dxa"/>
            <w:vAlign w:val="bottom"/>
          </w:tcPr>
          <w:p>
            <w:pPr>
              <w:spacing w:after="0"/>
              <w:rPr>
                <w:sz w:val="1"/>
                <w:szCs w:val="1"/>
                <w:color w:val="auto"/>
              </w:rPr>
            </w:pPr>
          </w:p>
        </w:tc>
      </w:tr>
      <w:tr>
        <w:trPr>
          <w:trHeight w:val="205"/>
        </w:trPr>
        <w:tc>
          <w:tcPr>
            <w:tcW w:w="3500" w:type="dxa"/>
            <w:vAlign w:val="bottom"/>
          </w:tcPr>
          <w:p>
            <w:pPr>
              <w:ind w:left="20"/>
              <w:spacing w:after="0"/>
              <w:rPr>
                <w:sz w:val="20"/>
                <w:szCs w:val="20"/>
                <w:color w:val="auto"/>
              </w:rPr>
            </w:pPr>
            <w:r>
              <w:rPr>
                <w:rFonts w:ascii="Arial" w:cs="Arial" w:eastAsia="Arial" w:hAnsi="Arial"/>
                <w:sz w:val="13"/>
                <w:szCs w:val="13"/>
                <w:color w:val="auto"/>
              </w:rPr>
              <w:t>Commercial</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145,701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b w:val="1"/>
                <w:bCs w:val="1"/>
                <w:color w:val="auto"/>
              </w:rPr>
              <w:t>4,508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b w:val="1"/>
                <w:bCs w:val="1"/>
                <w:color w:val="auto"/>
              </w:rPr>
              <w:t>1,342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92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151,551</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41,881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41,881</w:t>
            </w:r>
          </w:p>
        </w:tc>
        <w:tc>
          <w:tcPr>
            <w:tcW w:w="0" w:type="dxa"/>
            <w:vAlign w:val="bottom"/>
          </w:tcPr>
          <w:p>
            <w:pPr>
              <w:spacing w:after="0"/>
              <w:rPr>
                <w:sz w:val="1"/>
                <w:szCs w:val="1"/>
                <w:color w:val="auto"/>
              </w:rPr>
            </w:pPr>
          </w:p>
        </w:tc>
      </w:tr>
      <w:tr>
        <w:trPr>
          <w:trHeight w:val="205"/>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consumer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1,103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1,103</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1,167,358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16,672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6,023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1,190,053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December 31, 2019</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3"/>
                <w:szCs w:val="13"/>
                <w:color w:val="auto"/>
              </w:rPr>
              <w:t>Real estate: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Residential</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425,661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427,926</w:t>
            </w:r>
          </w:p>
        </w:tc>
        <w:tc>
          <w:tcPr>
            <w:tcW w:w="0" w:type="dxa"/>
            <w:vAlign w:val="bottom"/>
          </w:tcPr>
          <w:p>
            <w:pPr>
              <w:spacing w:after="0"/>
              <w:rPr>
                <w:sz w:val="1"/>
                <w:szCs w:val="1"/>
                <w:color w:val="auto"/>
              </w:rPr>
            </w:pPr>
          </w:p>
        </w:tc>
      </w:tr>
      <w:tr>
        <w:trPr>
          <w:trHeight w:val="205"/>
        </w:trPr>
        <w:tc>
          <w:tcPr>
            <w:tcW w:w="3500" w:type="dxa"/>
            <w:vAlign w:val="bottom"/>
          </w:tcPr>
          <w:p>
            <w:pPr>
              <w:ind w:left="160"/>
              <w:spacing w:after="0"/>
              <w:rPr>
                <w:sz w:val="20"/>
                <w:szCs w:val="20"/>
                <w:color w:val="auto"/>
              </w:rPr>
            </w:pPr>
            <w:r>
              <w:rPr>
                <w:rFonts w:ascii="Arial" w:cs="Arial" w:eastAsia="Arial" w:hAnsi="Arial"/>
                <w:sz w:val="13"/>
                <w:szCs w:val="13"/>
                <w:color w:val="auto"/>
              </w:rPr>
              <w:t>Commercial</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340,313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6,345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348,091</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Construction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198,702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198,702</w:t>
            </w:r>
          </w:p>
        </w:tc>
        <w:tc>
          <w:tcPr>
            <w:tcW w:w="0" w:type="dxa"/>
            <w:vAlign w:val="bottom"/>
          </w:tcPr>
          <w:p>
            <w:pPr>
              <w:spacing w:after="0"/>
              <w:rPr>
                <w:sz w:val="1"/>
                <w:szCs w:val="1"/>
                <w:color w:val="auto"/>
              </w:rPr>
            </w:pPr>
          </w:p>
        </w:tc>
      </w:tr>
      <w:tr>
        <w:trPr>
          <w:trHeight w:val="205"/>
        </w:trPr>
        <w:tc>
          <w:tcPr>
            <w:tcW w:w="3500" w:type="dxa"/>
            <w:vAlign w:val="bottom"/>
          </w:tcPr>
          <w:p>
            <w:pPr>
              <w:ind w:left="20"/>
              <w:spacing w:after="0"/>
              <w:rPr>
                <w:sz w:val="20"/>
                <w:szCs w:val="20"/>
                <w:color w:val="auto"/>
              </w:rPr>
            </w:pPr>
            <w:r>
              <w:rPr>
                <w:rFonts w:ascii="Arial" w:cs="Arial" w:eastAsia="Arial" w:hAnsi="Arial"/>
                <w:sz w:val="13"/>
                <w:szCs w:val="13"/>
                <w:color w:val="auto"/>
              </w:rPr>
              <w:t>Commercial</w:t>
            </w:r>
          </w:p>
        </w:tc>
        <w:tc>
          <w:tcPr>
            <w:tcW w:w="340" w:type="dxa"/>
            <w:vAlign w:val="bottom"/>
          </w:tcPr>
          <w:p>
            <w:pPr>
              <w:spacing w:after="0"/>
              <w:rPr>
                <w:sz w:val="17"/>
                <w:szCs w:val="17"/>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145,178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4,505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151,109</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46,412</w:t>
            </w:r>
          </w:p>
        </w:tc>
        <w:tc>
          <w:tcPr>
            <w:tcW w:w="0" w:type="dxa"/>
            <w:vAlign w:val="bottom"/>
          </w:tcPr>
          <w:p>
            <w:pPr>
              <w:spacing w:after="0"/>
              <w:rPr>
                <w:sz w:val="1"/>
                <w:szCs w:val="1"/>
                <w:color w:val="auto"/>
              </w:rPr>
            </w:pPr>
          </w:p>
        </w:tc>
      </w:tr>
      <w:tr>
        <w:trPr>
          <w:trHeight w:val="205"/>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consumer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1,157,551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1,173,525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60" w:hanging="255"/>
        <w:spacing w:after="0" w:line="209" w:lineRule="auto"/>
        <w:tabs>
          <w:tab w:leader="none" w:pos="260"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Category includes loans graded exceptional, very good, good, satisfactory and pass / watch, in addition to consumer credits that are not graded.</w:t>
      </w:r>
    </w:p>
    <w:p>
      <w:pPr>
        <w:spacing w:after="0" w:line="15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At March 31, 2020, the recorded investment in impaired loans was $5.0 million, of which $239 thousand required a specific reserve of $89 thousand. This compares to a recorded investment in impaired loans of $4.1 million at December 31, 2019, including $273 thousand which required a specific reserve of $119 thousand. The increase in impaired loans from the prior quarter relates to one relationship totaling $1.4 million that we believe to be well secured and on which no impairment is expected.</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Impaired loans also include certain loans that have been modified as TDRs. The Company had five loans amounting to $454 thousand at March 31, 2020, and five loans totaling $459 thousand at December 31, 2019 that were considered to be TDRs.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Allowance for Loan Losses</w:t>
      </w:r>
    </w:p>
    <w:p>
      <w:pPr>
        <w:spacing w:after="0" w:line="19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 The following table presents a summary of changes in the allowance for loan losses for the periods and dates indicated:</w:t>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309"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ANALYSIS OF THE ALLOWANCE FOR LOAN LOSSES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For the Three Months Ended March 31,</w:t>
            </w:r>
          </w:p>
        </w:tc>
        <w:tc>
          <w:tcPr>
            <w:tcW w:w="120" w:type="dxa"/>
            <w:vAlign w:val="bottom"/>
          </w:tcPr>
          <w:p>
            <w:pPr>
              <w:spacing w:after="0"/>
              <w:rPr>
                <w:sz w:val="11"/>
                <w:szCs w:val="11"/>
                <w:color w:val="auto"/>
              </w:rPr>
            </w:pPr>
          </w:p>
        </w:tc>
        <w:tc>
          <w:tcPr>
            <w:tcW w:w="1960" w:type="dxa"/>
            <w:vAlign w:val="bottom"/>
          </w:tcPr>
          <w:p>
            <w:pPr>
              <w:jc w:val="right"/>
              <w:ind w:right="77"/>
              <w:spacing w:after="0"/>
              <w:rPr>
                <w:sz w:val="20"/>
                <w:szCs w:val="20"/>
                <w:color w:val="auto"/>
              </w:rPr>
            </w:pPr>
            <w:r>
              <w:rPr>
                <w:rFonts w:ascii="Arial" w:cs="Arial" w:eastAsia="Arial" w:hAnsi="Arial"/>
                <w:sz w:val="11"/>
                <w:szCs w:val="11"/>
                <w:b w:val="1"/>
                <w:bCs w:val="1"/>
                <w:color w:val="auto"/>
              </w:rPr>
              <w:t>For the Year Ended December 31,</w:t>
            </w:r>
          </w:p>
        </w:tc>
      </w:tr>
      <w:tr>
        <w:trPr>
          <w:trHeight w:val="150"/>
        </w:trPr>
        <w:tc>
          <w:tcPr>
            <w:tcW w:w="6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ind w:right="957"/>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857"/>
              <w:spacing w:after="0"/>
              <w:rPr>
                <w:sz w:val="20"/>
                <w:szCs w:val="20"/>
                <w:color w:val="auto"/>
              </w:rPr>
            </w:pPr>
            <w:r>
              <w:rPr>
                <w:rFonts w:ascii="Arial" w:cs="Arial" w:eastAsia="Arial" w:hAnsi="Arial"/>
                <w:sz w:val="11"/>
                <w:szCs w:val="11"/>
                <w:b w:val="1"/>
                <w:bCs w:val="1"/>
                <w:color w:val="auto"/>
              </w:rPr>
              <w:t>2019</w:t>
            </w:r>
          </w:p>
        </w:tc>
      </w:tr>
      <w:tr>
        <w:trPr>
          <w:trHeight w:val="202"/>
        </w:trPr>
        <w:tc>
          <w:tcPr>
            <w:tcW w:w="66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1"/>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loan losses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13,301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11,308</w:t>
            </w:r>
          </w:p>
        </w:tc>
      </w:tr>
      <w:tr>
        <w:trPr>
          <w:trHeight w:val="205"/>
        </w:trPr>
        <w:tc>
          <w:tcPr>
            <w:tcW w:w="6680" w:type="dxa"/>
            <w:vAlign w:val="bottom"/>
          </w:tcPr>
          <w:p>
            <w:pPr>
              <w:ind w:left="20"/>
              <w:spacing w:after="0"/>
              <w:rPr>
                <w:sz w:val="20"/>
                <w:szCs w:val="20"/>
                <w:color w:val="auto"/>
              </w:rPr>
            </w:pPr>
            <w:r>
              <w:rPr>
                <w:rFonts w:ascii="Arial" w:cs="Arial" w:eastAsia="Arial" w:hAnsi="Arial"/>
                <w:sz w:val="13"/>
                <w:szCs w:val="13"/>
                <w:color w:val="auto"/>
              </w:rPr>
              <w:t>Charge-offs:</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0"/>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Residential</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r>
      <w:tr>
        <w:trPr>
          <w:trHeight w:val="205"/>
        </w:trPr>
        <w:tc>
          <w:tcPr>
            <w:tcW w:w="6680" w:type="dxa"/>
            <w:vAlign w:val="bottom"/>
          </w:tcPr>
          <w:p>
            <w:pPr>
              <w:ind w:left="140"/>
              <w:spacing w:after="0"/>
              <w:rPr>
                <w:sz w:val="20"/>
                <w:szCs w:val="20"/>
                <w:color w:val="auto"/>
              </w:rPr>
            </w:pPr>
            <w:r>
              <w:rPr>
                <w:rFonts w:ascii="Arial" w:cs="Arial" w:eastAsia="Arial" w:hAnsi="Arial"/>
                <w:sz w:val="13"/>
                <w:szCs w:val="13"/>
                <w:color w:val="auto"/>
              </w:rPr>
              <w:t>Commercial</w:t>
            </w:r>
          </w:p>
        </w:tc>
        <w:tc>
          <w:tcPr>
            <w:tcW w:w="100" w:type="dxa"/>
            <w:vAlign w:val="bottom"/>
          </w:tcPr>
          <w:p>
            <w:pPr>
              <w:spacing w:after="0"/>
              <w:rPr>
                <w:sz w:val="17"/>
                <w:szCs w:val="17"/>
                <w:color w:val="auto"/>
              </w:rPr>
            </w:pPr>
          </w:p>
        </w:tc>
        <w:tc>
          <w:tcPr>
            <w:tcW w:w="2200" w:type="dxa"/>
            <w:vAlign w:val="bottom"/>
          </w:tcPr>
          <w:p>
            <w:pPr>
              <w:jc w:val="right"/>
              <w:ind w:right="37"/>
              <w:spacing w:after="0"/>
              <w:rPr>
                <w:sz w:val="20"/>
                <w:szCs w:val="20"/>
                <w:color w:val="auto"/>
              </w:rPr>
            </w:pPr>
            <w:r>
              <w:rPr>
                <w:rFonts w:ascii="Arial" w:cs="Arial" w:eastAsia="Arial" w:hAnsi="Arial"/>
                <w:sz w:val="13"/>
                <w:szCs w:val="13"/>
                <w:b w:val="1"/>
                <w:bCs w:val="1"/>
                <w:color w:val="auto"/>
              </w:rPr>
              <w:t>(25)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right"/>
              <w:ind w:right="37"/>
              <w:spacing w:after="0"/>
              <w:rPr>
                <w:sz w:val="20"/>
                <w:szCs w:val="20"/>
                <w:color w:val="auto"/>
              </w:rPr>
            </w:pPr>
            <w:r>
              <w:rPr>
                <w:rFonts w:ascii="Arial" w:cs="Arial" w:eastAsia="Arial" w:hAnsi="Arial"/>
                <w:sz w:val="13"/>
                <w:szCs w:val="13"/>
                <w:color w:val="auto"/>
              </w:rPr>
              <w:t>(331)</w:t>
            </w:r>
          </w:p>
        </w:tc>
      </w:tr>
      <w:tr>
        <w:trPr>
          <w:trHeight w:val="212"/>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Credit card</w:t>
            </w:r>
          </w:p>
        </w:tc>
        <w:tc>
          <w:tcPr>
            <w:tcW w:w="10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(179)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(461)</w:t>
            </w:r>
          </w:p>
        </w:tc>
      </w:tr>
      <w:tr>
        <w:trPr>
          <w:trHeight w:val="192"/>
        </w:trPr>
        <w:tc>
          <w:tcPr>
            <w:tcW w:w="66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charge-offs</w:t>
            </w: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(204)</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(832)</w:t>
            </w:r>
          </w:p>
        </w:tc>
      </w:tr>
      <w:tr>
        <w:trPr>
          <w:trHeight w:val="210"/>
        </w:trPr>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05"/>
        </w:trPr>
        <w:tc>
          <w:tcPr>
            <w:tcW w:w="6680" w:type="dxa"/>
            <w:vAlign w:val="bottom"/>
          </w:tcPr>
          <w:p>
            <w:pPr>
              <w:ind w:left="20"/>
              <w:spacing w:after="0"/>
              <w:rPr>
                <w:sz w:val="20"/>
                <w:szCs w:val="20"/>
                <w:color w:val="auto"/>
              </w:rPr>
            </w:pPr>
            <w:r>
              <w:rPr>
                <w:rFonts w:ascii="Arial" w:cs="Arial" w:eastAsia="Arial" w:hAnsi="Arial"/>
                <w:sz w:val="13"/>
                <w:szCs w:val="13"/>
                <w:color w:val="auto"/>
              </w:rPr>
              <w:t>Recoveries:</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0"/>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 estate:</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05"/>
        </w:trPr>
        <w:tc>
          <w:tcPr>
            <w:tcW w:w="6680" w:type="dxa"/>
            <w:vAlign w:val="bottom"/>
          </w:tcPr>
          <w:p>
            <w:pPr>
              <w:ind w:left="260"/>
              <w:spacing w:after="0"/>
              <w:rPr>
                <w:sz w:val="20"/>
                <w:szCs w:val="20"/>
                <w:color w:val="auto"/>
              </w:rPr>
            </w:pPr>
            <w:r>
              <w:rPr>
                <w:rFonts w:ascii="Arial" w:cs="Arial" w:eastAsia="Arial" w:hAnsi="Arial"/>
                <w:sz w:val="13"/>
                <w:szCs w:val="13"/>
                <w:color w:val="auto"/>
              </w:rPr>
              <w:t>Commercial</w:t>
            </w:r>
          </w:p>
        </w:tc>
        <w:tc>
          <w:tcPr>
            <w:tcW w:w="100" w:type="dxa"/>
            <w:vAlign w:val="bottom"/>
          </w:tcPr>
          <w:p>
            <w:pPr>
              <w:spacing w:after="0"/>
              <w:rPr>
                <w:sz w:val="17"/>
                <w:szCs w:val="17"/>
                <w:color w:val="auto"/>
              </w:rPr>
            </w:pPr>
          </w:p>
        </w:tc>
        <w:tc>
          <w:tcPr>
            <w:tcW w:w="24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7"/>
                <w:szCs w:val="17"/>
                <w:color w:val="auto"/>
              </w:rPr>
            </w:pPr>
          </w:p>
        </w:tc>
        <w:tc>
          <w:tcPr>
            <w:tcW w:w="1960" w:type="dxa"/>
            <w:vAlign w:val="bottom"/>
          </w:tcPr>
          <w:p>
            <w:pPr>
              <w:jc w:val="right"/>
              <w:ind w:right="77"/>
              <w:spacing w:after="0"/>
              <w:rPr>
                <w:sz w:val="20"/>
                <w:szCs w:val="20"/>
                <w:color w:val="auto"/>
              </w:rPr>
            </w:pPr>
            <w:r>
              <w:rPr>
                <w:rFonts w:ascii="Arial" w:cs="Arial" w:eastAsia="Arial" w:hAnsi="Arial"/>
                <w:sz w:val="13"/>
                <w:szCs w:val="13"/>
                <w:color w:val="auto"/>
              </w:rPr>
              <w:t>13</w:t>
            </w:r>
          </w:p>
        </w:tc>
      </w:tr>
      <w:tr>
        <w:trPr>
          <w:trHeight w:val="220"/>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r>
      <w:tr>
        <w:trPr>
          <w:trHeight w:val="205"/>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Credit card</w:t>
            </w:r>
          </w:p>
        </w:tc>
        <w:tc>
          <w:tcPr>
            <w:tcW w:w="1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19</w:t>
            </w:r>
          </w:p>
        </w:tc>
      </w:tr>
      <w:tr>
        <w:trPr>
          <w:trHeight w:val="192"/>
        </w:trPr>
        <w:tc>
          <w:tcPr>
            <w:tcW w:w="6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recoveries</w:t>
            </w:r>
          </w:p>
        </w:tc>
        <w:tc>
          <w:tcPr>
            <w:tcW w:w="10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8</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w:t>
            </w:r>
          </w:p>
        </w:tc>
      </w:tr>
      <w:tr>
        <w:trPr>
          <w:trHeight w:val="192"/>
        </w:trPr>
        <w:tc>
          <w:tcPr>
            <w:tcW w:w="6680" w:type="dxa"/>
            <w:vAlign w:val="bottom"/>
          </w:tcPr>
          <w:p>
            <w:pPr>
              <w:ind w:left="380"/>
              <w:spacing w:after="0"/>
              <w:rPr>
                <w:sz w:val="20"/>
                <w:szCs w:val="20"/>
                <w:color w:val="auto"/>
              </w:rPr>
            </w:pPr>
            <w:r>
              <w:rPr>
                <w:rFonts w:ascii="Arial" w:cs="Arial" w:eastAsia="Arial" w:hAnsi="Arial"/>
                <w:sz w:val="13"/>
                <w:szCs w:val="13"/>
                <w:color w:val="auto"/>
              </w:rPr>
              <w:t>Net charge-offs</w:t>
            </w:r>
          </w:p>
        </w:tc>
        <w:tc>
          <w:tcPr>
            <w:tcW w:w="100" w:type="dxa"/>
            <w:vAlign w:val="bottom"/>
          </w:tcPr>
          <w:p>
            <w:pPr>
              <w:spacing w:after="0"/>
              <w:rPr>
                <w:sz w:val="16"/>
                <w:szCs w:val="16"/>
                <w:color w:val="auto"/>
              </w:rPr>
            </w:pPr>
          </w:p>
        </w:tc>
        <w:tc>
          <w:tcPr>
            <w:tcW w:w="2200" w:type="dxa"/>
            <w:vAlign w:val="bottom"/>
          </w:tcPr>
          <w:p>
            <w:pPr>
              <w:jc w:val="right"/>
              <w:ind w:right="37"/>
              <w:spacing w:after="0"/>
              <w:rPr>
                <w:sz w:val="20"/>
                <w:szCs w:val="20"/>
                <w:color w:val="auto"/>
              </w:rPr>
            </w:pPr>
            <w:r>
              <w:rPr>
                <w:rFonts w:ascii="Arial" w:cs="Arial" w:eastAsia="Arial" w:hAnsi="Arial"/>
                <w:sz w:val="13"/>
                <w:szCs w:val="13"/>
                <w:b w:val="1"/>
                <w:bCs w:val="1"/>
                <w:color w:val="auto"/>
              </w:rPr>
              <w:t>(196)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ind w:right="37"/>
              <w:spacing w:after="0"/>
              <w:rPr>
                <w:sz w:val="20"/>
                <w:szCs w:val="20"/>
                <w:color w:val="auto"/>
              </w:rPr>
            </w:pPr>
            <w:r>
              <w:rPr>
                <w:rFonts w:ascii="Arial" w:cs="Arial" w:eastAsia="Arial" w:hAnsi="Arial"/>
                <w:sz w:val="13"/>
                <w:szCs w:val="13"/>
                <w:color w:val="auto"/>
              </w:rPr>
              <w:t>(798)</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loan losses</w:t>
            </w:r>
          </w:p>
        </w:tc>
        <w:tc>
          <w:tcPr>
            <w:tcW w:w="10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2,409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2,791</w:t>
            </w:r>
          </w:p>
        </w:tc>
      </w:tr>
      <w:tr>
        <w:trPr>
          <w:trHeight w:val="227"/>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Allowance for loan losses at period end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15,514</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13,301</w:t>
            </w:r>
          </w:p>
        </w:tc>
      </w:tr>
      <w:tr>
        <w:trPr>
          <w:trHeight w:val="186"/>
        </w:trPr>
        <w:tc>
          <w:tcPr>
            <w:tcW w:w="6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r>
      <w:tr>
        <w:trPr>
          <w:trHeight w:val="23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Loans outstanding, net of unearned income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1,187,798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1,171,121</w:t>
            </w:r>
          </w:p>
        </w:tc>
      </w:tr>
      <w:tr>
        <w:trPr>
          <w:trHeight w:val="16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Average loans outstanding, net of unearned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1,175,090</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1,064,421</w:t>
            </w: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Allowance for loan losses to period end loans</w:t>
            </w:r>
          </w:p>
        </w:tc>
        <w:tc>
          <w:tcPr>
            <w:tcW w:w="10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63"/>
        </w:trPr>
        <w:tc>
          <w:tcPr>
            <w:tcW w:w="6680" w:type="dxa"/>
            <w:vAlign w:val="bottom"/>
          </w:tcPr>
          <w:p>
            <w:pPr>
              <w:ind w:left="20"/>
              <w:spacing w:after="0"/>
              <w:rPr>
                <w:sz w:val="20"/>
                <w:szCs w:val="20"/>
                <w:color w:val="auto"/>
              </w:rPr>
            </w:pPr>
            <w:r>
              <w:rPr>
                <w:rFonts w:ascii="Arial" w:cs="Arial" w:eastAsia="Arial" w:hAnsi="Arial"/>
                <w:sz w:val="13"/>
                <w:szCs w:val="13"/>
                <w:color w:val="auto"/>
              </w:rPr>
              <w:t>Net charge-offs to average loans</w:t>
            </w: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0.08%</w:t>
            </w: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Our allowance for loan losses at March 31, 2020 and December 31, 2019 was $15.5 million, or 1.31% of loans, and $13.3 million, or 1.14% of loans, respectively. The increase in the allowance was primarily the result of a $2.2 million increase in the provision for loan losses which was due to the uncertain economic impact of COVID-19. The allowance for loan losses at March 31, 2020 included specific reserves of $ 89 thousand set aside for impaired loans. Charge-offs for the three months ended March 31, 2020 were $204 thousand and were partially offset by recoveries of $8 thousand. The allowance for loan losses at December 31, 2019 included specific reserves of $119 thousand set aside for impaired loans. Our charge-offs for the year ended December 31, 2019 were $832 thousand and were partially offset by recoveries of $34 thousand. The charge-offs for the first three months ended March 31, 2020 and for the year ended December 31, 2019 were primarily due to credit card charge-offs.</w:t>
      </w:r>
    </w:p>
    <w:p>
      <w:pPr>
        <w:spacing w:after="0" w:line="16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Although we believe that we have established our allowance for loan losses in accordance with generally accepted accounting principles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291"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ANALYSIS OF THE ALLOWANCE FOR LOAN LOSSES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ind w:left="660"/>
              <w:spacing w:after="0"/>
              <w:rPr>
                <w:sz w:val="20"/>
                <w:szCs w:val="20"/>
                <w:color w:val="auto"/>
              </w:rPr>
            </w:pPr>
            <w:r>
              <w:rPr>
                <w:rFonts w:ascii="Arial" w:cs="Arial" w:eastAsia="Arial" w:hAnsi="Arial"/>
                <w:sz w:val="11"/>
                <w:szCs w:val="11"/>
                <w:b w:val="1"/>
                <w:bCs w:val="1"/>
                <w:color w:val="auto"/>
              </w:rPr>
              <w:t>March 31, 2020</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1"/>
                <w:szCs w:val="11"/>
                <w:b w:val="1"/>
                <w:bCs w:val="1"/>
                <w:color w:val="auto"/>
              </w:rPr>
              <w:t>December 31, 2019</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w w:val="94"/>
              </w:rPr>
              <w:t xml:space="preserve">Percent </w:t>
            </w:r>
            <w:r>
              <w:rPr>
                <w:rFonts w:ascii="Arial" w:cs="Arial" w:eastAsia="Arial" w:hAnsi="Arial"/>
                <w:sz w:val="14"/>
                <w:szCs w:val="14"/>
                <w:b w:val="1"/>
                <w:bCs w:val="1"/>
                <w:color w:val="auto"/>
                <w:w w:val="94"/>
                <w:vertAlign w:val="superscript"/>
              </w:rPr>
              <w:t>(1)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126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 xml:space="preserve">Percent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84"/>
        </w:trPr>
        <w:tc>
          <w:tcPr>
            <w:tcW w:w="59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3"/>
                <w:szCs w:val="13"/>
                <w:color w:val="auto"/>
              </w:rPr>
              <w:t>Real estate: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Residential</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4,971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4,135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5"/>
        </w:trPr>
        <w:tc>
          <w:tcPr>
            <w:tcW w:w="5980" w:type="dxa"/>
            <w:vAlign w:val="bottom"/>
          </w:tcPr>
          <w:p>
            <w:pPr>
              <w:ind w:left="160"/>
              <w:spacing w:after="0"/>
              <w:rPr>
                <w:sz w:val="20"/>
                <w:szCs w:val="20"/>
                <w:color w:val="auto"/>
              </w:rPr>
            </w:pPr>
            <w:r>
              <w:rPr>
                <w:rFonts w:ascii="Arial" w:cs="Arial" w:eastAsia="Arial" w:hAnsi="Arial"/>
                <w:sz w:val="13"/>
                <w:szCs w:val="13"/>
                <w:color w:val="auto"/>
              </w:rPr>
              <w:t>Commercial</w:t>
            </w:r>
          </w:p>
        </w:tc>
        <w:tc>
          <w:tcPr>
            <w:tcW w:w="260" w:type="dxa"/>
            <w:vAlign w:val="bottom"/>
          </w:tcPr>
          <w:p>
            <w:pPr>
              <w:spacing w:after="0"/>
              <w:rPr>
                <w:sz w:val="17"/>
                <w:szCs w:val="17"/>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b w:val="1"/>
                <w:bCs w:val="1"/>
                <w:color w:val="auto"/>
              </w:rPr>
              <w:t>4,423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3,572</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Construction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3,032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3"/>
                <w:szCs w:val="13"/>
                <w:color w:val="auto"/>
              </w:rPr>
              <w:t>Commercial</w:t>
            </w:r>
          </w:p>
        </w:tc>
        <w:tc>
          <w:tcPr>
            <w:tcW w:w="260" w:type="dxa"/>
            <w:vAlign w:val="bottom"/>
          </w:tcPr>
          <w:p>
            <w:pPr>
              <w:spacing w:after="0"/>
              <w:rPr>
                <w:sz w:val="17"/>
                <w:szCs w:val="17"/>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b w:val="1"/>
                <w:bCs w:val="1"/>
                <w:color w:val="auto"/>
              </w:rPr>
              <w:t>1,663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1,548</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1,414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3"/>
                <w:szCs w:val="13"/>
                <w:color w:val="auto"/>
              </w:rPr>
              <w:t>Other consumer</w:t>
            </w:r>
          </w:p>
        </w:tc>
        <w:tc>
          <w:tcPr>
            <w:tcW w:w="260" w:type="dxa"/>
            <w:vAlign w:val="bottom"/>
          </w:tcPr>
          <w:p>
            <w:pPr>
              <w:spacing w:after="0"/>
              <w:rPr>
                <w:sz w:val="17"/>
                <w:szCs w:val="17"/>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b w:val="1"/>
                <w:bCs w:val="1"/>
                <w:color w:val="auto"/>
              </w:rPr>
              <w:t>11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allowance for loan losses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15,514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101%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13,301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40" w:hanging="135"/>
        <w:spacing w:after="0" w:line="209" w:lineRule="auto"/>
        <w:tabs>
          <w:tab w:leader="none" w:pos="14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Loan category as a percentage of total loans.</w:t>
      </w:r>
    </w:p>
    <w:p>
      <w:pPr>
        <w:spacing w:after="0" w:line="15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Beginning in the first quarter of 2020, the COVID-19 pandemic impacted the U.S. economy. Management is actively monitoring the loan portfolio for industry concentrations that we believe are most likely to be impacted early by the pandemic. While the Company has negligible exposure to the energy sector, shared national credits or leveraged lending, other initially affected industries include hospitality, food service and retail business.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March 31, 2020, the Company had 78 loans outstanding to the hospitality and food service industries totaling $59.0 million or 5.1% of the portfolio.</w:t>
      </w:r>
    </w:p>
    <w:p>
      <w:pPr>
        <w:spacing w:after="0" w:line="179"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Fifty-one of these borrowers, with loans totaling $49.3 million, have received payment deferrals and 26 borrowers have received PPP loans totaling $6.9 million.</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$8.1 million of the outstanding loans in the hospitality and food service industries have pre-existing SBA 7(a) guarantees amounting to $5.9 million.</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Hospitality loans totaled $29.6 million of which $26.6 million was secured by real estate with a weighted average LTV of 65%.</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Additionally, at March 31, 2020, the Company had 47 loans outstanding to retail business totaling $35.1 million, or 2.9%, of the loan portfolio.</w:t>
      </w:r>
    </w:p>
    <w:p>
      <w:pPr>
        <w:spacing w:after="0" w:line="179"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Six of these borrowers, with loans totaling $3.6 million, have received payment deferrals.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Ten borrowers have received PPP loans totaling $1.6 million.</w:t>
      </w:r>
    </w:p>
    <w:p>
      <w:pPr>
        <w:spacing w:after="0" w:line="178" w:lineRule="exact"/>
        <w:rPr>
          <w:rFonts w:ascii="Arial" w:cs="Arial" w:eastAsia="Arial" w:hAnsi="Arial"/>
          <w:sz w:val="14"/>
          <w:szCs w:val="14"/>
          <w:color w:val="auto"/>
        </w:rPr>
      </w:pPr>
    </w:p>
    <w:p>
      <w:pPr>
        <w:ind w:left="260" w:right="2280"/>
        <w:spacing w:after="0" w:line="495" w:lineRule="auto"/>
        <w:tabs>
          <w:tab w:leader="none" w:pos="515" w:val="left"/>
        </w:tabs>
        <w:numPr>
          <w:ilvl w:val="0"/>
          <w:numId w:val="16"/>
        </w:numPr>
        <w:rPr>
          <w:rFonts w:ascii="Arial" w:cs="Arial" w:eastAsia="Arial" w:hAnsi="Arial"/>
          <w:sz w:val="14"/>
          <w:szCs w:val="14"/>
          <w:color w:val="auto"/>
        </w:rPr>
      </w:pPr>
      <w:r>
        <w:rPr>
          <w:rFonts w:ascii="Arial" w:cs="Arial" w:eastAsia="Arial" w:hAnsi="Arial"/>
          <w:sz w:val="14"/>
          <w:szCs w:val="14"/>
          <w:color w:val="auto"/>
        </w:rPr>
        <w:t>$29.8 million of the loans to retail businesses are secured by commercial real estate with a weighted average loan to value ratio of 55%. The duration and severity of the pandemic will likely result in future credit challenges in these and other business sectors.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Deposits</w:t>
      </w:r>
    </w:p>
    <w:p>
      <w:pPr>
        <w:spacing w:after="0" w:line="193"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291" w:right="31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4"/>
          <w:szCs w:val="14"/>
          <w:color w:val="auto"/>
        </w:rPr>
        <w:t>efforts of our commercial lending officers and our business banking officers. Our credit card customers are a significant source of noninterest bearing deposits and accounted for $84.7 million, or 23%, of our total noninterest bearing deposit balances as of March 31, 2020, an increase of $7.0 million from the first three months of 2019. At March 31, 2020, an increase in fiduciary deposits contributed $35.1 million to the first quarter increase of $71.6 million in noninterest bearing deposits. We supplement our deposits with wholesale funding sources such as brokered deposits.</w:t>
      </w:r>
    </w:p>
    <w:p>
      <w:pPr>
        <w:spacing w:after="0" w:line="15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Interest bearing deposits increased $5.8 million, or 1%, from December 31, 2019 to March 31, 2020 and included increases in interest bearing demand and money market accounts, offset by a reduction in certificates of deposits. The Company continues to execute on its strategic initiative to improve the deposit portfolio mix from wholesale deposits to core deposits including noninterest bearing deposits. During the quarter, certificates of deposit decreased $41.4 million, or 12.7%, with brokered deposits representing a majority of that decrease. Money market accounts increased $44.9 million, or 10.5% from December 31, 2019 to March 31, 2020.</w:t>
      </w:r>
    </w:p>
    <w:p>
      <w:pPr>
        <w:spacing w:after="0" w:line="15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average rate paid on interest bearing deposits decreased 18 basis points from 1.80% for the year ended December 31, 2019 to 1.62% for the three months ended March 31, 2020. Rates paid on certificates of deposit decreased 14 basis points over the same period. The decrease in the average rates reflects decreases in market interest rates which began in the third quarter of 2019.</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average balances and average rates paid on deposits for the periods indicated: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COMPOSITION OF AVERAGE DEPOSITS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1"/>
                <w:szCs w:val="11"/>
                <w:b w:val="1"/>
                <w:bCs w:val="1"/>
                <w:color w:val="auto"/>
              </w:rPr>
              <w:t>For the Three Months Ended March 31, 2020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1"/>
                <w:szCs w:val="11"/>
                <w:b w:val="1"/>
                <w:bCs w:val="1"/>
                <w:color w:val="auto"/>
              </w:rPr>
              <w:t>For the Year Ended December 31, 2019</w:t>
            </w:r>
          </w:p>
        </w:tc>
      </w:tr>
      <w:tr>
        <w:trPr>
          <w:trHeight w:val="133"/>
        </w:trPr>
        <w:tc>
          <w:tcPr>
            <w:tcW w:w="5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398"/>
              <w:spacing w:after="0"/>
              <w:rPr>
                <w:sz w:val="20"/>
                <w:szCs w:val="20"/>
                <w:color w:val="auto"/>
              </w:rPr>
            </w:pPr>
            <w:r>
              <w:rPr>
                <w:rFonts w:ascii="Arial" w:cs="Arial" w:eastAsia="Arial" w:hAnsi="Arial"/>
                <w:sz w:val="11"/>
                <w:szCs w:val="11"/>
                <w:b w:val="1"/>
                <w:bCs w:val="1"/>
                <w:color w:val="auto"/>
              </w:rPr>
              <w:t>Average</w:t>
            </w:r>
          </w:p>
        </w:tc>
        <w:tc>
          <w:tcPr>
            <w:tcW w:w="15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100" w:type="dxa"/>
            <w:vAlign w:val="bottom"/>
          </w:tcPr>
          <w:p>
            <w:pPr>
              <w:jc w:val="right"/>
              <w:ind w:right="398"/>
              <w:spacing w:after="0"/>
              <w:rPr>
                <w:sz w:val="20"/>
                <w:szCs w:val="20"/>
                <w:color w:val="auto"/>
              </w:rPr>
            </w:pPr>
            <w:r>
              <w:rPr>
                <w:rFonts w:ascii="Arial" w:cs="Arial" w:eastAsia="Arial" w:hAnsi="Arial"/>
                <w:sz w:val="11"/>
                <w:szCs w:val="11"/>
                <w:b w:val="1"/>
                <w:bCs w:val="1"/>
                <w:color w:val="auto"/>
              </w:rPr>
              <w:t>Average</w:t>
            </w:r>
          </w:p>
        </w:tc>
        <w:tc>
          <w:tcPr>
            <w:tcW w:w="1460" w:type="dxa"/>
            <w:vAlign w:val="bottom"/>
          </w:tcPr>
          <w:p>
            <w:pPr>
              <w:jc w:val="right"/>
              <w:ind w:right="418"/>
              <w:spacing w:after="0"/>
              <w:rPr>
                <w:sz w:val="20"/>
                <w:szCs w:val="20"/>
                <w:color w:val="auto"/>
              </w:rPr>
            </w:pPr>
            <w:r>
              <w:rPr>
                <w:rFonts w:ascii="Arial" w:cs="Arial" w:eastAsia="Arial" w:hAnsi="Arial"/>
                <w:sz w:val="11"/>
                <w:szCs w:val="11"/>
                <w:b w:val="1"/>
                <w:bCs w:val="1"/>
                <w:color w:val="auto"/>
              </w:rPr>
              <w:t>Average</w:t>
            </w:r>
          </w:p>
        </w:tc>
      </w:tr>
      <w:tr>
        <w:trPr>
          <w:trHeight w:val="150"/>
        </w:trPr>
        <w:tc>
          <w:tcPr>
            <w:tcW w:w="5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Balance</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Rate</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Balance</w:t>
            </w:r>
          </w:p>
        </w:tc>
        <w:tc>
          <w:tcPr>
            <w:tcW w:w="146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Rate</w:t>
            </w:r>
          </w:p>
        </w:tc>
      </w:tr>
      <w:tr>
        <w:trPr>
          <w:trHeight w:val="193"/>
        </w:trPr>
        <w:tc>
          <w:tcPr>
            <w:tcW w:w="54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3"/>
                <w:szCs w:val="13"/>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8"/>
              <w:spacing w:after="0"/>
              <w:rPr>
                <w:sz w:val="20"/>
                <w:szCs w:val="20"/>
                <w:color w:val="auto"/>
              </w:rPr>
            </w:pPr>
            <w:r>
              <w:rPr>
                <w:rFonts w:ascii="Arial" w:cs="Arial" w:eastAsia="Arial" w:hAnsi="Arial"/>
                <w:sz w:val="13"/>
                <w:szCs w:val="13"/>
                <w:b w:val="1"/>
                <w:bCs w:val="1"/>
                <w:color w:val="auto"/>
              </w:rPr>
              <w:t>143,875</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0.64%</w:t>
            </w:r>
          </w:p>
        </w:tc>
        <w:tc>
          <w:tcPr>
            <w:tcW w:w="1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58"/>
              <w:spacing w:after="0"/>
              <w:rPr>
                <w:sz w:val="20"/>
                <w:szCs w:val="20"/>
                <w:color w:val="auto"/>
              </w:rPr>
            </w:pPr>
            <w:r>
              <w:rPr>
                <w:rFonts w:ascii="Arial" w:cs="Arial" w:eastAsia="Arial" w:hAnsi="Arial"/>
                <w:sz w:val="13"/>
                <w:szCs w:val="13"/>
                <w:color w:val="auto"/>
              </w:rPr>
              <w:t>109,977</w:t>
            </w:r>
          </w:p>
        </w:tc>
        <w:tc>
          <w:tcPr>
            <w:tcW w:w="1460" w:type="dxa"/>
            <w:vAlign w:val="bottom"/>
          </w:tcPr>
          <w:p>
            <w:pPr>
              <w:jc w:val="right"/>
              <w:spacing w:after="0"/>
              <w:rPr>
                <w:sz w:val="20"/>
                <w:szCs w:val="20"/>
                <w:color w:val="auto"/>
              </w:rPr>
            </w:pPr>
            <w:r>
              <w:rPr>
                <w:rFonts w:ascii="Arial" w:cs="Arial" w:eastAsia="Arial" w:hAnsi="Arial"/>
                <w:sz w:val="13"/>
                <w:szCs w:val="13"/>
                <w:color w:val="auto"/>
              </w:rPr>
              <w:t>0.61%</w:t>
            </w:r>
          </w:p>
        </w:tc>
      </w:tr>
      <w:tr>
        <w:trPr>
          <w:trHeight w:val="220"/>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accounts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446,928</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344,272</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205"/>
        </w:trPr>
        <w:tc>
          <w:tcPr>
            <w:tcW w:w="5480" w:type="dxa"/>
            <w:vAlign w:val="bottom"/>
          </w:tcPr>
          <w:p>
            <w:pPr>
              <w:ind w:left="20"/>
              <w:spacing w:after="0"/>
              <w:rPr>
                <w:sz w:val="20"/>
                <w:szCs w:val="20"/>
                <w:color w:val="auto"/>
              </w:rPr>
            </w:pPr>
            <w:r>
              <w:rPr>
                <w:rFonts w:ascii="Arial" w:cs="Arial" w:eastAsia="Arial" w:hAnsi="Arial"/>
                <w:sz w:val="13"/>
                <w:szCs w:val="13"/>
                <w:color w:val="auto"/>
              </w:rPr>
              <w:t>Savings accounts</w:t>
            </w:r>
          </w:p>
        </w:tc>
        <w:tc>
          <w:tcPr>
            <w:tcW w:w="160" w:type="dxa"/>
            <w:vAlign w:val="bottom"/>
          </w:tcPr>
          <w:p>
            <w:pPr>
              <w:spacing w:after="0"/>
              <w:rPr>
                <w:sz w:val="17"/>
                <w:szCs w:val="17"/>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b w:val="1"/>
                <w:bCs w:val="1"/>
                <w:color w:val="auto"/>
              </w:rPr>
              <w:t>4,409</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0.30%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58"/>
              <w:spacing w:after="0"/>
              <w:rPr>
                <w:sz w:val="20"/>
                <w:szCs w:val="20"/>
                <w:color w:val="auto"/>
              </w:rPr>
            </w:pPr>
            <w:r>
              <w:rPr>
                <w:rFonts w:ascii="Arial" w:cs="Arial" w:eastAsia="Arial" w:hAnsi="Arial"/>
                <w:sz w:val="13"/>
                <w:szCs w:val="13"/>
                <w:color w:val="auto"/>
              </w:rPr>
              <w:t>3,597</w:t>
            </w:r>
          </w:p>
        </w:tc>
        <w:tc>
          <w:tcPr>
            <w:tcW w:w="1460" w:type="dxa"/>
            <w:vAlign w:val="bottom"/>
          </w:tcPr>
          <w:p>
            <w:pPr>
              <w:jc w:val="right"/>
              <w:spacing w:after="0"/>
              <w:rPr>
                <w:sz w:val="20"/>
                <w:szCs w:val="20"/>
                <w:color w:val="auto"/>
              </w:rPr>
            </w:pPr>
            <w:r>
              <w:rPr>
                <w:rFonts w:ascii="Arial" w:cs="Arial" w:eastAsia="Arial" w:hAnsi="Arial"/>
                <w:sz w:val="13"/>
                <w:szCs w:val="13"/>
                <w:color w:val="auto"/>
              </w:rPr>
              <w:t>0.36%</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Certificates of deposit</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304,053</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302,149</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92"/>
        </w:trPr>
        <w:tc>
          <w:tcPr>
            <w:tcW w:w="54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Total interest bearing deposits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899,265</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1.62%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759,995</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1.80%</w:t>
            </w: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bearing demand accounts</w:t>
            </w: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295,060</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260,726</w:t>
            </w:r>
          </w:p>
        </w:tc>
        <w:tc>
          <w:tcPr>
            <w:tcW w:w="1460" w:type="dxa"/>
            <w:vAlign w:val="bottom"/>
            <w:shd w:val="clear" w:color="auto" w:fill="CCEEFF"/>
          </w:tcPr>
          <w:p>
            <w:pPr>
              <w:spacing w:after="0"/>
              <w:rPr>
                <w:sz w:val="16"/>
                <w:szCs w:val="16"/>
                <w:color w:val="auto"/>
              </w:rPr>
            </w:pPr>
          </w:p>
        </w:tc>
      </w:tr>
      <w:tr>
        <w:trPr>
          <w:trHeight w:val="187"/>
        </w:trPr>
        <w:tc>
          <w:tcPr>
            <w:tcW w:w="5480" w:type="dxa"/>
            <w:vAlign w:val="bottom"/>
          </w:tcPr>
          <w:p>
            <w:pPr>
              <w:ind w:left="160"/>
              <w:spacing w:after="0"/>
              <w:rPr>
                <w:sz w:val="20"/>
                <w:szCs w:val="20"/>
                <w:color w:val="auto"/>
              </w:rPr>
            </w:pPr>
            <w:r>
              <w:rPr>
                <w:rFonts w:ascii="Arial" w:cs="Arial" w:eastAsia="Arial" w:hAnsi="Arial"/>
                <w:sz w:val="13"/>
                <w:szCs w:val="13"/>
                <w:color w:val="auto"/>
              </w:rPr>
              <w:t>Total deposits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1,194,325</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1.22%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1,020,721</w:t>
            </w:r>
          </w:p>
        </w:tc>
        <w:tc>
          <w:tcPr>
            <w:tcW w:w="1460" w:type="dxa"/>
            <w:vAlign w:val="bottom"/>
          </w:tcPr>
          <w:p>
            <w:pPr>
              <w:jc w:val="right"/>
              <w:spacing w:after="0"/>
              <w:rPr>
                <w:sz w:val="20"/>
                <w:szCs w:val="20"/>
                <w:color w:val="auto"/>
              </w:rPr>
            </w:pPr>
            <w:r>
              <w:rPr>
                <w:rFonts w:ascii="Arial" w:cs="Arial" w:eastAsia="Arial" w:hAnsi="Arial"/>
                <w:sz w:val="13"/>
                <w:szCs w:val="13"/>
                <w:color w:val="auto"/>
              </w:rPr>
              <w:t>1.34%</w:t>
            </w:r>
          </w:p>
        </w:tc>
      </w:tr>
      <w:tr>
        <w:trPr>
          <w:trHeight w:val="20"/>
        </w:trPr>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maturities of our certificates of deposit as of March 31,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MATURITIES OF CERTIFICATES OF DEPOSIT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Over</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Three</w:t>
            </w:r>
          </w:p>
        </w:tc>
        <w:tc>
          <w:tcPr>
            <w:tcW w:w="28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Over Six</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Three</w:t>
            </w:r>
          </w:p>
        </w:tc>
        <w:tc>
          <w:tcPr>
            <w:tcW w:w="26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Through</w:t>
            </w:r>
          </w:p>
        </w:tc>
        <w:tc>
          <w:tcPr>
            <w:tcW w:w="28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Through</w:t>
            </w:r>
          </w:p>
        </w:tc>
        <w:tc>
          <w:tcPr>
            <w:tcW w:w="280" w:type="dxa"/>
            <w:vAlign w:val="bottom"/>
          </w:tcPr>
          <w:p>
            <w:pPr>
              <w:spacing w:after="0"/>
              <w:rPr>
                <w:sz w:val="11"/>
                <w:szCs w:val="1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Over</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7"/>
        </w:trPr>
        <w:tc>
          <w:tcPr>
            <w:tcW w:w="4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Months or</w:t>
            </w:r>
          </w:p>
        </w:tc>
        <w:tc>
          <w:tcPr>
            <w:tcW w:w="26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Six</w:t>
            </w:r>
          </w:p>
        </w:tc>
        <w:tc>
          <w:tcPr>
            <w:tcW w:w="28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7"/>
              </w:rPr>
              <w:t>Twelve</w:t>
            </w:r>
          </w:p>
        </w:tc>
        <w:tc>
          <w:tcPr>
            <w:tcW w:w="280" w:type="dxa"/>
            <w:vAlign w:val="bottom"/>
          </w:tcPr>
          <w:p>
            <w:pPr>
              <w:spacing w:after="0"/>
              <w:rPr>
                <w:sz w:val="11"/>
                <w:szCs w:val="1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Twelve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0"/>
        </w:trPr>
        <w:tc>
          <w:tcPr>
            <w:tcW w:w="4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rPr>
              <w:t>Less</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rPr>
              <w:t>Months</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rPr>
              <w:t>Months</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rPr>
              <w:t>Months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Total</w:t>
            </w:r>
          </w:p>
        </w:tc>
      </w:tr>
      <w:tr>
        <w:trPr>
          <w:trHeight w:val="202"/>
        </w:trPr>
        <w:tc>
          <w:tcPr>
            <w:tcW w:w="406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$100,000 or more</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47,414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24,725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86,706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99,178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258,023</w:t>
            </w:r>
          </w:p>
        </w:tc>
      </w:tr>
      <w:tr>
        <w:trPr>
          <w:trHeight w:val="205"/>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than $100,000</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6,517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2,577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10,088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8,112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27,294</w:t>
            </w:r>
          </w:p>
        </w:tc>
      </w:tr>
      <w:tr>
        <w:trPr>
          <w:trHeight w:val="187"/>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53,931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27,302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96,794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107,290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285,317</w:t>
            </w: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30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color w:val="auto"/>
        </w:rPr>
        <w:t>Borrowings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primarily utilize short-term and long-term borrowings to supplement deposits to fund our lending and investment activities, each of which is discussed below.</w:t>
      </w:r>
    </w:p>
    <w:p>
      <w:pPr>
        <w:spacing w:after="0" w:line="165"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i w:val="1"/>
          <w:iCs w:val="1"/>
          <w:color w:val="auto"/>
        </w:rPr>
        <w:t>FHLB Advances</w:t>
      </w:r>
      <w:r>
        <w:rPr>
          <w:rFonts w:ascii="Arial" w:cs="Arial" w:eastAsia="Arial" w:hAnsi="Arial"/>
          <w:sz w:val="14"/>
          <w:szCs w:val="14"/>
          <w:color w:val="auto"/>
        </w:rPr>
        <w:t>. The FHLB allows us to borrow up to 25% of our assets on a blanket floating lien status collateralized by certain securities and loans. As of March 31, 2020,</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$285.5 million in real estate loans and $4.0 million in investment securities were pledged as collateral to the FHLB supporting a $203.2 million line of credit. We utilize these borrowings to meet liquidity needs and to fund certain fixed rate loans in our portfolio. As of March 31, 2020, we had $28.9 million in outstanding advances and $12.5 million of collateral pledged against letters of credit. Our available borrowing capacity at the FHLB was $161.8 million. The $3.3 million decrease compared to $32.2 million of outstanding advances at December 31, 2019 resulted from principal paydowns on our long term FHLB advance.</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certain information on our FHLB borrowings during the periods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FHLB ADVANCES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For the Three Months Ended March 31, 2020</w:t>
            </w:r>
          </w:p>
        </w:tc>
        <w:tc>
          <w:tcPr>
            <w:tcW w:w="2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For the Year Ended December 31, 2019</w:t>
            </w:r>
          </w:p>
        </w:tc>
      </w:tr>
      <w:tr>
        <w:trPr>
          <w:trHeight w:val="202"/>
        </w:trPr>
        <w:tc>
          <w:tcPr>
            <w:tcW w:w="594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 outstanding at period-end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2640" w:type="dxa"/>
            <w:vAlign w:val="bottom"/>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28,889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32,222</w:t>
            </w:r>
          </w:p>
        </w:tc>
      </w:tr>
      <w:tr>
        <w:trPr>
          <w:trHeight w:val="205"/>
        </w:trPr>
        <w:tc>
          <w:tcPr>
            <w:tcW w:w="5940" w:type="dxa"/>
            <w:vAlign w:val="bottom"/>
          </w:tcPr>
          <w:p>
            <w:pPr>
              <w:ind w:left="20"/>
              <w:spacing w:after="0"/>
              <w:rPr>
                <w:sz w:val="20"/>
                <w:szCs w:val="20"/>
                <w:color w:val="auto"/>
              </w:rPr>
            </w:pPr>
            <w:r>
              <w:rPr>
                <w:rFonts w:ascii="Arial" w:cs="Arial" w:eastAsia="Arial" w:hAnsi="Arial"/>
                <w:sz w:val="13"/>
                <w:szCs w:val="13"/>
                <w:color w:val="auto"/>
              </w:rPr>
              <w:t>Weighted average interest rate at period-end</w:t>
            </w:r>
          </w:p>
        </w:tc>
        <w:tc>
          <w:tcPr>
            <w:tcW w:w="120" w:type="dxa"/>
            <w:vAlign w:val="bottom"/>
          </w:tcPr>
          <w:p>
            <w:pPr>
              <w:spacing w:after="0"/>
              <w:rPr>
                <w:sz w:val="17"/>
                <w:szCs w:val="17"/>
                <w:color w:val="auto"/>
              </w:rPr>
            </w:pPr>
          </w:p>
        </w:tc>
        <w:tc>
          <w:tcPr>
            <w:tcW w:w="2640" w:type="dxa"/>
            <w:vAlign w:val="bottom"/>
          </w:tcPr>
          <w:p>
            <w:pPr>
              <w:jc w:val="right"/>
              <w:ind w:right="18"/>
              <w:spacing w:after="0"/>
              <w:rPr>
                <w:sz w:val="20"/>
                <w:szCs w:val="20"/>
                <w:color w:val="auto"/>
              </w:rPr>
            </w:pPr>
            <w:r>
              <w:rPr>
                <w:rFonts w:ascii="Arial" w:cs="Arial" w:eastAsia="Arial" w:hAnsi="Arial"/>
                <w:sz w:val="13"/>
                <w:szCs w:val="13"/>
                <w:b w:val="1"/>
                <w:bCs w:val="1"/>
                <w:color w:val="auto"/>
              </w:rPr>
              <w:t>2.40%</w:t>
            </w:r>
          </w:p>
        </w:tc>
        <w:tc>
          <w:tcPr>
            <w:tcW w:w="20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3"/>
                <w:szCs w:val="13"/>
                <w:color w:val="auto"/>
              </w:rPr>
              <w:t>2.40%</w:t>
            </w:r>
          </w:p>
        </w:tc>
      </w:tr>
      <w:tr>
        <w:trPr>
          <w:trHeight w:val="220"/>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Maximum month-end balance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2640" w:type="dxa"/>
            <w:vAlign w:val="bottom"/>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31,111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34,444</w:t>
            </w:r>
          </w:p>
        </w:tc>
      </w:tr>
      <w:tr>
        <w:trPr>
          <w:trHeight w:val="205"/>
        </w:trPr>
        <w:tc>
          <w:tcPr>
            <w:tcW w:w="5940" w:type="dxa"/>
            <w:vAlign w:val="bottom"/>
          </w:tcPr>
          <w:p>
            <w:pPr>
              <w:ind w:left="20"/>
              <w:spacing w:after="0"/>
              <w:rPr>
                <w:sz w:val="20"/>
                <w:szCs w:val="20"/>
                <w:color w:val="auto"/>
              </w:rPr>
            </w:pPr>
            <w:r>
              <w:rPr>
                <w:rFonts w:ascii="Arial" w:cs="Arial" w:eastAsia="Arial" w:hAnsi="Arial"/>
                <w:sz w:val="13"/>
                <w:szCs w:val="13"/>
                <w:color w:val="auto"/>
              </w:rPr>
              <w:t>Average balance outstanding during the period</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2640" w:type="dxa"/>
            <w:vAlign w:val="bottom"/>
          </w:tcPr>
          <w:p>
            <w:pPr>
              <w:jc w:val="right"/>
              <w:ind w:right="138"/>
              <w:spacing w:after="0"/>
              <w:rPr>
                <w:sz w:val="20"/>
                <w:szCs w:val="20"/>
                <w:color w:val="auto"/>
              </w:rPr>
            </w:pPr>
            <w:r>
              <w:rPr>
                <w:rFonts w:ascii="Arial" w:cs="Arial" w:eastAsia="Arial" w:hAnsi="Arial"/>
                <w:sz w:val="13"/>
                <w:szCs w:val="13"/>
                <w:b w:val="1"/>
                <w:bCs w:val="1"/>
                <w:color w:val="auto"/>
              </w:rPr>
              <w:t>30,330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340" w:type="dxa"/>
            <w:vAlign w:val="bottom"/>
          </w:tcPr>
          <w:p>
            <w:pPr>
              <w:jc w:val="right"/>
              <w:ind w:right="78"/>
              <w:spacing w:after="0"/>
              <w:rPr>
                <w:sz w:val="20"/>
                <w:szCs w:val="20"/>
                <w:color w:val="auto"/>
              </w:rPr>
            </w:pPr>
            <w:r>
              <w:rPr>
                <w:rFonts w:ascii="Arial" w:cs="Arial" w:eastAsia="Arial" w:hAnsi="Arial"/>
                <w:sz w:val="13"/>
                <w:szCs w:val="13"/>
                <w:color w:val="auto"/>
              </w:rPr>
              <w:t>43,472</w:t>
            </w:r>
          </w:p>
        </w:tc>
      </w:tr>
      <w:tr>
        <w:trPr>
          <w:trHeight w:val="220"/>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interest rate during the period</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2.44%</w:t>
            </w:r>
          </w:p>
        </w:tc>
        <w:tc>
          <w:tcPr>
            <w:tcW w:w="2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r>
    </w:tbl>
    <w:p>
      <w:pPr>
        <w:spacing w:after="0" w:line="155"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Other borrowed funds</w:t>
      </w:r>
      <w:r>
        <w:rPr>
          <w:rFonts w:ascii="Arial" w:cs="Arial" w:eastAsia="Arial" w:hAnsi="Arial"/>
          <w:sz w:val="14"/>
          <w:szCs w:val="14"/>
          <w:color w:val="auto"/>
        </w:rPr>
        <w:t>. The Company has also issued junior subordinated debentures and other subordinated notes. At March 31, 2020, these other borrowings amounted to</w:t>
      </w:r>
      <w:r>
        <w:rPr>
          <w:rFonts w:ascii="Arial" w:cs="Arial" w:eastAsia="Arial" w:hAnsi="Arial"/>
          <w:sz w:val="14"/>
          <w:szCs w:val="14"/>
          <w:i w:val="1"/>
          <w:iCs w:val="1"/>
          <w:color w:val="auto"/>
        </w:rPr>
        <w:t xml:space="preserve"> </w:t>
      </w:r>
      <w:r>
        <w:rPr>
          <w:rFonts w:ascii="Arial" w:cs="Arial" w:eastAsia="Arial" w:hAnsi="Arial"/>
          <w:sz w:val="14"/>
          <w:szCs w:val="14"/>
          <w:color w:val="auto"/>
        </w:rPr>
        <w:t>$15.4 million.</w:t>
      </w:r>
    </w:p>
    <w:p>
      <w:pPr>
        <w:spacing w:after="0" w:line="13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At March 31, 2020,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On November 24, 2015, the Company issued $13.5 million in aggregate principal amount of subordinated notes with a maturity date of December 1, 2025. The notes may be redeemed prior to the maturity date under certain circumstances. The notes bear interest at 6.95% for the first five years, then adjust to the three-month LIBOR plus 5.33%.</w:t>
      </w:r>
    </w:p>
    <w:p>
      <w:pPr>
        <w:spacing w:after="0" w:line="138"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Federal Reserve Bank of Richmond</w:t>
      </w:r>
      <w:r>
        <w:rPr>
          <w:rFonts w:ascii="Arial" w:cs="Arial" w:eastAsia="Arial" w:hAnsi="Arial"/>
          <w:sz w:val="14"/>
          <w:szCs w:val="14"/>
          <w:color w:val="auto"/>
        </w:rPr>
        <w:t>. The Federal Reserve Bank of Richmond has an available borrower in custody arrangement which allows us to borrow on a collateralized</w:t>
      </w:r>
      <w:r>
        <w:rPr>
          <w:rFonts w:ascii="Arial" w:cs="Arial" w:eastAsia="Arial" w:hAnsi="Arial"/>
          <w:sz w:val="14"/>
          <w:szCs w:val="14"/>
          <w:i w:val="1"/>
          <w:iCs w:val="1"/>
          <w:color w:val="auto"/>
        </w:rPr>
        <w:t xml:space="preserve"> </w:t>
      </w:r>
      <w:r>
        <w:rPr>
          <w:rFonts w:ascii="Arial" w:cs="Arial" w:eastAsia="Arial" w:hAnsi="Arial"/>
          <w:sz w:val="14"/>
          <w:szCs w:val="14"/>
          <w:color w:val="auto"/>
        </w:rPr>
        <w:t>basis. The Company’s borrowing capacity under the Federal Reserve’s discount window program was $13.5 million as of March 31, 2020. Certain commercial loans are pledged under this arrangement. We maintain this borrowing arrangement to meet liquidity needs pursuant to our contingency funding plan. No advances were outstanding under this facility as of March 31, 2020.</w:t>
      </w:r>
    </w:p>
    <w:p>
      <w:pPr>
        <w:spacing w:after="0" w:line="15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also has available lines of credit of $28.0 million with other correspondent banks at March 31, 2020, as well as access to certificate of deposit funding through a financial network and wholesale brokers. Our funding policy limits use of this funding source to 30% of the Bank’s deposits.</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295"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color w:val="auto"/>
        </w:rPr>
        <w:t>Liquidity</w:t>
      </w:r>
    </w:p>
    <w:p>
      <w:pPr>
        <w:spacing w:after="0" w:line="19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 legal and reputational risks also could affect the Bank’s liquidity risk profile and are considered in the assessment of liquidity and asset/liability management.</w:t>
      </w:r>
    </w:p>
    <w:p>
      <w:pPr>
        <w:spacing w:after="0" w:line="33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16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of March 31, 2020, we had $161.8 million of available borrowing capacity from the FHLB, $13.5 million of available borrowing capacity from the Federal Reserve Bank of Richmond and available lines of credit of $28 million with other correspondent banks. There were no borrowings outstanding with the Federal Reserve Bank of Richmond at March 31, 2020 or December 31, 2019, and our borrowing capacity is limited only by eligible collateral. Cash and cash equivalents were $174.9 million at March 31, 2020 and $114.8 million at December 31, 2019. We believe our liquidity resources were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295"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color w:val="auto"/>
        </w:rPr>
        <w:t>Capital Resources</w:t>
      </w:r>
    </w:p>
    <w:p>
      <w:pPr>
        <w:spacing w:after="0" w:line="19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Stockholders’ equity increased $2.7 million at March 31, 2020 compared to December 31, 2019. Net income for the three months ended March 31, 2020 increased retained earnings by $2.9 million. Stock options exercised, shares issued as compensation, and stock-based compensation increased common stock and additional paid-in capital aggregately by $776 thousand. In addition to these increases, the change in net unrealized gains on available for sale securities of $754 thousand supplemented stockholders’ equity. As part of the Company’s stock repurchase program, shares repurchased and retired for the three months ended March 31, 2020 totaled 112,134 shares at a weighted average price of $11.41, for a total cost of $1.3 million including commissions.</w:t>
      </w:r>
    </w:p>
    <w:p>
      <w:pPr>
        <w:spacing w:after="0" w:line="16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uses several indicators of capital strength. The most commonly used measure is the Common Equity Tier 1 (“CET1”) capital ratio (common equity tier 1 capital divided by risk weighted assets), which was 10.93% at March 31, 2020 and 10.73% at December 31, 2019. The Company has above-average levels of capital and has taken steps to navigate COVID-19 related disruptions, including taking higher levels than normal of loan loss provisions and maintaining higher than normal levels of liquidity on the balance sheet</w:t>
      </w:r>
    </w:p>
    <w:p>
      <w:pPr>
        <w:spacing w:after="0" w:line="32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shows the return on average assets (computed as net income divided by average total assets), return on average equity (computed as net income divided by average equity) and common equity tier 1 capital ratios for the three months ended March 31, 2020 and for the year ended December 31, 2019.</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4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ind w:left="740"/>
              <w:spacing w:after="0"/>
              <w:rPr>
                <w:sz w:val="20"/>
                <w:szCs w:val="20"/>
                <w:color w:val="auto"/>
              </w:rPr>
            </w:pPr>
            <w:r>
              <w:rPr>
                <w:rFonts w:ascii="Arial" w:cs="Arial" w:eastAsia="Arial" w:hAnsi="Arial"/>
                <w:sz w:val="11"/>
                <w:szCs w:val="11"/>
                <w:b w:val="1"/>
                <w:bCs w:val="1"/>
                <w:color w:val="auto"/>
              </w:rPr>
              <w:t>March 31, 2020</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9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December 31, 2019</w:t>
            </w:r>
          </w:p>
        </w:tc>
      </w:tr>
      <w:tr>
        <w:trPr>
          <w:trHeight w:val="196"/>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Return on Average Assets</w:t>
            </w:r>
            <w:r>
              <w:rPr>
                <w:rFonts w:ascii="Arial" w:cs="Arial" w:eastAsia="Arial" w:hAnsi="Arial"/>
                <w:sz w:val="16"/>
                <w:szCs w:val="16"/>
                <w:color w:val="auto"/>
                <w:vertAlign w:val="superscript"/>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0.84%</w:t>
            </w: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212"/>
        </w:trPr>
        <w:tc>
          <w:tcPr>
            <w:tcW w:w="8520" w:type="dxa"/>
            <w:vAlign w:val="bottom"/>
            <w:gridSpan w:val="2"/>
          </w:tcPr>
          <w:p>
            <w:pPr>
              <w:ind w:left="20"/>
              <w:spacing w:after="0"/>
              <w:rPr>
                <w:sz w:val="20"/>
                <w:szCs w:val="20"/>
                <w:color w:val="auto"/>
              </w:rPr>
            </w:pPr>
            <w:r>
              <w:rPr>
                <w:rFonts w:ascii="Arial" w:cs="Arial" w:eastAsia="Arial" w:hAnsi="Arial"/>
                <w:sz w:val="13"/>
                <w:szCs w:val="13"/>
                <w:color w:val="auto"/>
              </w:rPr>
              <w:t>Return on Average Equity</w:t>
            </w:r>
            <w:r>
              <w:rPr>
                <w:rFonts w:ascii="Arial" w:cs="Arial" w:eastAsia="Arial" w:hAnsi="Arial"/>
                <w:sz w:val="16"/>
                <w:szCs w:val="16"/>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8.59%</w:t>
            </w: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13.66%</w:t>
            </w:r>
          </w:p>
        </w:tc>
      </w:tr>
      <w:tr>
        <w:trPr>
          <w:trHeight w:val="212"/>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Equity Tier 1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10.93%</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10.73%</w:t>
            </w:r>
          </w:p>
        </w:tc>
      </w:tr>
      <w:tr>
        <w:trPr>
          <w:trHeight w:val="170"/>
        </w:trPr>
        <w:tc>
          <w:tcPr>
            <w:tcW w:w="6840" w:type="dxa"/>
            <w:vAlign w:val="bottom"/>
          </w:tcPr>
          <w:p>
            <w:pPr>
              <w:spacing w:after="0"/>
              <w:rPr>
                <w:sz w:val="20"/>
                <w:szCs w:val="20"/>
                <w:color w:val="auto"/>
              </w:rPr>
            </w:pPr>
            <w:r>
              <w:rPr>
                <w:rFonts w:ascii="Arial" w:cs="Arial" w:eastAsia="Arial" w:hAnsi="Arial"/>
                <w:sz w:val="14"/>
                <w:szCs w:val="14"/>
                <w:color w:val="auto"/>
              </w:rPr>
              <w:t>_______________</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25" w:lineRule="exact"/>
        <w:rPr>
          <w:sz w:val="20"/>
          <w:szCs w:val="20"/>
          <w:color w:val="auto"/>
        </w:rPr>
      </w:pPr>
    </w:p>
    <w:p>
      <w:pPr>
        <w:ind w:left="660" w:hanging="655"/>
        <w:spacing w:after="0"/>
        <w:tabs>
          <w:tab w:leader="none" w:pos="6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These ratios are annualized for the three months ended March 31, 2020.</w:t>
      </w:r>
    </w:p>
    <w:p>
      <w:pPr>
        <w:spacing w:after="0" w:line="18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6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Quantitative measures established by regulation to ensure capital adequacy require the Bank to maintain minimum ratios of Tier 1 Capital, Common Equity Tier 1 Capital,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158"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applied to all depository institutions and bank holding companies and savings and loan holding companies with total consolidated assets of more than $ 1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295" w:right="319" w:bottom="1440" w:gutter="0" w:footer="0" w:header="0"/>
        </w:sectPr>
      </w:pPr>
    </w:p>
    <w:bookmarkStart w:id="61" w:name="page62"/>
    <w:bookmarkEnd w:id="61"/>
    <w:p>
      <w:pPr>
        <w:jc w:val="both"/>
        <w:spacing w:after="0" w:line="266" w:lineRule="auto"/>
        <w:rPr>
          <w:sz w:val="20"/>
          <w:szCs w:val="20"/>
          <w:color w:val="auto"/>
        </w:rPr>
      </w:pPr>
      <w:r>
        <w:rPr>
          <w:rFonts w:ascii="Arial" w:cs="Arial" w:eastAsia="Arial" w:hAnsi="Arial"/>
          <w:sz w:val="14"/>
          <w:szCs w:val="14"/>
          <w:color w:val="auto"/>
        </w:rPr>
        <w:t>billion. The Company was previously required to comply with the minimum capital requirements on a consolidated basis; however, the Company continues to meet the conditions of the revised Small BHC Policy Statement and was, therefore, exempt from the consolidated capital requirements for the periods reflected.</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March 31, 2020,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regulatory capital ratios for the Company(as if applicable to the Company) and the Bank as of the dates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3"/>
          </w:tcPr>
          <w:p>
            <w:pPr>
              <w:ind w:left="340"/>
              <w:spacing w:after="0"/>
              <w:rPr>
                <w:sz w:val="20"/>
                <w:szCs w:val="20"/>
                <w:color w:val="auto"/>
              </w:rPr>
            </w:pPr>
            <w:r>
              <w:rPr>
                <w:rFonts w:ascii="Arial" w:cs="Arial" w:eastAsia="Arial" w:hAnsi="Arial"/>
                <w:sz w:val="11"/>
                <w:szCs w:val="11"/>
                <w:b w:val="1"/>
                <w:bCs w:val="1"/>
                <w:color w:val="auto"/>
              </w:rPr>
              <w:t>Minimum capital</w:t>
            </w:r>
          </w:p>
        </w:tc>
        <w:tc>
          <w:tcPr>
            <w:tcW w:w="160" w:type="dxa"/>
            <w:vAlign w:val="bottom"/>
          </w:tcPr>
          <w:p>
            <w:pPr>
              <w:spacing w:after="0"/>
              <w:rPr>
                <w:sz w:val="10"/>
                <w:szCs w:val="10"/>
                <w:color w:val="auto"/>
              </w:rPr>
            </w:pPr>
          </w:p>
        </w:tc>
        <w:tc>
          <w:tcPr>
            <w:tcW w:w="1040" w:type="dxa"/>
            <w:vAlign w:val="bottom"/>
          </w:tcPr>
          <w:p>
            <w:pPr>
              <w:jc w:val="right"/>
              <w:ind w:right="7"/>
              <w:spacing w:after="0"/>
              <w:rPr>
                <w:sz w:val="20"/>
                <w:szCs w:val="20"/>
                <w:color w:val="auto"/>
              </w:rPr>
            </w:pPr>
            <w:r>
              <w:rPr>
                <w:rFonts w:ascii="Arial" w:cs="Arial" w:eastAsia="Arial" w:hAnsi="Arial"/>
                <w:sz w:val="11"/>
                <w:szCs w:val="11"/>
                <w:b w:val="1"/>
                <w:bCs w:val="1"/>
                <w:color w:val="auto"/>
              </w:rPr>
              <w:t>To be well</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5"/>
        </w:trPr>
        <w:tc>
          <w:tcPr>
            <w:tcW w:w="362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Actual</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adequacy</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capitalized</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1"/>
                <w:szCs w:val="11"/>
                <w:b w:val="1"/>
                <w:bCs w:val="1"/>
                <w:color w:val="auto"/>
              </w:rPr>
              <w:t>Full Phase In of Basel III</w:t>
            </w:r>
          </w:p>
        </w:tc>
      </w:tr>
      <w:tr>
        <w:trPr>
          <w:trHeight w:val="203"/>
        </w:trPr>
        <w:tc>
          <w:tcPr>
            <w:tcW w:w="3620" w:type="dxa"/>
            <w:vAlign w:val="bottom"/>
          </w:tcPr>
          <w:p>
            <w:pPr>
              <w:ind w:left="20"/>
              <w:spacing w:after="0"/>
              <w:rPr>
                <w:sz w:val="20"/>
                <w:szCs w:val="20"/>
                <w:color w:val="auto"/>
              </w:rPr>
            </w:pPr>
            <w:r>
              <w:rPr>
                <w:rFonts w:ascii="Arial" w:cs="Arial" w:eastAsia="Arial" w:hAnsi="Arial"/>
                <w:sz w:val="11"/>
                <w:szCs w:val="11"/>
                <w:b w:val="1"/>
                <w:bCs w:val="1"/>
                <w:color w:val="auto"/>
              </w:rPr>
              <w:t>March 31, 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467"/>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Ratio</w:t>
            </w:r>
          </w:p>
        </w:tc>
        <w:tc>
          <w:tcPr>
            <w:tcW w:w="160" w:type="dxa"/>
            <w:vAlign w:val="bottom"/>
          </w:tcPr>
          <w:p>
            <w:pPr>
              <w:spacing w:after="0"/>
              <w:rPr>
                <w:sz w:val="17"/>
                <w:szCs w:val="17"/>
                <w:color w:val="auto"/>
              </w:rPr>
            </w:pPr>
          </w:p>
        </w:tc>
        <w:tc>
          <w:tcPr>
            <w:tcW w:w="1060" w:type="dxa"/>
            <w:vAlign w:val="bottom"/>
          </w:tcPr>
          <w:p>
            <w:pPr>
              <w:jc w:val="right"/>
              <w:ind w:right="527"/>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Ratio</w:t>
            </w:r>
          </w:p>
        </w:tc>
        <w:tc>
          <w:tcPr>
            <w:tcW w:w="160" w:type="dxa"/>
            <w:vAlign w:val="bottom"/>
          </w:tcPr>
          <w:p>
            <w:pPr>
              <w:spacing w:after="0"/>
              <w:rPr>
                <w:sz w:val="17"/>
                <w:szCs w:val="17"/>
                <w:color w:val="auto"/>
              </w:rPr>
            </w:pPr>
          </w:p>
        </w:tc>
        <w:tc>
          <w:tcPr>
            <w:tcW w:w="1040" w:type="dxa"/>
            <w:vAlign w:val="bottom"/>
          </w:tcPr>
          <w:p>
            <w:pPr>
              <w:jc w:val="right"/>
              <w:ind w:right="507"/>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Ratio</w:t>
            </w:r>
          </w:p>
        </w:tc>
        <w:tc>
          <w:tcPr>
            <w:tcW w:w="160" w:type="dxa"/>
            <w:vAlign w:val="bottom"/>
          </w:tcPr>
          <w:p>
            <w:pPr>
              <w:spacing w:after="0"/>
              <w:rPr>
                <w:sz w:val="17"/>
                <w:szCs w:val="17"/>
                <w:color w:val="auto"/>
              </w:rPr>
            </w:pPr>
          </w:p>
        </w:tc>
        <w:tc>
          <w:tcPr>
            <w:tcW w:w="840" w:type="dxa"/>
            <w:vAlign w:val="bottom"/>
          </w:tcPr>
          <w:p>
            <w:pPr>
              <w:jc w:val="right"/>
              <w:ind w:right="307"/>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Ratio</w:t>
            </w:r>
          </w:p>
        </w:tc>
      </w:tr>
      <w:tr>
        <w:trPr>
          <w:trHeight w:val="208"/>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The Company</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07"/>
        </w:trPr>
        <w:tc>
          <w:tcPr>
            <w:tcW w:w="3620" w:type="dxa"/>
            <w:vAlign w:val="bottom"/>
          </w:tcPr>
          <w:p>
            <w:pPr>
              <w:ind w:left="140"/>
              <w:spacing w:after="0"/>
              <w:rPr>
                <w:sz w:val="20"/>
                <w:szCs w:val="20"/>
                <w:color w:val="auto"/>
              </w:rPr>
            </w:pPr>
            <w:r>
              <w:rPr>
                <w:rFonts w:ascii="Arial" w:cs="Arial" w:eastAsia="Arial" w:hAnsi="Arial"/>
                <w:sz w:val="11"/>
                <w:szCs w:val="11"/>
                <w:color w:val="auto"/>
              </w:rPr>
              <w:t>Tier 1 leverage ratio (to average assets)</w:t>
            </w:r>
          </w:p>
        </w:tc>
        <w:tc>
          <w:tcPr>
            <w:tcW w:w="2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ind w:right="327"/>
              <w:spacing w:after="0"/>
              <w:rPr>
                <w:sz w:val="20"/>
                <w:szCs w:val="20"/>
                <w:color w:val="auto"/>
              </w:rPr>
            </w:pPr>
            <w:r>
              <w:rPr>
                <w:rFonts w:ascii="Arial" w:cs="Arial" w:eastAsia="Arial" w:hAnsi="Arial"/>
                <w:sz w:val="11"/>
                <w:szCs w:val="11"/>
                <w:b w:val="1"/>
                <w:bCs w:val="1"/>
                <w:color w:val="auto"/>
              </w:rPr>
              <w:t>137,375</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9.83%</w:t>
            </w:r>
          </w:p>
        </w:tc>
        <w:tc>
          <w:tcPr>
            <w:tcW w:w="120" w:type="dxa"/>
            <w:vAlign w:val="bottom"/>
          </w:tcPr>
          <w:p>
            <w:pPr>
              <w:spacing w:after="0"/>
              <w:rPr>
                <w:sz w:val="17"/>
                <w:szCs w:val="17"/>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ind w:right="387"/>
              <w:spacing w:after="0"/>
              <w:rPr>
                <w:sz w:val="20"/>
                <w:szCs w:val="20"/>
                <w:color w:val="auto"/>
              </w:rPr>
            </w:pPr>
            <w:r>
              <w:rPr>
                <w:rFonts w:ascii="Arial" w:cs="Arial" w:eastAsia="Arial" w:hAnsi="Arial"/>
                <w:sz w:val="11"/>
                <w:szCs w:val="11"/>
                <w:b w:val="1"/>
                <w:bCs w:val="1"/>
                <w:color w:val="auto"/>
              </w:rPr>
              <w:t>55,872</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4.00%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87"/>
              <w:spacing w:after="0"/>
              <w:rPr>
                <w:sz w:val="20"/>
                <w:szCs w:val="20"/>
                <w:color w:val="auto"/>
              </w:rPr>
            </w:pPr>
            <w:r>
              <w:rPr>
                <w:rFonts w:ascii="Arial" w:cs="Arial" w:eastAsia="Arial" w:hAnsi="Arial"/>
                <w:sz w:val="11"/>
                <w:szCs w:val="11"/>
                <w:b w:val="1"/>
                <w:bCs w:val="1"/>
                <w:color w:val="auto"/>
              </w:rPr>
              <w:t>N/A</w:t>
            </w:r>
          </w:p>
        </w:tc>
        <w:tc>
          <w:tcPr>
            <w:tcW w:w="680" w:type="dxa"/>
            <w:vAlign w:val="bottom"/>
            <w:gridSpan w:val="2"/>
          </w:tcPr>
          <w:p>
            <w:pPr>
              <w:ind w:left="260"/>
              <w:spacing w:after="0"/>
              <w:rPr>
                <w:sz w:val="20"/>
                <w:szCs w:val="20"/>
                <w:color w:val="auto"/>
              </w:rPr>
            </w:pPr>
            <w:r>
              <w:rPr>
                <w:rFonts w:ascii="Arial" w:cs="Arial" w:eastAsia="Arial" w:hAnsi="Arial"/>
                <w:sz w:val="11"/>
                <w:szCs w:val="11"/>
                <w:b w:val="1"/>
                <w:bCs w:val="1"/>
                <w:color w:val="auto"/>
              </w:rPr>
              <w:t>N/A</w:t>
            </w:r>
          </w:p>
        </w:tc>
        <w:tc>
          <w:tcPr>
            <w:tcW w:w="160" w:type="dxa"/>
            <w:vAlign w:val="bottom"/>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187"/>
              <w:spacing w:after="0"/>
              <w:rPr>
                <w:sz w:val="20"/>
                <w:szCs w:val="20"/>
                <w:color w:val="auto"/>
              </w:rPr>
            </w:pPr>
            <w:r>
              <w:rPr>
                <w:rFonts w:ascii="Arial" w:cs="Arial" w:eastAsia="Arial" w:hAnsi="Arial"/>
                <w:sz w:val="11"/>
                <w:szCs w:val="11"/>
                <w:b w:val="1"/>
                <w:bCs w:val="1"/>
                <w:color w:val="auto"/>
              </w:rPr>
              <w:t>69,841</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5.00%</w:t>
            </w: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Tier 1 capital (to risk-weighted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b w:val="1"/>
                <w:bCs w:val="1"/>
                <w:color w:val="auto"/>
              </w:rPr>
              <w:t>137,375</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94,331</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N/A</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N/A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b w:val="1"/>
                <w:bCs w:val="1"/>
                <w:color w:val="auto"/>
              </w:rPr>
              <w:t>88,782</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8.00%</w:t>
            </w:r>
          </w:p>
        </w:tc>
      </w:tr>
      <w:tr>
        <w:trPr>
          <w:trHeight w:val="207"/>
        </w:trPr>
        <w:tc>
          <w:tcPr>
            <w:tcW w:w="3620" w:type="dxa"/>
            <w:vAlign w:val="bottom"/>
          </w:tcPr>
          <w:p>
            <w:pPr>
              <w:ind w:left="140"/>
              <w:spacing w:after="0"/>
              <w:rPr>
                <w:sz w:val="20"/>
                <w:szCs w:val="20"/>
                <w:color w:val="auto"/>
              </w:rPr>
            </w:pPr>
            <w:r>
              <w:rPr>
                <w:rFonts w:ascii="Arial" w:cs="Arial" w:eastAsia="Arial" w:hAnsi="Arial"/>
                <w:sz w:val="11"/>
                <w:szCs w:val="11"/>
                <w:color w:val="auto"/>
              </w:rPr>
              <w:t>Common equity tier 1 capital ratio (to risk-weighted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7"/>
              <w:spacing w:after="0"/>
              <w:rPr>
                <w:sz w:val="20"/>
                <w:szCs w:val="20"/>
                <w:color w:val="auto"/>
              </w:rPr>
            </w:pPr>
            <w:r>
              <w:rPr>
                <w:rFonts w:ascii="Arial" w:cs="Arial" w:eastAsia="Arial" w:hAnsi="Arial"/>
                <w:sz w:val="11"/>
                <w:szCs w:val="11"/>
                <w:b w:val="1"/>
                <w:bCs w:val="1"/>
                <w:color w:val="auto"/>
              </w:rPr>
              <w:t>135,313</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12.19%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87"/>
              <w:spacing w:after="0"/>
              <w:rPr>
                <w:sz w:val="20"/>
                <w:szCs w:val="20"/>
                <w:color w:val="auto"/>
              </w:rPr>
            </w:pPr>
            <w:r>
              <w:rPr>
                <w:rFonts w:ascii="Arial" w:cs="Arial" w:eastAsia="Arial" w:hAnsi="Arial"/>
                <w:sz w:val="11"/>
                <w:szCs w:val="11"/>
                <w:b w:val="1"/>
                <w:bCs w:val="1"/>
                <w:color w:val="auto"/>
              </w:rPr>
              <w:t>77,684</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7.00%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87"/>
              <w:spacing w:after="0"/>
              <w:rPr>
                <w:sz w:val="20"/>
                <w:szCs w:val="20"/>
                <w:color w:val="auto"/>
              </w:rPr>
            </w:pPr>
            <w:r>
              <w:rPr>
                <w:rFonts w:ascii="Arial" w:cs="Arial" w:eastAsia="Arial" w:hAnsi="Arial"/>
                <w:sz w:val="11"/>
                <w:szCs w:val="11"/>
                <w:b w:val="1"/>
                <w:bCs w:val="1"/>
                <w:color w:val="auto"/>
              </w:rPr>
              <w:t>N/A</w:t>
            </w:r>
          </w:p>
        </w:tc>
        <w:tc>
          <w:tcPr>
            <w:tcW w:w="680" w:type="dxa"/>
            <w:vAlign w:val="bottom"/>
            <w:gridSpan w:val="2"/>
          </w:tcPr>
          <w:p>
            <w:pPr>
              <w:ind w:left="260"/>
              <w:spacing w:after="0"/>
              <w:rPr>
                <w:sz w:val="20"/>
                <w:szCs w:val="20"/>
                <w:color w:val="auto"/>
              </w:rPr>
            </w:pPr>
            <w:r>
              <w:rPr>
                <w:rFonts w:ascii="Arial" w:cs="Arial" w:eastAsia="Arial" w:hAnsi="Arial"/>
                <w:sz w:val="11"/>
                <w:szCs w:val="11"/>
                <w:b w:val="1"/>
                <w:bCs w:val="1"/>
                <w:color w:val="auto"/>
              </w:rPr>
              <w:t>N/A</w:t>
            </w:r>
          </w:p>
        </w:tc>
        <w:tc>
          <w:tcPr>
            <w:tcW w:w="160" w:type="dxa"/>
            <w:vAlign w:val="bottom"/>
          </w:tcPr>
          <w:p>
            <w:pPr>
              <w:spacing w:after="0"/>
              <w:rPr>
                <w:sz w:val="17"/>
                <w:szCs w:val="17"/>
                <w:color w:val="auto"/>
              </w:rPr>
            </w:pPr>
          </w:p>
        </w:tc>
        <w:tc>
          <w:tcPr>
            <w:tcW w:w="840" w:type="dxa"/>
            <w:vAlign w:val="bottom"/>
          </w:tcPr>
          <w:p>
            <w:pPr>
              <w:jc w:val="right"/>
              <w:ind w:right="187"/>
              <w:spacing w:after="0"/>
              <w:rPr>
                <w:sz w:val="20"/>
                <w:szCs w:val="20"/>
                <w:color w:val="auto"/>
              </w:rPr>
            </w:pPr>
            <w:r>
              <w:rPr>
                <w:rFonts w:ascii="Arial" w:cs="Arial" w:eastAsia="Arial" w:hAnsi="Arial"/>
                <w:sz w:val="11"/>
                <w:szCs w:val="11"/>
                <w:b w:val="1"/>
                <w:bCs w:val="1"/>
                <w:color w:val="auto"/>
              </w:rPr>
              <w:t>72,135</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6.50%</w:t>
            </w: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capital ratio (to risk-weighted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b w:val="1"/>
                <w:bCs w:val="1"/>
                <w:color w:val="auto"/>
              </w:rPr>
              <w:t>164,783</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116,526</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N/A</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N/A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b w:val="1"/>
                <w:bCs w:val="1"/>
                <w:color w:val="auto"/>
              </w:rPr>
              <w:t>110,977</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10.00%</w:t>
            </w:r>
          </w:p>
        </w:tc>
      </w:tr>
      <w:tr>
        <w:trPr>
          <w:trHeight w:val="212"/>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The Bank</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3620" w:type="dxa"/>
            <w:vAlign w:val="bottom"/>
          </w:tcPr>
          <w:p>
            <w:pPr>
              <w:ind w:left="140"/>
              <w:spacing w:after="0"/>
              <w:rPr>
                <w:sz w:val="20"/>
                <w:szCs w:val="20"/>
                <w:color w:val="auto"/>
              </w:rPr>
            </w:pPr>
            <w:r>
              <w:rPr>
                <w:rFonts w:ascii="Arial" w:cs="Arial" w:eastAsia="Arial" w:hAnsi="Arial"/>
                <w:sz w:val="11"/>
                <w:szCs w:val="11"/>
                <w:color w:val="auto"/>
              </w:rPr>
              <w:t>Tier 1 leverage ratio (to average assets)</w:t>
            </w:r>
          </w:p>
        </w:tc>
        <w:tc>
          <w:tcPr>
            <w:tcW w:w="2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ind w:right="327"/>
              <w:spacing w:after="0"/>
              <w:rPr>
                <w:sz w:val="20"/>
                <w:szCs w:val="20"/>
                <w:color w:val="auto"/>
              </w:rPr>
            </w:pPr>
            <w:r>
              <w:rPr>
                <w:rFonts w:ascii="Arial" w:cs="Arial" w:eastAsia="Arial" w:hAnsi="Arial"/>
                <w:sz w:val="11"/>
                <w:szCs w:val="11"/>
                <w:b w:val="1"/>
                <w:bCs w:val="1"/>
                <w:color w:val="auto"/>
              </w:rPr>
              <w:t>117,637</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8.61%</w:t>
            </w:r>
          </w:p>
        </w:tc>
        <w:tc>
          <w:tcPr>
            <w:tcW w:w="120" w:type="dxa"/>
            <w:vAlign w:val="bottom"/>
          </w:tcPr>
          <w:p>
            <w:pPr>
              <w:spacing w:after="0"/>
              <w:rPr>
                <w:sz w:val="17"/>
                <w:szCs w:val="17"/>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ind w:right="387"/>
              <w:spacing w:after="0"/>
              <w:rPr>
                <w:sz w:val="20"/>
                <w:szCs w:val="20"/>
                <w:color w:val="auto"/>
              </w:rPr>
            </w:pPr>
            <w:r>
              <w:rPr>
                <w:rFonts w:ascii="Arial" w:cs="Arial" w:eastAsia="Arial" w:hAnsi="Arial"/>
                <w:sz w:val="11"/>
                <w:szCs w:val="11"/>
                <w:b w:val="1"/>
                <w:bCs w:val="1"/>
                <w:color w:val="auto"/>
              </w:rPr>
              <w:t>54,634</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4.00%</w:t>
            </w:r>
          </w:p>
        </w:tc>
        <w:tc>
          <w:tcPr>
            <w:tcW w:w="120" w:type="dxa"/>
            <w:vAlign w:val="bottom"/>
          </w:tcPr>
          <w:p>
            <w:pPr>
              <w:spacing w:after="0"/>
              <w:rPr>
                <w:sz w:val="17"/>
                <w:szCs w:val="17"/>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387"/>
              <w:spacing w:after="0"/>
              <w:rPr>
                <w:sz w:val="20"/>
                <w:szCs w:val="20"/>
                <w:color w:val="auto"/>
              </w:rPr>
            </w:pPr>
            <w:r>
              <w:rPr>
                <w:rFonts w:ascii="Arial" w:cs="Arial" w:eastAsia="Arial" w:hAnsi="Arial"/>
                <w:sz w:val="11"/>
                <w:szCs w:val="11"/>
                <w:b w:val="1"/>
                <w:bCs w:val="1"/>
                <w:color w:val="auto"/>
              </w:rPr>
              <w:t>68,293</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5.00%</w:t>
            </w:r>
          </w:p>
        </w:tc>
        <w:tc>
          <w:tcPr>
            <w:tcW w:w="120" w:type="dxa"/>
            <w:vAlign w:val="bottom"/>
          </w:tcPr>
          <w:p>
            <w:pPr>
              <w:spacing w:after="0"/>
              <w:rPr>
                <w:sz w:val="17"/>
                <w:szCs w:val="17"/>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187"/>
              <w:spacing w:after="0"/>
              <w:rPr>
                <w:sz w:val="20"/>
                <w:szCs w:val="20"/>
                <w:color w:val="auto"/>
              </w:rPr>
            </w:pPr>
            <w:r>
              <w:rPr>
                <w:rFonts w:ascii="Arial" w:cs="Arial" w:eastAsia="Arial" w:hAnsi="Arial"/>
                <w:sz w:val="11"/>
                <w:szCs w:val="11"/>
                <w:b w:val="1"/>
                <w:bCs w:val="1"/>
                <w:color w:val="auto"/>
              </w:rPr>
              <w:t>68,293</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5.00%</w:t>
            </w: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Tier 1 capital (to risk-weighted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b w:val="1"/>
                <w:bCs w:val="1"/>
                <w:color w:val="auto"/>
              </w:rPr>
              <w:t>117,637</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91,477</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86,096</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b w:val="1"/>
                <w:bCs w:val="1"/>
                <w:color w:val="auto"/>
              </w:rPr>
              <w:t>86,096</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8.00%</w:t>
            </w:r>
          </w:p>
        </w:tc>
      </w:tr>
      <w:tr>
        <w:trPr>
          <w:trHeight w:val="207"/>
        </w:trPr>
        <w:tc>
          <w:tcPr>
            <w:tcW w:w="3620" w:type="dxa"/>
            <w:vAlign w:val="bottom"/>
          </w:tcPr>
          <w:p>
            <w:pPr>
              <w:ind w:left="140"/>
              <w:spacing w:after="0"/>
              <w:rPr>
                <w:sz w:val="20"/>
                <w:szCs w:val="20"/>
                <w:color w:val="auto"/>
              </w:rPr>
            </w:pPr>
            <w:r>
              <w:rPr>
                <w:rFonts w:ascii="Arial" w:cs="Arial" w:eastAsia="Arial" w:hAnsi="Arial"/>
                <w:sz w:val="11"/>
                <w:szCs w:val="11"/>
                <w:color w:val="auto"/>
              </w:rPr>
              <w:t>Common equity tier 1 capital ratio (to risk-weighted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7"/>
              <w:spacing w:after="0"/>
              <w:rPr>
                <w:sz w:val="20"/>
                <w:szCs w:val="20"/>
                <w:color w:val="auto"/>
              </w:rPr>
            </w:pPr>
            <w:r>
              <w:rPr>
                <w:rFonts w:ascii="Arial" w:cs="Arial" w:eastAsia="Arial" w:hAnsi="Arial"/>
                <w:sz w:val="11"/>
                <w:szCs w:val="11"/>
                <w:b w:val="1"/>
                <w:bCs w:val="1"/>
                <w:color w:val="auto"/>
              </w:rPr>
              <w:t>117,637</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10.93%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87"/>
              <w:spacing w:after="0"/>
              <w:rPr>
                <w:sz w:val="20"/>
                <w:szCs w:val="20"/>
                <w:color w:val="auto"/>
              </w:rPr>
            </w:pPr>
            <w:r>
              <w:rPr>
                <w:rFonts w:ascii="Arial" w:cs="Arial" w:eastAsia="Arial" w:hAnsi="Arial"/>
                <w:sz w:val="11"/>
                <w:szCs w:val="11"/>
                <w:b w:val="1"/>
                <w:bCs w:val="1"/>
                <w:color w:val="auto"/>
              </w:rPr>
              <w:t>75,334</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7.00%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87"/>
              <w:spacing w:after="0"/>
              <w:rPr>
                <w:sz w:val="20"/>
                <w:szCs w:val="20"/>
                <w:color w:val="auto"/>
              </w:rPr>
            </w:pPr>
            <w:r>
              <w:rPr>
                <w:rFonts w:ascii="Arial" w:cs="Arial" w:eastAsia="Arial" w:hAnsi="Arial"/>
                <w:sz w:val="11"/>
                <w:szCs w:val="11"/>
                <w:b w:val="1"/>
                <w:bCs w:val="1"/>
                <w:color w:val="auto"/>
              </w:rPr>
              <w:t>69,953</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6.50%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87"/>
              <w:spacing w:after="0"/>
              <w:rPr>
                <w:sz w:val="20"/>
                <w:szCs w:val="20"/>
                <w:color w:val="auto"/>
              </w:rPr>
            </w:pPr>
            <w:r>
              <w:rPr>
                <w:rFonts w:ascii="Arial" w:cs="Arial" w:eastAsia="Arial" w:hAnsi="Arial"/>
                <w:sz w:val="11"/>
                <w:szCs w:val="11"/>
                <w:b w:val="1"/>
                <w:bCs w:val="1"/>
                <w:color w:val="auto"/>
              </w:rPr>
              <w:t>69,953</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6.50%</w:t>
            </w: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capital ratio (to risk-weighted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b w:val="1"/>
                <w:bCs w:val="1"/>
                <w:color w:val="auto"/>
              </w:rPr>
              <w:t>131,127</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113,001</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b w:val="1"/>
                <w:bCs w:val="1"/>
                <w:color w:val="auto"/>
              </w:rPr>
              <w:t>107,620</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b w:val="1"/>
                <w:bCs w:val="1"/>
                <w:color w:val="auto"/>
              </w:rPr>
              <w:t>107,620</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10.00%</w:t>
            </w:r>
          </w:p>
        </w:tc>
      </w:tr>
      <w:tr>
        <w:trPr>
          <w:trHeight w:val="212"/>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7"/>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December 31, 2019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2"/>
        </w:trPr>
        <w:tc>
          <w:tcPr>
            <w:tcW w:w="3620" w:type="dxa"/>
            <w:vAlign w:val="bottom"/>
          </w:tcPr>
          <w:p>
            <w:pPr>
              <w:ind w:left="20"/>
              <w:spacing w:after="0"/>
              <w:rPr>
                <w:sz w:val="20"/>
                <w:szCs w:val="20"/>
                <w:color w:val="auto"/>
              </w:rPr>
            </w:pPr>
            <w:r>
              <w:rPr>
                <w:rFonts w:ascii="Arial" w:cs="Arial" w:eastAsia="Arial" w:hAnsi="Arial"/>
                <w:sz w:val="11"/>
                <w:szCs w:val="11"/>
                <w:b w:val="1"/>
                <w:bCs w:val="1"/>
                <w:color w:val="auto"/>
              </w:rPr>
              <w:t>The Company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Tier 1 leverage ratio (to average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rPr>
              <w:t>135,380</w:t>
            </w:r>
          </w:p>
        </w:tc>
        <w:tc>
          <w:tcPr>
            <w:tcW w:w="660" w:type="dxa"/>
            <w:vAlign w:val="bottom"/>
            <w:shd w:val="clear" w:color="auto" w:fill="CCEEFF"/>
          </w:tcPr>
          <w:p>
            <w:pPr>
              <w:jc w:val="center"/>
              <w:ind w:right="107"/>
              <w:spacing w:after="0"/>
              <w:rPr>
                <w:sz w:val="20"/>
                <w:szCs w:val="20"/>
                <w:color w:val="auto"/>
              </w:rPr>
            </w:pPr>
            <w:r>
              <w:rPr>
                <w:rFonts w:ascii="Arial" w:cs="Arial" w:eastAsia="Arial" w:hAnsi="Arial"/>
                <w:sz w:val="11"/>
                <w:szCs w:val="11"/>
                <w:color w:val="auto"/>
                <w:w w:val="96"/>
              </w:rPr>
              <w:t>9.96%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54,397</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N/A</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N/A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67,996</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r>
      <w:tr>
        <w:trPr>
          <w:trHeight w:val="207"/>
        </w:trPr>
        <w:tc>
          <w:tcPr>
            <w:tcW w:w="3620" w:type="dxa"/>
            <w:vAlign w:val="bottom"/>
          </w:tcPr>
          <w:p>
            <w:pPr>
              <w:ind w:left="140"/>
              <w:spacing w:after="0"/>
              <w:rPr>
                <w:sz w:val="20"/>
                <w:szCs w:val="20"/>
                <w:color w:val="auto"/>
              </w:rPr>
            </w:pPr>
            <w:r>
              <w:rPr>
                <w:rFonts w:ascii="Arial" w:cs="Arial" w:eastAsia="Arial" w:hAnsi="Arial"/>
                <w:sz w:val="11"/>
                <w:szCs w:val="11"/>
                <w:color w:val="auto"/>
              </w:rPr>
              <w:t>Tier 1 capital (to risk-weighted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7"/>
              <w:spacing w:after="0"/>
              <w:rPr>
                <w:sz w:val="20"/>
                <w:szCs w:val="20"/>
                <w:color w:val="auto"/>
              </w:rPr>
            </w:pPr>
            <w:r>
              <w:rPr>
                <w:rFonts w:ascii="Arial" w:cs="Arial" w:eastAsia="Arial" w:hAnsi="Arial"/>
                <w:sz w:val="11"/>
                <w:szCs w:val="11"/>
                <w:color w:val="auto"/>
              </w:rPr>
              <w:t>135,380</w:t>
            </w:r>
          </w:p>
        </w:tc>
        <w:tc>
          <w:tcPr>
            <w:tcW w:w="660" w:type="dxa"/>
            <w:vAlign w:val="bottom"/>
          </w:tcPr>
          <w:p>
            <w:pPr>
              <w:jc w:val="center"/>
              <w:ind w:right="87"/>
              <w:spacing w:after="0"/>
              <w:rPr>
                <w:sz w:val="20"/>
                <w:szCs w:val="20"/>
                <w:color w:val="auto"/>
              </w:rPr>
            </w:pPr>
            <w:r>
              <w:rPr>
                <w:rFonts w:ascii="Arial" w:cs="Arial" w:eastAsia="Arial" w:hAnsi="Arial"/>
                <w:sz w:val="11"/>
                <w:szCs w:val="11"/>
                <w:color w:val="auto"/>
                <w:w w:val="96"/>
              </w:rPr>
              <w:t>12.31%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87"/>
              <w:spacing w:after="0"/>
              <w:rPr>
                <w:sz w:val="20"/>
                <w:szCs w:val="20"/>
                <w:color w:val="auto"/>
              </w:rPr>
            </w:pPr>
            <w:r>
              <w:rPr>
                <w:rFonts w:ascii="Arial" w:cs="Arial" w:eastAsia="Arial" w:hAnsi="Arial"/>
                <w:sz w:val="11"/>
                <w:szCs w:val="11"/>
                <w:color w:val="auto"/>
              </w:rPr>
              <w:t>66,011</w:t>
            </w:r>
          </w:p>
        </w:tc>
        <w:tc>
          <w:tcPr>
            <w:tcW w:w="600" w:type="dxa"/>
            <w:vAlign w:val="bottom"/>
          </w:tcPr>
          <w:p>
            <w:pPr>
              <w:jc w:val="right"/>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87"/>
              <w:spacing w:after="0"/>
              <w:rPr>
                <w:sz w:val="20"/>
                <w:szCs w:val="20"/>
                <w:color w:val="auto"/>
              </w:rPr>
            </w:pPr>
            <w:r>
              <w:rPr>
                <w:rFonts w:ascii="Arial" w:cs="Arial" w:eastAsia="Arial" w:hAnsi="Arial"/>
                <w:sz w:val="11"/>
                <w:szCs w:val="11"/>
                <w:color w:val="auto"/>
              </w:rPr>
              <w:t>N/A</w:t>
            </w:r>
          </w:p>
        </w:tc>
        <w:tc>
          <w:tcPr>
            <w:tcW w:w="680" w:type="dxa"/>
            <w:vAlign w:val="bottom"/>
            <w:gridSpan w:val="2"/>
          </w:tcPr>
          <w:p>
            <w:pPr>
              <w:ind w:left="280"/>
              <w:spacing w:after="0"/>
              <w:rPr>
                <w:sz w:val="20"/>
                <w:szCs w:val="20"/>
                <w:color w:val="auto"/>
              </w:rPr>
            </w:pPr>
            <w:r>
              <w:rPr>
                <w:rFonts w:ascii="Arial" w:cs="Arial" w:eastAsia="Arial" w:hAnsi="Arial"/>
                <w:sz w:val="11"/>
                <w:szCs w:val="11"/>
                <w:color w:val="auto"/>
              </w:rPr>
              <w:t>N/A</w:t>
            </w:r>
          </w:p>
        </w:tc>
        <w:tc>
          <w:tcPr>
            <w:tcW w:w="160" w:type="dxa"/>
            <w:vAlign w:val="bottom"/>
          </w:tcPr>
          <w:p>
            <w:pPr>
              <w:spacing w:after="0"/>
              <w:rPr>
                <w:sz w:val="17"/>
                <w:szCs w:val="17"/>
                <w:color w:val="auto"/>
              </w:rPr>
            </w:pPr>
          </w:p>
        </w:tc>
        <w:tc>
          <w:tcPr>
            <w:tcW w:w="840" w:type="dxa"/>
            <w:vAlign w:val="bottom"/>
          </w:tcPr>
          <w:p>
            <w:pPr>
              <w:jc w:val="right"/>
              <w:ind w:right="187"/>
              <w:spacing w:after="0"/>
              <w:rPr>
                <w:sz w:val="20"/>
                <w:szCs w:val="20"/>
                <w:color w:val="auto"/>
              </w:rPr>
            </w:pPr>
            <w:r>
              <w:rPr>
                <w:rFonts w:ascii="Arial" w:cs="Arial" w:eastAsia="Arial" w:hAnsi="Arial"/>
                <w:sz w:val="11"/>
                <w:szCs w:val="11"/>
                <w:color w:val="auto"/>
              </w:rPr>
              <w:t>88,015</w:t>
            </w:r>
          </w:p>
        </w:tc>
        <w:tc>
          <w:tcPr>
            <w:tcW w:w="760" w:type="dxa"/>
            <w:vAlign w:val="bottom"/>
          </w:tcPr>
          <w:p>
            <w:pPr>
              <w:jc w:val="right"/>
              <w:spacing w:after="0"/>
              <w:rPr>
                <w:sz w:val="20"/>
                <w:szCs w:val="20"/>
                <w:color w:val="auto"/>
              </w:rPr>
            </w:pPr>
            <w:r>
              <w:rPr>
                <w:rFonts w:ascii="Arial" w:cs="Arial" w:eastAsia="Arial" w:hAnsi="Arial"/>
                <w:sz w:val="11"/>
                <w:szCs w:val="11"/>
                <w:color w:val="auto"/>
              </w:rPr>
              <w:t>8.00%</w:t>
            </w: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Common equity tier 1 capital ratio (to risk-weighted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rPr>
              <w:t>133,318</w:t>
            </w:r>
          </w:p>
        </w:tc>
        <w:tc>
          <w:tcPr>
            <w:tcW w:w="660" w:type="dxa"/>
            <w:vAlign w:val="bottom"/>
            <w:shd w:val="clear" w:color="auto" w:fill="CCEEFF"/>
          </w:tcPr>
          <w:p>
            <w:pPr>
              <w:jc w:val="center"/>
              <w:ind w:right="87"/>
              <w:spacing w:after="0"/>
              <w:rPr>
                <w:sz w:val="20"/>
                <w:szCs w:val="20"/>
                <w:color w:val="auto"/>
              </w:rPr>
            </w:pPr>
            <w:r>
              <w:rPr>
                <w:rFonts w:ascii="Arial" w:cs="Arial" w:eastAsia="Arial" w:hAnsi="Arial"/>
                <w:sz w:val="11"/>
                <w:szCs w:val="11"/>
                <w:color w:val="auto"/>
                <w:w w:val="96"/>
              </w:rPr>
              <w:t>12.12%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49,508</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N/A</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N/A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71,512</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r>
      <w:tr>
        <w:trPr>
          <w:trHeight w:val="207"/>
        </w:trPr>
        <w:tc>
          <w:tcPr>
            <w:tcW w:w="3620" w:type="dxa"/>
            <w:vAlign w:val="bottom"/>
          </w:tcPr>
          <w:p>
            <w:pPr>
              <w:ind w:left="140"/>
              <w:spacing w:after="0"/>
              <w:rPr>
                <w:sz w:val="20"/>
                <w:szCs w:val="20"/>
                <w:color w:val="auto"/>
              </w:rPr>
            </w:pPr>
            <w:r>
              <w:rPr>
                <w:rFonts w:ascii="Arial" w:cs="Arial" w:eastAsia="Arial" w:hAnsi="Arial"/>
                <w:sz w:val="11"/>
                <w:szCs w:val="11"/>
                <w:color w:val="auto"/>
              </w:rPr>
              <w:t>Total capital ratio (to risk-weighted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7"/>
              <w:spacing w:after="0"/>
              <w:rPr>
                <w:sz w:val="20"/>
                <w:szCs w:val="20"/>
                <w:color w:val="auto"/>
              </w:rPr>
            </w:pPr>
            <w:r>
              <w:rPr>
                <w:rFonts w:ascii="Arial" w:cs="Arial" w:eastAsia="Arial" w:hAnsi="Arial"/>
                <w:sz w:val="11"/>
                <w:szCs w:val="11"/>
                <w:color w:val="auto"/>
              </w:rPr>
              <w:t>149,142</w:t>
            </w:r>
          </w:p>
        </w:tc>
        <w:tc>
          <w:tcPr>
            <w:tcW w:w="660" w:type="dxa"/>
            <w:vAlign w:val="bottom"/>
          </w:tcPr>
          <w:p>
            <w:pPr>
              <w:jc w:val="center"/>
              <w:ind w:right="87"/>
              <w:spacing w:after="0"/>
              <w:rPr>
                <w:sz w:val="20"/>
                <w:szCs w:val="20"/>
                <w:color w:val="auto"/>
              </w:rPr>
            </w:pPr>
            <w:r>
              <w:rPr>
                <w:rFonts w:ascii="Arial" w:cs="Arial" w:eastAsia="Arial" w:hAnsi="Arial"/>
                <w:sz w:val="11"/>
                <w:szCs w:val="11"/>
                <w:color w:val="auto"/>
                <w:w w:val="96"/>
              </w:rPr>
              <w:t>13.56%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87"/>
              <w:spacing w:after="0"/>
              <w:rPr>
                <w:sz w:val="20"/>
                <w:szCs w:val="20"/>
                <w:color w:val="auto"/>
              </w:rPr>
            </w:pPr>
            <w:r>
              <w:rPr>
                <w:rFonts w:ascii="Arial" w:cs="Arial" w:eastAsia="Arial" w:hAnsi="Arial"/>
                <w:sz w:val="11"/>
                <w:szCs w:val="11"/>
                <w:color w:val="auto"/>
              </w:rPr>
              <w:t>88,015</w:t>
            </w:r>
          </w:p>
        </w:tc>
        <w:tc>
          <w:tcPr>
            <w:tcW w:w="600" w:type="dxa"/>
            <w:vAlign w:val="bottom"/>
          </w:tcPr>
          <w:p>
            <w:pPr>
              <w:jc w:val="right"/>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87"/>
              <w:spacing w:after="0"/>
              <w:rPr>
                <w:sz w:val="20"/>
                <w:szCs w:val="20"/>
                <w:color w:val="auto"/>
              </w:rPr>
            </w:pPr>
            <w:r>
              <w:rPr>
                <w:rFonts w:ascii="Arial" w:cs="Arial" w:eastAsia="Arial" w:hAnsi="Arial"/>
                <w:sz w:val="11"/>
                <w:szCs w:val="11"/>
                <w:color w:val="auto"/>
              </w:rPr>
              <w:t>N/A</w:t>
            </w:r>
          </w:p>
        </w:tc>
        <w:tc>
          <w:tcPr>
            <w:tcW w:w="680" w:type="dxa"/>
            <w:vAlign w:val="bottom"/>
            <w:gridSpan w:val="2"/>
          </w:tcPr>
          <w:p>
            <w:pPr>
              <w:ind w:left="280"/>
              <w:spacing w:after="0"/>
              <w:rPr>
                <w:sz w:val="20"/>
                <w:szCs w:val="20"/>
                <w:color w:val="auto"/>
              </w:rPr>
            </w:pPr>
            <w:r>
              <w:rPr>
                <w:rFonts w:ascii="Arial" w:cs="Arial" w:eastAsia="Arial" w:hAnsi="Arial"/>
                <w:sz w:val="11"/>
                <w:szCs w:val="11"/>
                <w:color w:val="auto"/>
              </w:rPr>
              <w:t>N/A</w:t>
            </w:r>
          </w:p>
        </w:tc>
        <w:tc>
          <w:tcPr>
            <w:tcW w:w="160" w:type="dxa"/>
            <w:vAlign w:val="bottom"/>
          </w:tcPr>
          <w:p>
            <w:pPr>
              <w:spacing w:after="0"/>
              <w:rPr>
                <w:sz w:val="17"/>
                <w:szCs w:val="17"/>
                <w:color w:val="auto"/>
              </w:rPr>
            </w:pPr>
          </w:p>
        </w:tc>
        <w:tc>
          <w:tcPr>
            <w:tcW w:w="840" w:type="dxa"/>
            <w:vAlign w:val="bottom"/>
          </w:tcPr>
          <w:p>
            <w:pPr>
              <w:jc w:val="right"/>
              <w:ind w:right="187"/>
              <w:spacing w:after="0"/>
              <w:rPr>
                <w:sz w:val="20"/>
                <w:szCs w:val="20"/>
                <w:color w:val="auto"/>
              </w:rPr>
            </w:pPr>
            <w:r>
              <w:rPr>
                <w:rFonts w:ascii="Arial" w:cs="Arial" w:eastAsia="Arial" w:hAnsi="Arial"/>
                <w:sz w:val="11"/>
                <w:szCs w:val="11"/>
                <w:color w:val="auto"/>
              </w:rPr>
              <w:t>110,018</w:t>
            </w:r>
          </w:p>
        </w:tc>
        <w:tc>
          <w:tcPr>
            <w:tcW w:w="76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217"/>
        </w:trPr>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1"/>
                <w:szCs w:val="11"/>
                <w:b w:val="1"/>
                <w:bCs w:val="1"/>
                <w:color w:val="auto"/>
              </w:rPr>
              <w:t>The Bank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Tier 1 leverage ratio (to average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rPr>
              <w:t>114,613</w:t>
            </w:r>
          </w:p>
        </w:tc>
        <w:tc>
          <w:tcPr>
            <w:tcW w:w="660" w:type="dxa"/>
            <w:vAlign w:val="bottom"/>
            <w:shd w:val="clear" w:color="auto" w:fill="CCEEFF"/>
          </w:tcPr>
          <w:p>
            <w:pPr>
              <w:jc w:val="center"/>
              <w:ind w:right="107"/>
              <w:spacing w:after="0"/>
              <w:rPr>
                <w:sz w:val="20"/>
                <w:szCs w:val="20"/>
                <w:color w:val="auto"/>
              </w:rPr>
            </w:pPr>
            <w:r>
              <w:rPr>
                <w:rFonts w:ascii="Arial" w:cs="Arial" w:eastAsia="Arial" w:hAnsi="Arial"/>
                <w:sz w:val="11"/>
                <w:szCs w:val="11"/>
                <w:color w:val="auto"/>
                <w:w w:val="96"/>
              </w:rPr>
              <w:t>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53,005</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66,256</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66,256</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r>
      <w:tr>
        <w:trPr>
          <w:trHeight w:val="207"/>
        </w:trPr>
        <w:tc>
          <w:tcPr>
            <w:tcW w:w="3620" w:type="dxa"/>
            <w:vAlign w:val="bottom"/>
          </w:tcPr>
          <w:p>
            <w:pPr>
              <w:ind w:left="140"/>
              <w:spacing w:after="0"/>
              <w:rPr>
                <w:sz w:val="20"/>
                <w:szCs w:val="20"/>
                <w:color w:val="auto"/>
              </w:rPr>
            </w:pPr>
            <w:r>
              <w:rPr>
                <w:rFonts w:ascii="Arial" w:cs="Arial" w:eastAsia="Arial" w:hAnsi="Arial"/>
                <w:sz w:val="11"/>
                <w:szCs w:val="11"/>
                <w:color w:val="auto"/>
              </w:rPr>
              <w:t>Tier 1 capital (to risk-weighted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7"/>
              <w:spacing w:after="0"/>
              <w:rPr>
                <w:sz w:val="20"/>
                <w:szCs w:val="20"/>
                <w:color w:val="auto"/>
              </w:rPr>
            </w:pPr>
            <w:r>
              <w:rPr>
                <w:rFonts w:ascii="Arial" w:cs="Arial" w:eastAsia="Arial" w:hAnsi="Arial"/>
                <w:sz w:val="11"/>
                <w:szCs w:val="11"/>
                <w:color w:val="auto"/>
              </w:rPr>
              <w:t>114,613</w:t>
            </w:r>
          </w:p>
        </w:tc>
        <w:tc>
          <w:tcPr>
            <w:tcW w:w="660" w:type="dxa"/>
            <w:vAlign w:val="bottom"/>
          </w:tcPr>
          <w:p>
            <w:pPr>
              <w:jc w:val="center"/>
              <w:ind w:right="87"/>
              <w:spacing w:after="0"/>
              <w:rPr>
                <w:sz w:val="20"/>
                <w:szCs w:val="20"/>
                <w:color w:val="auto"/>
              </w:rPr>
            </w:pPr>
            <w:r>
              <w:rPr>
                <w:rFonts w:ascii="Arial" w:cs="Arial" w:eastAsia="Arial" w:hAnsi="Arial"/>
                <w:sz w:val="11"/>
                <w:szCs w:val="11"/>
                <w:color w:val="auto"/>
                <w:w w:val="96"/>
              </w:rPr>
              <w:t>10.73%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87"/>
              <w:spacing w:after="0"/>
              <w:rPr>
                <w:sz w:val="20"/>
                <w:szCs w:val="20"/>
                <w:color w:val="auto"/>
              </w:rPr>
            </w:pPr>
            <w:r>
              <w:rPr>
                <w:rFonts w:ascii="Arial" w:cs="Arial" w:eastAsia="Arial" w:hAnsi="Arial"/>
                <w:sz w:val="11"/>
                <w:szCs w:val="11"/>
                <w:color w:val="auto"/>
              </w:rPr>
              <w:t>64,093</w:t>
            </w:r>
          </w:p>
        </w:tc>
        <w:tc>
          <w:tcPr>
            <w:tcW w:w="600" w:type="dxa"/>
            <w:vAlign w:val="bottom"/>
          </w:tcPr>
          <w:p>
            <w:pPr>
              <w:jc w:val="right"/>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87"/>
              <w:spacing w:after="0"/>
              <w:rPr>
                <w:sz w:val="20"/>
                <w:szCs w:val="20"/>
                <w:color w:val="auto"/>
              </w:rPr>
            </w:pPr>
            <w:r>
              <w:rPr>
                <w:rFonts w:ascii="Arial" w:cs="Arial" w:eastAsia="Arial" w:hAnsi="Arial"/>
                <w:sz w:val="11"/>
                <w:szCs w:val="11"/>
                <w:color w:val="auto"/>
              </w:rPr>
              <w:t>85,458</w:t>
            </w:r>
          </w:p>
        </w:tc>
        <w:tc>
          <w:tcPr>
            <w:tcW w:w="560" w:type="dxa"/>
            <w:vAlign w:val="bottom"/>
          </w:tcPr>
          <w:p>
            <w:pPr>
              <w:jc w:val="right"/>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87"/>
              <w:spacing w:after="0"/>
              <w:rPr>
                <w:sz w:val="20"/>
                <w:szCs w:val="20"/>
                <w:color w:val="auto"/>
              </w:rPr>
            </w:pPr>
            <w:r>
              <w:rPr>
                <w:rFonts w:ascii="Arial" w:cs="Arial" w:eastAsia="Arial" w:hAnsi="Arial"/>
                <w:sz w:val="11"/>
                <w:szCs w:val="11"/>
                <w:color w:val="auto"/>
              </w:rPr>
              <w:t>85,458</w:t>
            </w:r>
          </w:p>
        </w:tc>
        <w:tc>
          <w:tcPr>
            <w:tcW w:w="760" w:type="dxa"/>
            <w:vAlign w:val="bottom"/>
          </w:tcPr>
          <w:p>
            <w:pPr>
              <w:jc w:val="right"/>
              <w:spacing w:after="0"/>
              <w:rPr>
                <w:sz w:val="20"/>
                <w:szCs w:val="20"/>
                <w:color w:val="auto"/>
              </w:rPr>
            </w:pPr>
            <w:r>
              <w:rPr>
                <w:rFonts w:ascii="Arial" w:cs="Arial" w:eastAsia="Arial" w:hAnsi="Arial"/>
                <w:sz w:val="11"/>
                <w:szCs w:val="11"/>
                <w:color w:val="auto"/>
              </w:rPr>
              <w:t>8.00%</w:t>
            </w: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Common equity tier 1 capital ratio (to risk-weighted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rPr>
              <w:t>114,613</w:t>
            </w:r>
          </w:p>
        </w:tc>
        <w:tc>
          <w:tcPr>
            <w:tcW w:w="660" w:type="dxa"/>
            <w:vAlign w:val="bottom"/>
            <w:shd w:val="clear" w:color="auto" w:fill="CCEEFF"/>
          </w:tcPr>
          <w:p>
            <w:pPr>
              <w:jc w:val="center"/>
              <w:ind w:right="87"/>
              <w:spacing w:after="0"/>
              <w:rPr>
                <w:sz w:val="20"/>
                <w:szCs w:val="20"/>
                <w:color w:val="auto"/>
              </w:rPr>
            </w:pPr>
            <w:r>
              <w:rPr>
                <w:rFonts w:ascii="Arial" w:cs="Arial" w:eastAsia="Arial" w:hAnsi="Arial"/>
                <w:sz w:val="11"/>
                <w:szCs w:val="11"/>
                <w:color w:val="auto"/>
                <w:w w:val="96"/>
              </w:rPr>
              <w:t>10.73%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48,070</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69,435</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69,435</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r>
      <w:tr>
        <w:trPr>
          <w:trHeight w:val="202"/>
        </w:trPr>
        <w:tc>
          <w:tcPr>
            <w:tcW w:w="3620" w:type="dxa"/>
            <w:vAlign w:val="bottom"/>
          </w:tcPr>
          <w:p>
            <w:pPr>
              <w:ind w:left="140"/>
              <w:spacing w:after="0"/>
              <w:rPr>
                <w:sz w:val="20"/>
                <w:szCs w:val="20"/>
                <w:color w:val="auto"/>
              </w:rPr>
            </w:pPr>
            <w:r>
              <w:rPr>
                <w:rFonts w:ascii="Arial" w:cs="Arial" w:eastAsia="Arial" w:hAnsi="Arial"/>
                <w:sz w:val="11"/>
                <w:szCs w:val="11"/>
                <w:color w:val="auto"/>
              </w:rPr>
              <w:t>Total capital ratio (to risk-weighted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27"/>
              <w:spacing w:after="0"/>
              <w:rPr>
                <w:sz w:val="20"/>
                <w:szCs w:val="20"/>
                <w:color w:val="auto"/>
              </w:rPr>
            </w:pPr>
            <w:r>
              <w:rPr>
                <w:rFonts w:ascii="Arial" w:cs="Arial" w:eastAsia="Arial" w:hAnsi="Arial"/>
                <w:sz w:val="11"/>
                <w:szCs w:val="11"/>
                <w:color w:val="auto"/>
              </w:rPr>
              <w:t>127,976</w:t>
            </w:r>
          </w:p>
        </w:tc>
        <w:tc>
          <w:tcPr>
            <w:tcW w:w="660" w:type="dxa"/>
            <w:vAlign w:val="bottom"/>
          </w:tcPr>
          <w:p>
            <w:pPr>
              <w:jc w:val="center"/>
              <w:ind w:right="87"/>
              <w:spacing w:after="0"/>
              <w:rPr>
                <w:sz w:val="20"/>
                <w:szCs w:val="20"/>
                <w:color w:val="auto"/>
              </w:rPr>
            </w:pPr>
            <w:r>
              <w:rPr>
                <w:rFonts w:ascii="Arial" w:cs="Arial" w:eastAsia="Arial" w:hAnsi="Arial"/>
                <w:sz w:val="11"/>
                <w:szCs w:val="11"/>
                <w:color w:val="auto"/>
                <w:w w:val="96"/>
              </w:rPr>
              <w:t>11.98%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87"/>
              <w:spacing w:after="0"/>
              <w:rPr>
                <w:sz w:val="20"/>
                <w:szCs w:val="20"/>
                <w:color w:val="auto"/>
              </w:rPr>
            </w:pPr>
            <w:r>
              <w:rPr>
                <w:rFonts w:ascii="Arial" w:cs="Arial" w:eastAsia="Arial" w:hAnsi="Arial"/>
                <w:sz w:val="11"/>
                <w:szCs w:val="11"/>
                <w:color w:val="auto"/>
              </w:rPr>
              <w:t>85,458</w:t>
            </w:r>
          </w:p>
        </w:tc>
        <w:tc>
          <w:tcPr>
            <w:tcW w:w="600" w:type="dxa"/>
            <w:vAlign w:val="bottom"/>
          </w:tcPr>
          <w:p>
            <w:pPr>
              <w:jc w:val="right"/>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87"/>
              <w:spacing w:after="0"/>
              <w:rPr>
                <w:sz w:val="20"/>
                <w:szCs w:val="20"/>
                <w:color w:val="auto"/>
              </w:rPr>
            </w:pPr>
            <w:r>
              <w:rPr>
                <w:rFonts w:ascii="Arial" w:cs="Arial" w:eastAsia="Arial" w:hAnsi="Arial"/>
                <w:sz w:val="11"/>
                <w:szCs w:val="11"/>
                <w:color w:val="auto"/>
              </w:rPr>
              <w:t>106,822</w:t>
            </w:r>
          </w:p>
        </w:tc>
        <w:tc>
          <w:tcPr>
            <w:tcW w:w="560" w:type="dxa"/>
            <w:vAlign w:val="bottom"/>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87"/>
              <w:spacing w:after="0"/>
              <w:rPr>
                <w:sz w:val="20"/>
                <w:szCs w:val="20"/>
                <w:color w:val="auto"/>
              </w:rPr>
            </w:pPr>
            <w:r>
              <w:rPr>
                <w:rFonts w:ascii="Arial" w:cs="Arial" w:eastAsia="Arial" w:hAnsi="Arial"/>
                <w:sz w:val="11"/>
                <w:szCs w:val="11"/>
                <w:color w:val="auto"/>
              </w:rPr>
              <w:t>106,822</w:t>
            </w:r>
          </w:p>
        </w:tc>
        <w:tc>
          <w:tcPr>
            <w:tcW w:w="760" w:type="dxa"/>
            <w:vAlign w:val="bottom"/>
          </w:tcPr>
          <w:p>
            <w:pPr>
              <w:jc w:val="right"/>
              <w:spacing w:after="0"/>
              <w:rPr>
                <w:sz w:val="20"/>
                <w:szCs w:val="20"/>
                <w:color w:val="auto"/>
              </w:rPr>
            </w:pPr>
            <w:r>
              <w:rPr>
                <w:rFonts w:ascii="Arial" w:cs="Arial" w:eastAsia="Arial" w:hAnsi="Arial"/>
                <w:sz w:val="11"/>
                <w:szCs w:val="11"/>
                <w:color w:val="auto"/>
              </w:rPr>
              <w:t>10.00%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9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March 31, 2020.</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309"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CONTRACTUAL OBLIGATIONS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As of March 31, 2020</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33"/>
        </w:trPr>
        <w:tc>
          <w:tcPr>
            <w:tcW w:w="4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38"/>
              <w:spacing w:after="0"/>
              <w:rPr>
                <w:sz w:val="20"/>
                <w:szCs w:val="20"/>
                <w:color w:val="auto"/>
              </w:rPr>
            </w:pPr>
            <w:r>
              <w:rPr>
                <w:rFonts w:ascii="Arial" w:cs="Arial" w:eastAsia="Arial" w:hAnsi="Arial"/>
                <w:sz w:val="11"/>
                <w:szCs w:val="11"/>
                <w:b w:val="1"/>
                <w:bCs w:val="1"/>
                <w:color w:val="auto"/>
              </w:rPr>
              <w:t>Due After One Through</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Due After Three Through</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55"/>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Due in One Year or Less</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Three Years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Five Years</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1"/>
                <w:szCs w:val="11"/>
                <w:b w:val="1"/>
                <w:bCs w:val="1"/>
                <w:color w:val="auto"/>
              </w:rPr>
              <w:t>Due After 5 Years</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Total</w:t>
            </w: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FHLB advances</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13,333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15,556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28,889</w:t>
            </w:r>
          </w:p>
        </w:tc>
      </w:tr>
      <w:tr>
        <w:trPr>
          <w:trHeight w:val="205"/>
        </w:trPr>
        <w:tc>
          <w:tcPr>
            <w:tcW w:w="4060" w:type="dxa"/>
            <w:vAlign w:val="bottom"/>
          </w:tcPr>
          <w:p>
            <w:pPr>
              <w:ind w:left="20"/>
              <w:spacing w:after="0"/>
              <w:rPr>
                <w:sz w:val="20"/>
                <w:szCs w:val="20"/>
                <w:color w:val="auto"/>
              </w:rPr>
            </w:pPr>
            <w:r>
              <w:rPr>
                <w:rFonts w:ascii="Arial" w:cs="Arial" w:eastAsia="Arial" w:hAnsi="Arial"/>
                <w:sz w:val="13"/>
                <w:szCs w:val="13"/>
                <w:color w:val="auto"/>
              </w:rPr>
              <w:t>Certificates of deposit $100,000 or more</w:t>
            </w:r>
          </w:p>
        </w:tc>
        <w:tc>
          <w:tcPr>
            <w:tcW w:w="46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158,845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3"/>
                <w:szCs w:val="13"/>
                <w:color w:val="auto"/>
              </w:rPr>
              <w:t>98,244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58"/>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258,023</w:t>
            </w: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Certificates of deposit less than $100,000</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19,182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27,294</w:t>
            </w:r>
          </w:p>
        </w:tc>
      </w:tr>
      <w:tr>
        <w:trPr>
          <w:trHeight w:val="205"/>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Subordinated debt</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15,430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15,430</w:t>
            </w:r>
          </w:p>
        </w:tc>
      </w:tr>
      <w:tr>
        <w:trPr>
          <w:trHeight w:val="187"/>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191,360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121,470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15,491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329,636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Off-Balance Sheet Items</w:t>
      </w:r>
    </w:p>
    <w:p>
      <w:pPr>
        <w:spacing w:after="0" w:line="19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16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CREDIT EXTENSION COMMITMENTS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760" w:type="dxa"/>
            <w:vAlign w:val="bottom"/>
          </w:tcPr>
          <w:p>
            <w:pPr>
              <w:spacing w:after="0"/>
              <w:rPr>
                <w:sz w:val="13"/>
                <w:szCs w:val="13"/>
                <w:color w:val="auto"/>
              </w:rPr>
            </w:pPr>
          </w:p>
        </w:tc>
        <w:tc>
          <w:tcPr>
            <w:tcW w:w="20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As of March 31, 2020</w:t>
            </w: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As of December 31, 2019</w:t>
            </w:r>
          </w:p>
        </w:tc>
      </w:tr>
      <w:tr>
        <w:trPr>
          <w:trHeight w:val="193"/>
        </w:trPr>
        <w:tc>
          <w:tcPr>
            <w:tcW w:w="576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3"/>
                <w:szCs w:val="13"/>
                <w:color w:val="auto"/>
              </w:rPr>
              <w:t>Unfunded lines of credit</w:t>
            </w:r>
          </w:p>
        </w:tc>
        <w:tc>
          <w:tcPr>
            <w:tcW w:w="2040" w:type="dxa"/>
            <w:vAlign w:val="bottom"/>
          </w:tcPr>
          <w:p>
            <w:pPr>
              <w:jc w:val="right"/>
              <w:ind w:right="1879"/>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56"/>
              <w:spacing w:after="0"/>
              <w:rPr>
                <w:sz w:val="20"/>
                <w:szCs w:val="20"/>
                <w:color w:val="auto"/>
              </w:rPr>
            </w:pPr>
            <w:r>
              <w:rPr>
                <w:rFonts w:ascii="Arial" w:cs="Arial" w:eastAsia="Arial" w:hAnsi="Arial"/>
                <w:sz w:val="13"/>
                <w:szCs w:val="13"/>
                <w:b w:val="1"/>
                <w:bCs w:val="1"/>
                <w:color w:val="auto"/>
              </w:rPr>
              <w:t>262,324</w:t>
            </w:r>
          </w:p>
        </w:tc>
        <w:tc>
          <w:tcPr>
            <w:tcW w:w="120" w:type="dxa"/>
            <w:vAlign w:val="bottom"/>
          </w:tcPr>
          <w:p>
            <w:pPr>
              <w:spacing w:after="0"/>
              <w:rPr>
                <w:sz w:val="19"/>
                <w:szCs w:val="19"/>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2280" w:type="dxa"/>
            <w:vAlign w:val="bottom"/>
          </w:tcPr>
          <w:p>
            <w:pPr>
              <w:jc w:val="right"/>
              <w:ind w:right="38"/>
              <w:spacing w:after="0"/>
              <w:rPr>
                <w:sz w:val="20"/>
                <w:szCs w:val="20"/>
                <w:color w:val="auto"/>
              </w:rPr>
            </w:pPr>
            <w:r>
              <w:rPr>
                <w:rFonts w:ascii="Arial" w:cs="Arial" w:eastAsia="Arial" w:hAnsi="Arial"/>
                <w:sz w:val="13"/>
                <w:szCs w:val="13"/>
                <w:color w:val="auto"/>
              </w:rPr>
              <w:t>260,573</w:t>
            </w:r>
          </w:p>
        </w:tc>
      </w:tr>
      <w:tr>
        <w:trPr>
          <w:trHeight w:val="22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to originate residential loans held for sale</w:t>
            </w:r>
          </w:p>
        </w:tc>
        <w:tc>
          <w:tcPr>
            <w:tcW w:w="2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8,900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2,646</w:t>
            </w:r>
          </w:p>
        </w:tc>
      </w:tr>
      <w:tr>
        <w:trPr>
          <w:trHeight w:val="205"/>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Letters of credit</w:t>
            </w:r>
          </w:p>
        </w:tc>
        <w:tc>
          <w:tcPr>
            <w:tcW w:w="2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5,260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5,305</w:t>
            </w:r>
          </w:p>
        </w:tc>
      </w:tr>
      <w:tr>
        <w:trPr>
          <w:trHeight w:val="187"/>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credit extension commitments</w:t>
            </w:r>
          </w:p>
        </w:tc>
        <w:tc>
          <w:tcPr>
            <w:tcW w:w="2040" w:type="dxa"/>
            <w:vAlign w:val="bottom"/>
            <w:tcBorders>
              <w:bottom w:val="single" w:sz="8" w:color="auto"/>
            </w:tcBorders>
            <w:shd w:val="clear" w:color="auto" w:fill="CCEEFF"/>
          </w:tcPr>
          <w:p>
            <w:pPr>
              <w:jc w:val="right"/>
              <w:ind w:right="1879"/>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276,484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2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268,524</w:t>
            </w:r>
          </w:p>
        </w:tc>
      </w:tr>
      <w:tr>
        <w:trPr>
          <w:trHeight w:val="20"/>
        </w:trPr>
        <w:tc>
          <w:tcPr>
            <w:tcW w:w="57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Unfunded lines of credit represent unused credit facilities to our current borrowers. Letters of credit are conditional commitments issued by us to guarantee the performance of a customer to a third party. Lines of credit generally have variable interest rates.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and our credit risk associated with issuing letters of credit is believed to be substantially the same as the risk involved in extending loan facilities to our customers.</w:t>
      </w:r>
    </w:p>
    <w:p>
      <w:pPr>
        <w:spacing w:after="0" w:line="161"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seek to minimize our exposure to loss under letters of credit and credit commitments by subjecting them to the same credit approval and monitoring procedures as we do for on-balance sheet instruments.</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291" w:right="319" w:bottom="1440" w:gutter="0" w:footer="0" w:header="0"/>
        </w:sectPr>
      </w:pPr>
    </w:p>
    <w:bookmarkStart w:id="63" w:name="page64"/>
    <w:bookmarkEnd w:id="63"/>
    <w:p>
      <w:pPr>
        <w:jc w:val="both"/>
        <w:spacing w:after="0" w:line="266" w:lineRule="auto"/>
        <w:rPr>
          <w:sz w:val="20"/>
          <w:szCs w:val="20"/>
          <w:color w:val="auto"/>
        </w:rPr>
      </w:pPr>
      <w:r>
        <w:rPr>
          <w:rFonts w:ascii="Arial" w:cs="Arial" w:eastAsia="Arial" w:hAnsi="Arial"/>
          <w:sz w:val="14"/>
          <w:szCs w:val="14"/>
          <w:color w:val="auto"/>
        </w:rPr>
        <w:t>The effect on our revenue, expenses, cash flows and liquidity of the unused portions of these letters of credit commitments cannot be precisely predicted because there is no guarantee that the lines of credit will be used.</w:t>
      </w:r>
    </w:p>
    <w:p>
      <w:pPr>
        <w:spacing w:after="0" w:line="15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6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30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auto"/>
        </w:rPr>
        <w:t>Item 3. QUANTITATIVE AND QUALITATIVE DISCLOSURES ABOUT MARKET RISK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Sensitivity and Market Risk</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4"/>
          <w:szCs w:val="14"/>
          <w:b w:val="1"/>
          <w:bCs w:val="1"/>
          <w:color w:val="auto"/>
        </w:rPr>
        <w:t>.</w:t>
      </w:r>
      <w:r>
        <w:rPr>
          <w:rFonts w:ascii="Arial" w:cs="Arial" w:eastAsia="Arial" w:hAnsi="Arial"/>
          <w:sz w:val="14"/>
          <w:szCs w:val="14"/>
          <w:color w:val="auto"/>
        </w:rPr>
        <w:t xml:space="preserve"> We manage our sensitivity position within our established guidelines.</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5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15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on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161"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291"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INTEREST SENSITIVITY GAP</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After One Month Through</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After Three Through</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Greater Than One Year</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0"/>
        </w:trPr>
        <w:tc>
          <w:tcPr>
            <w:tcW w:w="2380" w:type="dxa"/>
            <w:vAlign w:val="bottom"/>
          </w:tcPr>
          <w:p>
            <w:pPr>
              <w:ind w:left="20"/>
              <w:spacing w:after="0"/>
              <w:rPr>
                <w:sz w:val="20"/>
                <w:szCs w:val="20"/>
                <w:color w:val="auto"/>
              </w:rPr>
            </w:pPr>
            <w:r>
              <w:rPr>
                <w:rFonts w:ascii="Arial" w:cs="Arial" w:eastAsia="Arial" w:hAnsi="Arial"/>
                <w:sz w:val="11"/>
                <w:szCs w:val="11"/>
                <w:b w:val="1"/>
                <w:bCs w:val="1"/>
                <w:color w:val="auto"/>
              </w:rPr>
              <w:t>March 31, 2020</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Within One Month</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Three Months</w:t>
            </w: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Twelve Months</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Within One Year</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or Non-Sensitive</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Total</w:t>
            </w:r>
          </w:p>
        </w:tc>
      </w:tr>
      <w:tr>
        <w:trPr>
          <w:trHeight w:val="202"/>
        </w:trPr>
        <w:tc>
          <w:tcPr>
            <w:tcW w:w="23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1"/>
        </w:trPr>
        <w:tc>
          <w:tcPr>
            <w:tcW w:w="2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2380" w:type="dxa"/>
            <w:vAlign w:val="bottom"/>
          </w:tcPr>
          <w:p>
            <w:pPr>
              <w:ind w:left="20"/>
              <w:spacing w:after="0"/>
              <w:rPr>
                <w:sz w:val="20"/>
                <w:szCs w:val="20"/>
                <w:color w:val="auto"/>
              </w:rPr>
            </w:pPr>
            <w:r>
              <w:rPr>
                <w:rFonts w:ascii="Arial" w:cs="Arial" w:eastAsia="Arial" w:hAnsi="Arial"/>
                <w:sz w:val="11"/>
                <w:szCs w:val="11"/>
                <w:color w:val="auto"/>
              </w:rPr>
              <w:t>Interest earning assets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(1)</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669,387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49,330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192,286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911,003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350,751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1,261,754</w:t>
            </w:r>
          </w:p>
        </w:tc>
      </w:tr>
      <w:tr>
        <w:trPr>
          <w:trHeight w:val="208"/>
        </w:trPr>
        <w:tc>
          <w:tcPr>
            <w:tcW w:w="2380" w:type="dxa"/>
            <w:vAlign w:val="bottom"/>
          </w:tcPr>
          <w:p>
            <w:pPr>
              <w:ind w:left="14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8"/>
                <w:szCs w:val="18"/>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1,054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2,054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57,470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59,524</w:t>
            </w:r>
          </w:p>
        </w:tc>
      </w:tr>
      <w:tr>
        <w:trPr>
          <w:trHeight w:val="156"/>
        </w:trPr>
        <w:tc>
          <w:tcPr>
            <w:tcW w:w="2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bearing deposits at other financial</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5"/>
        </w:trPr>
        <w:tc>
          <w:tcPr>
            <w:tcW w:w="23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institutions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164,313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164,313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164,313</w:t>
            </w:r>
          </w:p>
        </w:tc>
      </w:tr>
      <w:tr>
        <w:trPr>
          <w:trHeight w:val="208"/>
        </w:trPr>
        <w:tc>
          <w:tcPr>
            <w:tcW w:w="2380" w:type="dxa"/>
            <w:vAlign w:val="bottom"/>
          </w:tcPr>
          <w:p>
            <w:pPr>
              <w:ind w:left="140"/>
              <w:spacing w:after="0"/>
              <w:rPr>
                <w:sz w:val="20"/>
                <w:szCs w:val="20"/>
                <w:color w:val="auto"/>
              </w:rPr>
            </w:pPr>
            <w:r>
              <w:rPr>
                <w:rFonts w:ascii="Arial" w:cs="Arial" w:eastAsia="Arial" w:hAnsi="Arial"/>
                <w:sz w:val="11"/>
                <w:szCs w:val="11"/>
                <w:color w:val="auto"/>
              </w:rPr>
              <w:t>Federal funds sold</w:t>
            </w:r>
          </w:p>
        </w:tc>
        <w:tc>
          <w:tcPr>
            <w:tcW w:w="140" w:type="dxa"/>
            <w:vAlign w:val="bottom"/>
          </w:tcPr>
          <w:p>
            <w:pPr>
              <w:spacing w:after="0"/>
              <w:rPr>
                <w:sz w:val="18"/>
                <w:szCs w:val="18"/>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979</w:t>
            </w:r>
          </w:p>
        </w:tc>
      </w:tr>
      <w:tr>
        <w:trPr>
          <w:trHeight w:val="186"/>
        </w:trPr>
        <w:tc>
          <w:tcPr>
            <w:tcW w:w="23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 earning assets</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835,733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50,330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192,286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1,078,349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408,221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1,486,570</w:t>
            </w:r>
          </w:p>
        </w:tc>
      </w:tr>
      <w:tr>
        <w:trPr>
          <w:trHeight w:val="20"/>
        </w:trPr>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4"/>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2380" w:type="dxa"/>
            <w:vAlign w:val="bottom"/>
          </w:tcPr>
          <w:p>
            <w:pPr>
              <w:ind w:left="20"/>
              <w:spacing w:after="0"/>
              <w:rPr>
                <w:sz w:val="20"/>
                <w:szCs w:val="20"/>
                <w:color w:val="auto"/>
              </w:rPr>
            </w:pPr>
            <w:r>
              <w:rPr>
                <w:rFonts w:ascii="Arial" w:cs="Arial" w:eastAsia="Arial" w:hAnsi="Arial"/>
                <w:sz w:val="11"/>
                <w:szCs w:val="11"/>
                <w:color w:val="auto"/>
              </w:rPr>
              <w:t>Interest bearing liabilities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bearing deposits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654,172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654,172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654,172</w:t>
            </w:r>
          </w:p>
        </w:tc>
      </w:tr>
      <w:tr>
        <w:trPr>
          <w:trHeight w:val="208"/>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Time deposits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12,525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41,406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124,096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178,027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107,291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285,318</w:t>
            </w:r>
          </w:p>
        </w:tc>
      </w:tr>
      <w:tr>
        <w:trPr>
          <w:trHeight w:val="196"/>
        </w:trPr>
        <w:tc>
          <w:tcPr>
            <w:tcW w:w="2380" w:type="dxa"/>
            <w:vAlign w:val="bottom"/>
            <w:shd w:val="clear" w:color="auto" w:fill="CCEEFF"/>
          </w:tcPr>
          <w:p>
            <w:pPr>
              <w:ind w:left="380"/>
              <w:spacing w:after="0"/>
              <w:rPr>
                <w:sz w:val="20"/>
                <w:szCs w:val="20"/>
                <w:color w:val="auto"/>
              </w:rPr>
            </w:pPr>
            <w:r>
              <w:rPr>
                <w:rFonts w:ascii="Arial" w:cs="Arial" w:eastAsia="Arial" w:hAnsi="Arial"/>
                <w:sz w:val="11"/>
                <w:szCs w:val="11"/>
                <w:color w:val="auto"/>
              </w:rPr>
              <w:t>Total interest bearing deposits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666,697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41,406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124,096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832,199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107,291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939,490</w:t>
            </w:r>
          </w:p>
        </w:tc>
      </w:tr>
      <w:tr>
        <w:trPr>
          <w:trHeight w:val="208"/>
        </w:trPr>
        <w:tc>
          <w:tcPr>
            <w:tcW w:w="2380" w:type="dxa"/>
            <w:vAlign w:val="bottom"/>
          </w:tcPr>
          <w:p>
            <w:pPr>
              <w:ind w:left="140"/>
              <w:spacing w:after="0"/>
              <w:rPr>
                <w:sz w:val="20"/>
                <w:szCs w:val="20"/>
                <w:color w:val="auto"/>
              </w:rPr>
            </w:pPr>
            <w:r>
              <w:rPr>
                <w:rFonts w:ascii="Arial" w:cs="Arial" w:eastAsia="Arial" w:hAnsi="Arial"/>
                <w:sz w:val="11"/>
                <w:szCs w:val="11"/>
                <w:color w:val="auto"/>
              </w:rPr>
              <w:t>FHLB Advances</w:t>
            </w:r>
          </w:p>
        </w:tc>
        <w:tc>
          <w:tcPr>
            <w:tcW w:w="140" w:type="dxa"/>
            <w:vAlign w:val="bottom"/>
          </w:tcPr>
          <w:p>
            <w:pPr>
              <w:spacing w:after="0"/>
              <w:rPr>
                <w:sz w:val="18"/>
                <w:szCs w:val="18"/>
                <w:color w:val="auto"/>
              </w:rPr>
            </w:pP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1,053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2,113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83"/>
              <w:spacing w:after="0"/>
              <w:rPr>
                <w:sz w:val="20"/>
                <w:szCs w:val="20"/>
                <w:color w:val="auto"/>
              </w:rPr>
            </w:pPr>
            <w:r>
              <w:rPr>
                <w:rFonts w:ascii="Arial" w:cs="Arial" w:eastAsia="Arial" w:hAnsi="Arial"/>
                <w:sz w:val="11"/>
                <w:szCs w:val="11"/>
                <w:color w:val="auto"/>
              </w:rPr>
              <w:t>9,615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12,781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16,108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28,889</w:t>
            </w:r>
          </w:p>
        </w:tc>
      </w:tr>
      <w:tr>
        <w:trPr>
          <w:trHeight w:val="212"/>
        </w:trPr>
        <w:tc>
          <w:tcPr>
            <w:tcW w:w="2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borrowed funds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15,430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15,430</w:t>
            </w:r>
          </w:p>
        </w:tc>
      </w:tr>
      <w:tr>
        <w:trPr>
          <w:trHeight w:val="226"/>
        </w:trPr>
        <w:tc>
          <w:tcPr>
            <w:tcW w:w="23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Total interest bearing liabilities</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667,750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43,519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3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133,711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844,980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138,829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983,809</w:t>
            </w:r>
          </w:p>
        </w:tc>
      </w:tr>
      <w:tr>
        <w:trPr>
          <w:trHeight w:val="184"/>
        </w:trPr>
        <w:tc>
          <w:tcPr>
            <w:tcW w:w="2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8"/>
        </w:trPr>
        <w:tc>
          <w:tcPr>
            <w:tcW w:w="2380" w:type="dxa"/>
            <w:vAlign w:val="bottom"/>
          </w:tcPr>
          <w:p>
            <w:pPr>
              <w:ind w:left="20"/>
              <w:spacing w:after="0"/>
              <w:rPr>
                <w:sz w:val="20"/>
                <w:szCs w:val="20"/>
                <w:color w:val="auto"/>
              </w:rPr>
            </w:pPr>
            <w:r>
              <w:rPr>
                <w:rFonts w:ascii="Arial" w:cs="Arial" w:eastAsia="Arial" w:hAnsi="Arial"/>
                <w:sz w:val="11"/>
                <w:szCs w:val="11"/>
                <w:color w:val="auto"/>
              </w:rPr>
              <w:t>Period gap</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83"/>
              <w:spacing w:after="0"/>
              <w:rPr>
                <w:sz w:val="20"/>
                <w:szCs w:val="20"/>
                <w:color w:val="auto"/>
              </w:rPr>
            </w:pPr>
            <w:r>
              <w:rPr>
                <w:rFonts w:ascii="Arial" w:cs="Arial" w:eastAsia="Arial" w:hAnsi="Arial"/>
                <w:sz w:val="11"/>
                <w:szCs w:val="11"/>
                <w:color w:val="auto"/>
              </w:rPr>
              <w:t>167,983</w:t>
            </w:r>
          </w:p>
        </w:tc>
        <w:tc>
          <w:tcPr>
            <w:tcW w:w="100" w:type="dxa"/>
            <w:vAlign w:val="bottom"/>
          </w:tcPr>
          <w:p>
            <w:pPr>
              <w:spacing w:after="0"/>
              <w:rPr>
                <w:sz w:val="18"/>
                <w:szCs w:val="18"/>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6,811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83"/>
              <w:spacing w:after="0"/>
              <w:rPr>
                <w:sz w:val="20"/>
                <w:szCs w:val="20"/>
                <w:color w:val="auto"/>
              </w:rPr>
            </w:pPr>
            <w:r>
              <w:rPr>
                <w:rFonts w:ascii="Arial" w:cs="Arial" w:eastAsia="Arial" w:hAnsi="Arial"/>
                <w:sz w:val="11"/>
                <w:szCs w:val="11"/>
                <w:color w:val="auto"/>
              </w:rPr>
              <w:t>58,575</w:t>
            </w:r>
          </w:p>
        </w:tc>
        <w:tc>
          <w:tcPr>
            <w:tcW w:w="10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83"/>
              <w:spacing w:after="0"/>
              <w:rPr>
                <w:sz w:val="20"/>
                <w:szCs w:val="20"/>
                <w:color w:val="auto"/>
              </w:rPr>
            </w:pPr>
            <w:r>
              <w:rPr>
                <w:rFonts w:ascii="Arial" w:cs="Arial" w:eastAsia="Arial" w:hAnsi="Arial"/>
                <w:sz w:val="11"/>
                <w:szCs w:val="11"/>
                <w:color w:val="auto"/>
              </w:rPr>
              <w:t>233,369</w:t>
            </w:r>
          </w:p>
        </w:tc>
        <w:tc>
          <w:tcPr>
            <w:tcW w:w="100" w:type="dxa"/>
            <w:vAlign w:val="bottom"/>
          </w:tcPr>
          <w:p>
            <w:pPr>
              <w:spacing w:after="0"/>
              <w:rPr>
                <w:sz w:val="18"/>
                <w:szCs w:val="18"/>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63"/>
              <w:spacing w:after="0"/>
              <w:rPr>
                <w:sz w:val="20"/>
                <w:szCs w:val="20"/>
                <w:color w:val="auto"/>
              </w:rPr>
            </w:pPr>
            <w:r>
              <w:rPr>
                <w:rFonts w:ascii="Arial" w:cs="Arial" w:eastAsia="Arial" w:hAnsi="Arial"/>
                <w:sz w:val="11"/>
                <w:szCs w:val="11"/>
                <w:color w:val="auto"/>
              </w:rPr>
              <w:t>269,392</w:t>
            </w:r>
          </w:p>
        </w:tc>
        <w:tc>
          <w:tcPr>
            <w:tcW w:w="1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502,761</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Cumulative gap</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167,983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174,794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233,369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233,369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502,761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4"/>
        </w:trPr>
        <w:tc>
          <w:tcPr>
            <w:tcW w:w="2380" w:type="dxa"/>
            <w:vAlign w:val="bottom"/>
          </w:tcPr>
          <w:p>
            <w:pPr>
              <w:ind w:left="20"/>
              <w:spacing w:after="0"/>
              <w:rPr>
                <w:sz w:val="20"/>
                <w:szCs w:val="20"/>
                <w:color w:val="auto"/>
              </w:rPr>
            </w:pPr>
            <w:r>
              <w:rPr>
                <w:rFonts w:ascii="Arial" w:cs="Arial" w:eastAsia="Arial" w:hAnsi="Arial"/>
                <w:sz w:val="11"/>
                <w:szCs w:val="11"/>
                <w:color w:val="auto"/>
              </w:rPr>
              <w:t>Ratio of cumulative gap to total earning assets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11.30%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11.76%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15.70%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33.82%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4"/>
                <w:szCs w:val="14"/>
                <w:color w:val="auto"/>
              </w:rPr>
              <w:t>_______________</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4"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(1)</w:t>
        <w:tab/>
        <w:t>Includes loans held for sale.</w:t>
      </w:r>
    </w:p>
    <w:p>
      <w:pPr>
        <w:spacing w:after="0" w:line="29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5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also use economic value-based methodologies to measure the degree to which the economic values of the Bank’s positions change under different interest rate scenarios. The economic-value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291" w:right="319" w:bottom="1440" w:gutter="0" w:footer="0" w:header="0"/>
        </w:sectPr>
      </w:pPr>
    </w:p>
    <w:bookmarkStart w:id="66" w:name="page67"/>
    <w:bookmarkEnd w:id="66"/>
    <w:p>
      <w:pPr>
        <w:jc w:val="both"/>
        <w:ind w:firstLine="255"/>
        <w:spacing w:after="0" w:line="256" w:lineRule="auto"/>
        <w:rPr>
          <w:sz w:val="20"/>
          <w:szCs w:val="20"/>
          <w:color w:val="auto"/>
        </w:rPr>
      </w:pPr>
      <w:r>
        <w:rPr>
          <w:rFonts w:ascii="Arial" w:cs="Arial" w:eastAsia="Arial" w:hAnsi="Arial"/>
          <w:sz w:val="14"/>
          <w:szCs w:val="14"/>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6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summarizes the results of our EAR analysis in simulating the change in net interest income and fair value of equity over a 12-month horizon as of March 31, 2020: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ON NET INTEREST INCOME UNDER A STATIC BALANCE SHEET, PARALLEL INTEREST RATE SHOCK</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2580" w:type="dxa"/>
            <w:vAlign w:val="bottom"/>
            <w:gridSpan w:val="2"/>
          </w:tcPr>
          <w:p>
            <w:pPr>
              <w:spacing w:after="0"/>
              <w:rPr>
                <w:sz w:val="20"/>
                <w:szCs w:val="20"/>
                <w:color w:val="auto"/>
              </w:rPr>
            </w:pPr>
            <w:r>
              <w:rPr>
                <w:rFonts w:ascii="Arial" w:cs="Arial" w:eastAsia="Arial" w:hAnsi="Arial"/>
                <w:sz w:val="11"/>
                <w:szCs w:val="11"/>
                <w:b w:val="1"/>
                <w:bCs w:val="1"/>
                <w:color w:val="auto"/>
              </w:rPr>
              <w:t>Earnings at Risk</w:t>
            </w:r>
          </w:p>
        </w:tc>
        <w:tc>
          <w:tcPr>
            <w:tcW w:w="1460" w:type="dxa"/>
            <w:vAlign w:val="bottom"/>
          </w:tcPr>
          <w:p>
            <w:pPr>
              <w:jc w:val="right"/>
              <w:ind w:right="543"/>
              <w:spacing w:after="0"/>
              <w:rPr>
                <w:sz w:val="20"/>
                <w:szCs w:val="20"/>
                <w:color w:val="auto"/>
              </w:rPr>
            </w:pPr>
            <w:r>
              <w:rPr>
                <w:rFonts w:ascii="Arial" w:cs="Arial" w:eastAsia="Arial" w:hAnsi="Arial"/>
                <w:sz w:val="11"/>
                <w:szCs w:val="11"/>
                <w:b w:val="1"/>
                <w:bCs w:val="1"/>
                <w:color w:val="auto"/>
              </w:rPr>
              <w:t>-200 bps</w:t>
            </w:r>
          </w:p>
        </w:tc>
        <w:tc>
          <w:tcPr>
            <w:tcW w:w="1160" w:type="dxa"/>
            <w:vAlign w:val="bottom"/>
            <w:gridSpan w:val="2"/>
          </w:tcPr>
          <w:p>
            <w:pPr>
              <w:ind w:left="240"/>
              <w:spacing w:after="0"/>
              <w:rPr>
                <w:sz w:val="20"/>
                <w:szCs w:val="20"/>
                <w:color w:val="auto"/>
              </w:rPr>
            </w:pPr>
            <w:r>
              <w:rPr>
                <w:rFonts w:ascii="Arial" w:cs="Arial" w:eastAsia="Arial" w:hAnsi="Arial"/>
                <w:sz w:val="11"/>
                <w:szCs w:val="11"/>
                <w:b w:val="1"/>
                <w:bCs w:val="1"/>
                <w:color w:val="auto"/>
              </w:rPr>
              <w:t>-100 bps</w:t>
            </w:r>
          </w:p>
        </w:tc>
        <w:tc>
          <w:tcPr>
            <w:tcW w:w="1220" w:type="dxa"/>
            <w:vAlign w:val="bottom"/>
            <w:gridSpan w:val="2"/>
          </w:tcPr>
          <w:p>
            <w:pPr>
              <w:ind w:left="460"/>
              <w:spacing w:after="0"/>
              <w:rPr>
                <w:sz w:val="20"/>
                <w:szCs w:val="20"/>
                <w:color w:val="auto"/>
              </w:rPr>
            </w:pPr>
            <w:r>
              <w:rPr>
                <w:rFonts w:ascii="Arial" w:cs="Arial" w:eastAsia="Arial" w:hAnsi="Arial"/>
                <w:sz w:val="11"/>
                <w:szCs w:val="11"/>
                <w:b w:val="1"/>
                <w:bCs w:val="1"/>
                <w:color w:val="auto"/>
              </w:rPr>
              <w:t>Flat</w:t>
            </w:r>
          </w:p>
        </w:tc>
        <w:tc>
          <w:tcPr>
            <w:tcW w:w="1320" w:type="dxa"/>
            <w:vAlign w:val="bottom"/>
            <w:gridSpan w:val="2"/>
          </w:tcPr>
          <w:p>
            <w:pPr>
              <w:ind w:left="380"/>
              <w:spacing w:after="0"/>
              <w:rPr>
                <w:sz w:val="20"/>
                <w:szCs w:val="20"/>
                <w:color w:val="auto"/>
              </w:rPr>
            </w:pPr>
            <w:r>
              <w:rPr>
                <w:rFonts w:ascii="Arial" w:cs="Arial" w:eastAsia="Arial" w:hAnsi="Arial"/>
                <w:sz w:val="11"/>
                <w:szCs w:val="11"/>
                <w:b w:val="1"/>
                <w:bCs w:val="1"/>
                <w:color w:val="auto"/>
              </w:rPr>
              <w:t>+100 bps</w:t>
            </w:r>
          </w:p>
        </w:tc>
        <w:tc>
          <w:tcPr>
            <w:tcW w:w="1240" w:type="dxa"/>
            <w:vAlign w:val="bottom"/>
            <w:gridSpan w:val="2"/>
          </w:tcPr>
          <w:p>
            <w:pPr>
              <w:ind w:left="320"/>
              <w:spacing w:after="0"/>
              <w:rPr>
                <w:sz w:val="20"/>
                <w:szCs w:val="20"/>
                <w:color w:val="auto"/>
              </w:rPr>
            </w:pPr>
            <w:r>
              <w:rPr>
                <w:rFonts w:ascii="Arial" w:cs="Arial" w:eastAsia="Arial" w:hAnsi="Arial"/>
                <w:sz w:val="11"/>
                <w:szCs w:val="11"/>
                <w:b w:val="1"/>
                <w:bCs w:val="1"/>
                <w:color w:val="auto"/>
              </w:rPr>
              <w:t>+200 bps</w:t>
            </w:r>
          </w:p>
        </w:tc>
        <w:tc>
          <w:tcPr>
            <w:tcW w:w="1220" w:type="dxa"/>
            <w:vAlign w:val="bottom"/>
          </w:tcPr>
          <w:p>
            <w:pPr>
              <w:jc w:val="right"/>
              <w:ind w:right="303"/>
              <w:spacing w:after="0"/>
              <w:rPr>
                <w:sz w:val="20"/>
                <w:szCs w:val="20"/>
                <w:color w:val="auto"/>
              </w:rPr>
            </w:pPr>
            <w:r>
              <w:rPr>
                <w:rFonts w:ascii="Arial" w:cs="Arial" w:eastAsia="Arial" w:hAnsi="Arial"/>
                <w:sz w:val="11"/>
                <w:szCs w:val="11"/>
                <w:b w:val="1"/>
                <w:bCs w:val="1"/>
                <w:color w:val="auto"/>
              </w:rPr>
              <w:t>+300 bps</w:t>
            </w: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2580" w:type="dxa"/>
            <w:vAlign w:val="bottom"/>
            <w:gridSpan w:val="2"/>
          </w:tcPr>
          <w:p>
            <w:pPr>
              <w:spacing w:after="0"/>
              <w:rPr>
                <w:sz w:val="20"/>
                <w:szCs w:val="20"/>
                <w:color w:val="auto"/>
              </w:rPr>
            </w:pPr>
            <w:r>
              <w:rPr>
                <w:rFonts w:ascii="Arial" w:cs="Arial" w:eastAsia="Arial" w:hAnsi="Arial"/>
                <w:sz w:val="11"/>
                <w:szCs w:val="11"/>
                <w:color w:val="auto"/>
              </w:rPr>
              <w:t>March 31, 2020</w:t>
            </w:r>
          </w:p>
        </w:tc>
        <w:tc>
          <w:tcPr>
            <w:tcW w:w="1460" w:type="dxa"/>
            <w:vAlign w:val="bottom"/>
          </w:tcPr>
          <w:p>
            <w:pPr>
              <w:jc w:val="right"/>
              <w:ind w:right="183"/>
              <w:spacing w:after="0"/>
              <w:rPr>
                <w:sz w:val="20"/>
                <w:szCs w:val="20"/>
                <w:color w:val="auto"/>
              </w:rPr>
            </w:pPr>
            <w:r>
              <w:rPr>
                <w:rFonts w:ascii="Arial" w:cs="Arial" w:eastAsia="Arial" w:hAnsi="Arial"/>
                <w:sz w:val="11"/>
                <w:szCs w:val="11"/>
                <w:color w:val="auto"/>
              </w:rPr>
              <w:t>(5.4)%</w:t>
            </w:r>
          </w:p>
        </w:tc>
        <w:tc>
          <w:tcPr>
            <w:tcW w:w="1060" w:type="dxa"/>
            <w:vAlign w:val="bottom"/>
          </w:tcPr>
          <w:p>
            <w:pPr>
              <w:jc w:val="right"/>
              <w:spacing w:after="0"/>
              <w:rPr>
                <w:sz w:val="20"/>
                <w:szCs w:val="20"/>
                <w:color w:val="auto"/>
              </w:rPr>
            </w:pPr>
            <w:r>
              <w:rPr>
                <w:rFonts w:ascii="Arial" w:cs="Arial" w:eastAsia="Arial" w:hAnsi="Arial"/>
                <w:sz w:val="11"/>
                <w:szCs w:val="11"/>
                <w:color w:val="auto"/>
              </w:rPr>
              <w:t>(0.6)%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25.1%</w:t>
            </w:r>
          </w:p>
        </w:tc>
      </w:tr>
    </w:tbl>
    <w:p>
      <w:pPr>
        <w:spacing w:after="0" w:line="17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illustrates the results of our EVE analysis as of March 31,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ECONOMIC VALUE OF EQUITY ANALYSIS UNDER A STATIC BALANCE SHEET, PARALLEL INTEREST RATE SHOCK</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3340" w:type="dxa"/>
            <w:vAlign w:val="bottom"/>
            <w:gridSpan w:val="2"/>
          </w:tcPr>
          <w:p>
            <w:pPr>
              <w:spacing w:after="0"/>
              <w:rPr>
                <w:sz w:val="20"/>
                <w:szCs w:val="20"/>
                <w:color w:val="auto"/>
              </w:rPr>
            </w:pPr>
            <w:r>
              <w:rPr>
                <w:rFonts w:ascii="Arial" w:cs="Arial" w:eastAsia="Arial" w:hAnsi="Arial"/>
                <w:sz w:val="11"/>
                <w:szCs w:val="11"/>
                <w:b w:val="1"/>
                <w:bCs w:val="1"/>
                <w:color w:val="auto"/>
              </w:rPr>
              <w:t>Economic Value of Equity</w:t>
            </w:r>
          </w:p>
        </w:tc>
        <w:tc>
          <w:tcPr>
            <w:tcW w:w="9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4"/>
              </w:rPr>
              <w:t>-200 bps</w:t>
            </w:r>
          </w:p>
        </w:tc>
        <w:tc>
          <w:tcPr>
            <w:tcW w:w="1380" w:type="dxa"/>
            <w:vAlign w:val="bottom"/>
            <w:gridSpan w:val="2"/>
          </w:tcPr>
          <w:p>
            <w:pPr>
              <w:ind w:left="420"/>
              <w:spacing w:after="0"/>
              <w:rPr>
                <w:sz w:val="20"/>
                <w:szCs w:val="20"/>
                <w:color w:val="auto"/>
              </w:rPr>
            </w:pPr>
            <w:r>
              <w:rPr>
                <w:rFonts w:ascii="Arial" w:cs="Arial" w:eastAsia="Arial" w:hAnsi="Arial"/>
                <w:sz w:val="11"/>
                <w:szCs w:val="11"/>
                <w:b w:val="1"/>
                <w:bCs w:val="1"/>
                <w:color w:val="auto"/>
              </w:rPr>
              <w:t>-100 bps</w:t>
            </w:r>
          </w:p>
        </w:tc>
        <w:tc>
          <w:tcPr>
            <w:tcW w:w="1340" w:type="dxa"/>
            <w:vAlign w:val="bottom"/>
            <w:gridSpan w:val="2"/>
          </w:tcPr>
          <w:p>
            <w:pPr>
              <w:ind w:left="520"/>
              <w:spacing w:after="0"/>
              <w:rPr>
                <w:sz w:val="20"/>
                <w:szCs w:val="20"/>
                <w:color w:val="auto"/>
              </w:rPr>
            </w:pPr>
            <w:r>
              <w:rPr>
                <w:rFonts w:ascii="Arial" w:cs="Arial" w:eastAsia="Arial" w:hAnsi="Arial"/>
                <w:sz w:val="11"/>
                <w:szCs w:val="11"/>
                <w:b w:val="1"/>
                <w:bCs w:val="1"/>
                <w:color w:val="auto"/>
              </w:rPr>
              <w:t>Flat</w:t>
            </w:r>
          </w:p>
        </w:tc>
        <w:tc>
          <w:tcPr>
            <w:tcW w:w="1440" w:type="dxa"/>
            <w:vAlign w:val="bottom"/>
            <w:gridSpan w:val="2"/>
          </w:tcPr>
          <w:p>
            <w:pPr>
              <w:ind w:left="420"/>
              <w:spacing w:after="0"/>
              <w:rPr>
                <w:sz w:val="20"/>
                <w:szCs w:val="20"/>
                <w:color w:val="auto"/>
              </w:rPr>
            </w:pPr>
            <w:r>
              <w:rPr>
                <w:rFonts w:ascii="Arial" w:cs="Arial" w:eastAsia="Arial" w:hAnsi="Arial"/>
                <w:sz w:val="11"/>
                <w:szCs w:val="11"/>
                <w:b w:val="1"/>
                <w:bCs w:val="1"/>
                <w:color w:val="auto"/>
              </w:rPr>
              <w:t>+100 bps</w:t>
            </w:r>
          </w:p>
        </w:tc>
        <w:tc>
          <w:tcPr>
            <w:tcW w:w="1340" w:type="dxa"/>
            <w:vAlign w:val="bottom"/>
            <w:gridSpan w:val="2"/>
          </w:tcPr>
          <w:p>
            <w:pPr>
              <w:ind w:left="380"/>
              <w:spacing w:after="0"/>
              <w:rPr>
                <w:sz w:val="20"/>
                <w:szCs w:val="20"/>
                <w:color w:val="auto"/>
              </w:rPr>
            </w:pPr>
            <w:r>
              <w:rPr>
                <w:rFonts w:ascii="Arial" w:cs="Arial" w:eastAsia="Arial" w:hAnsi="Arial"/>
                <w:sz w:val="11"/>
                <w:szCs w:val="11"/>
                <w:b w:val="1"/>
                <w:bCs w:val="1"/>
                <w:color w:val="auto"/>
              </w:rPr>
              <w:t>+200 bps</w:t>
            </w:r>
          </w:p>
        </w:tc>
        <w:tc>
          <w:tcPr>
            <w:tcW w:w="1340" w:type="dxa"/>
            <w:vAlign w:val="bottom"/>
          </w:tcPr>
          <w:p>
            <w:pPr>
              <w:jc w:val="right"/>
              <w:ind w:right="363"/>
              <w:spacing w:after="0"/>
              <w:rPr>
                <w:sz w:val="20"/>
                <w:szCs w:val="20"/>
                <w:color w:val="auto"/>
              </w:rPr>
            </w:pPr>
            <w:r>
              <w:rPr>
                <w:rFonts w:ascii="Arial" w:cs="Arial" w:eastAsia="Arial" w:hAnsi="Arial"/>
                <w:sz w:val="11"/>
                <w:szCs w:val="11"/>
                <w:b w:val="1"/>
                <w:bCs w:val="1"/>
                <w:color w:val="auto"/>
              </w:rPr>
              <w:t>+300 bps</w:t>
            </w: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3340" w:type="dxa"/>
            <w:vAlign w:val="bottom"/>
            <w:gridSpan w:val="2"/>
          </w:tcPr>
          <w:p>
            <w:pPr>
              <w:spacing w:after="0"/>
              <w:rPr>
                <w:sz w:val="20"/>
                <w:szCs w:val="20"/>
                <w:color w:val="auto"/>
              </w:rPr>
            </w:pPr>
            <w:r>
              <w:rPr>
                <w:rFonts w:ascii="Arial" w:cs="Arial" w:eastAsia="Arial" w:hAnsi="Arial"/>
                <w:sz w:val="11"/>
                <w:szCs w:val="11"/>
                <w:color w:val="auto"/>
              </w:rPr>
              <w:t>March 31, 2020</w:t>
            </w: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(1.22)%</w:t>
            </w:r>
          </w:p>
        </w:tc>
        <w:tc>
          <w:tcPr>
            <w:tcW w:w="128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0.0%</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7.1%</w:t>
            </w:r>
          </w:p>
        </w:tc>
      </w:tr>
    </w:tbl>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30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auto"/>
        </w:rPr>
        <w:t>Item 4.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290"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LEGAL PROCEEDINGS.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From time to time, we are a party to various litigation matters incidental to the ordinary conduct of our business. We are not presently a party to any material legal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1A. RISK FACTORS.</w:t>
      </w:r>
    </w:p>
    <w:p>
      <w:pPr>
        <w:spacing w:after="0" w:line="36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section titled Risk Factors in Part I, Item 1A of our 2019 Form 10-K includes a discussion of the many risks and uncertainties we face, any one or more of which could have a material adverse effect on our business, results of operations, financial condition (including capital and liquidity), or prospects or the value of or return on an investment in the Company. The information presented below provides an update to, and should be read in conjunction with, the risk factors and other information contained in our 2019 Form 10-K.</w:t>
      </w:r>
    </w:p>
    <w:p>
      <w:pPr>
        <w:spacing w:after="0" w:line="140" w:lineRule="exact"/>
        <w:rPr>
          <w:sz w:val="20"/>
          <w:szCs w:val="20"/>
          <w:color w:val="auto"/>
        </w:rPr>
      </w:pPr>
    </w:p>
    <w:p>
      <w:pPr>
        <w:jc w:val="both"/>
        <w:ind w:firstLine="255"/>
        <w:spacing w:after="0" w:line="293" w:lineRule="auto"/>
        <w:rPr>
          <w:sz w:val="20"/>
          <w:szCs w:val="20"/>
          <w:color w:val="auto"/>
        </w:rPr>
      </w:pPr>
      <w:r>
        <w:rPr>
          <w:rFonts w:ascii="Arial" w:cs="Arial" w:eastAsia="Arial" w:hAnsi="Arial"/>
          <w:sz w:val="14"/>
          <w:szCs w:val="14"/>
          <w:b w:val="1"/>
          <w:bCs w:val="1"/>
          <w:color w:val="auto"/>
        </w:rPr>
        <w:t>The recent COVID-19 pandemic has led to periods of significant volatility in financial, commodities and other markets and could harm our business and results of operations.</w:t>
      </w:r>
    </w:p>
    <w:p>
      <w:pPr>
        <w:spacing w:after="0" w:line="134"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December 2019, COVID-19 was first reported in Wuhan, Hubei Province, China. Since then, COVID-19 infections have spread to additional countries including the United States. In March 2020, the World Health Organization declared COVID-19 to be a pandemic. Given the ongoing and dynamic nature of the circumstances, it is difficult to predict the impact of the coronavirus pandemic on our business, and there is no guarantee that our efforts to address or mitigate the adverse impacts of the coronavirus will be effective. The impact to date has included periods of significant volatility in financial, commodities and other markets. This volatility, if it continues, could have an adverse impact on our customers and on our business, financial condition and results of operations as well as our growth strategy.</w:t>
      </w:r>
    </w:p>
    <w:p>
      <w:pPr>
        <w:spacing w:after="0" w:line="16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Our business is dependent upon the willingness and ability of our customers to conduct banking and other financial transactions. The spread of COVID-19 has caused and could continue to cause severe disruptions in the U.S. economy at large, and has resulted and may continue to result in disruptions to our customers’ businesses, and a decrease in consumer confidence and business generally. In addition, recent actions by US federal, state and local governments to address the pandemic, including travel bans, stay-at-home orders and school, business and entertainment venue closures, may have a significant adverse effect on our customers and the markets in which we conduct our business. The extent of impacts resulting from the coronavirus pandemic and other events beyond our control will depend on future developments, which are highly uncertain and cannot be predicted, including new information which may emerge concerning the severity of the coronavirus pandemic and actions taken to contain the coronavirus or its impact, among others.</w:t>
      </w:r>
    </w:p>
    <w:p>
      <w:pPr>
        <w:spacing w:after="0" w:line="33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Disruptions to our customers could result in increased risk of delinquencies, defaults, foreclosures and losses on our loans. The escalation of the pandemic may also negatively impact regional economic conditions for a period of time, resulting in declines in local loan demand, liquidity of loan guarantors, loan collateral (particularly in real estate), loan originations and deposit availability. If the global response to contain COVID-19 escalates or is unsuccessful, we could experience a material adverse effect on our business, financial condition, results of operations and cash flows.</w:t>
      </w:r>
    </w:p>
    <w:p>
      <w:pPr>
        <w:spacing w:after="0" w:line="141" w:lineRule="exact"/>
        <w:rPr>
          <w:sz w:val="20"/>
          <w:szCs w:val="20"/>
          <w:color w:val="auto"/>
        </w:rPr>
      </w:pPr>
    </w:p>
    <w:p>
      <w:pPr>
        <w:jc w:val="both"/>
        <w:ind w:firstLine="255"/>
        <w:spacing w:after="0" w:line="293" w:lineRule="auto"/>
        <w:rPr>
          <w:sz w:val="20"/>
          <w:szCs w:val="20"/>
          <w:color w:val="auto"/>
        </w:rPr>
      </w:pPr>
      <w:r>
        <w:rPr>
          <w:rFonts w:ascii="Arial" w:cs="Arial" w:eastAsia="Arial" w:hAnsi="Arial"/>
          <w:sz w:val="14"/>
          <w:szCs w:val="14"/>
          <w:b w:val="1"/>
          <w:bCs w:val="1"/>
          <w:color w:val="auto"/>
        </w:rPr>
        <w:t>The spread of the COVID-19 outbreak and the governmental responses may disrupt banking and other financial activity in the areas in which we operate and could potentially create widespread business continuity issues for us.</w:t>
      </w:r>
    </w:p>
    <w:p>
      <w:pPr>
        <w:spacing w:after="0" w:line="13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outbreak of COVID-19 and the U.S. federal, state and local governmental responses may result in a disruption in the services we provide. We rely on our third-party vendors to conduct business and to process, record, and monitor transactions. If any of these vendors are unable to continue to provide us with these</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291" w:right="31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4"/>
          <w:szCs w:val="14"/>
          <w:color w:val="auto"/>
        </w:rPr>
        <w:t>services or experience interruptions in their ability to provide us with these services, it could negatively impact our ability to serve our customers. Furthermore, the coronavirus pandemic could negatively impact the ability of our employees and customers to engage in banking and other financial transactions in the geographic areas in which we operate and could create widespread business continuity issues for us. We also could be adversely affected if key personnel or a significant number of employees were to become unavailable due to infection, quarantine or other effects and restrictions of a COVID-19 outbreak in our market areas. Although we have business continuity plans and other safeguards in place, there is no assurance that such plans and safeguards will be effective. If we are unable to promptly recover from such business disruptions, our business and financial conditions and results of operations would be adversely affected. We also may incur additional costs to remedy damages caused by such disruptions, which could adversely affect our financial condition and results of operations.</w:t>
      </w:r>
    </w:p>
    <w:p>
      <w:pPr>
        <w:spacing w:after="0" w:line="143" w:lineRule="exact"/>
        <w:rPr>
          <w:sz w:val="20"/>
          <w:szCs w:val="20"/>
          <w:color w:val="auto"/>
        </w:rPr>
      </w:pPr>
    </w:p>
    <w:p>
      <w:pPr>
        <w:jc w:val="both"/>
        <w:ind w:firstLine="255"/>
        <w:spacing w:after="0" w:line="293" w:lineRule="auto"/>
        <w:rPr>
          <w:sz w:val="20"/>
          <w:szCs w:val="20"/>
          <w:color w:val="auto"/>
        </w:rPr>
      </w:pPr>
      <w:r>
        <w:rPr>
          <w:rFonts w:ascii="Arial" w:cs="Arial" w:eastAsia="Arial" w:hAnsi="Arial"/>
          <w:sz w:val="14"/>
          <w:szCs w:val="14"/>
          <w:b w:val="1"/>
          <w:bCs w:val="1"/>
          <w:color w:val="auto"/>
        </w:rPr>
        <w:t>Our participation in the SBA PPP loan program exposes us to risks related to noncompliance with the PPP, as well as litigation risk related to our administration of the PPP loan program, which could have a material adverse impact on our business, financial condition and results of operations.</w:t>
      </w:r>
    </w:p>
    <w:p>
      <w:pPr>
        <w:spacing w:after="0" w:line="134"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Company is a participating lender in the PPP, a loan program administered through the SBA, that was created to help eligible businesses, organizations and self-employed persons fund their operational costs during the COVID-19 pandemic. Under this program, the SBA guarantees 100% of the amounts loaned under the PPP. The PPP opened on April 3, 2020; however, because of the short window between the passing of the CARES Act and the opening of the PPP, there is some ambiguity in the laws, rules and guidance regarding the operation of the PPP, which exposes the Company to risks relating to noncompliance with the PPP. For instance, other financial institutions have experienced litigation related to their process and procedures used in processing applications for the PPP. Any financial liability, litigation costs or reputational damage caused by PPP related litigation could have a material adverse impact on our business, financial condition and results of operations. In addition, the Company may be exposed to credit risk on PPP loans if a determination is made by the SBA that there is a deficiency in the manner in which the loan was originated, funded, or serviced. If a deficiency is identified, the SBA may deny its liability under the guaranty, reduce the amount of the guaranty, or, if it has already paid under the guaranty, seek recovery of any loss related to the deficiency from the Company.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Interest rate volatility stemming from COVID-19 could negatively affect our net interest income, lending activities, deposits and profitability.</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Our net interest income, lending activities, deposits and profitability could be negatively affected by volatility in interest rates caused by uncertainties stemming from COVID-19. In March 2020, the Federal Reserve lowered the target range for the federal funds rate to a range from 0 to 0.25 percent, citing concerns about the impact of COVID-19 on markets and stress in the energy sector. A prolonged period of extremely volatile and unstable market conditions would likely increase our funding costs and negatively affect market risk mitigation strategies. Higher income volatility from changes in interest rates and spreads to benchmark indices could cause a loss of future net interest income and a decrease in current fair market values of our assets. Fluctuations in interest rates will impact both the level of income and expense recorded on most of our assets and liabilities and the market value of all interest-earning assets and interest-bearing liabilities, which in turn could have a material adverse effect on our net income, operating results, or financial condition.</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We are subject to increasing credit risk as a result of the COVID-19 pandemic, which could adversely impact our profitability.</w:t>
      </w:r>
    </w:p>
    <w:p>
      <w:pPr>
        <w:spacing w:after="0" w:line="19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business depends on our ability to successfully measure and manage credit risk. As a commercial lender, we are exposed to the risk that the principal of, or interest on, a loan will not be paid timely or at all or that the value of any collateral supporting a loan will be insufficient to cover our outstanding exposure. In addition, we are exposed to risks with respect to the risks resulting from changes in economic and industry conditions and risks inherent in dealing with individual loans and borrowers. As the overall economic climate in the U.S., generally, and in our market areas specifically, experiences material disruption due to the</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309" w:right="31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4"/>
          <w:szCs w:val="14"/>
          <w:color w:val="auto"/>
        </w:rPr>
        <w:t>COVID-19 pandemic, our borrowers may experience difficulties in repaying their loans and governmental actions may provide payment relief to borrowers affected by COVID-19 and preclude our ability to initiate foreclosure proceedings in certain circumstances and, as a result, the collateral we hold may decrease in value or become illiquid, and the level of our nonperforming loans, charge-offs and delinquencies could rise and require significant additional provisions for credit losses. Additional factors related to the credit quality of certain commercial real estate loans include the duration of state and local moratoriums on evictions for non-payment of rent or other fees. The payment on these loans that are secured by income producing properties are typically dependent on the successful operation of the related real estate property and may subject us to risks from adverse conditions in the real estate market or the general economy.</w:t>
      </w:r>
    </w:p>
    <w:p>
      <w:pPr>
        <w:spacing w:after="0" w:line="16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are actively working to support our borrowers to mitigate the impact of the COVID-19 pandemic on them and on our loan portfolio, including through loan modifications that defer payments for those who experienced a hardship as a result of the COVID-19 pandemic. Although recent regulatory guidance provides that such loan modifications are exempt from the calculation and reporting of TDRs and loan delinquencies, we cannot predict whether such loan modifications may ultimately have an adverse impact on our profitability in future periods. Our inability to successfully manage the increased credit risk caused by the COVID-19 pandemic could have a material adverse effect on our business, financial condition and results of operations.</w:t>
      </w:r>
    </w:p>
    <w:p>
      <w:pPr>
        <w:spacing w:after="0" w:line="14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b w:val="1"/>
          <w:bCs w:val="1"/>
          <w:color w:val="auto"/>
        </w:rPr>
        <w:t>Unpredictable future developments related to or resulting from the COVID-19 pandemic could materially and adversely affect our business and results of operations</w:t>
      </w:r>
      <w:r>
        <w:rPr>
          <w:rFonts w:ascii="Arial" w:cs="Arial" w:eastAsia="Arial" w:hAnsi="Arial"/>
          <w:sz w:val="14"/>
          <w:szCs w:val="14"/>
          <w:color w:val="auto"/>
        </w:rPr>
        <w:t>.</w:t>
      </w:r>
    </w:p>
    <w:p>
      <w:pPr>
        <w:spacing w:after="0" w:line="34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Because there have been no comparable recent global pandemics that resulted in a similar global impact, we do not yet know the full extent of the COVID-19 pandemic’s effects on our business, operations, or the global economy as a whole. Any future development will be highly uncertain and cannot be predicted, including the scope and duration of the pandemic, the effectiveness of our work from home arrangements, third party providers’ ability to support our operation, and any actions taken by governmental authorities and other third parties in response to the pandemic. We are continuing to monitor the COVID-19 pandemic and related risks, although the rapid development and fluidity of the situation precludes any specific prediction as to its ultimate impact on us. However, if the pandemic continues to spread or otherwise results in a continuation or worsening of the current economic and commercial environments, our business, financial condition, results of operations and cash flows as well as our regulatory capital and liquidity ratios could be materially adversely affected and many of the risks described in our 2019 Form 10-K will be heightened.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2. UNREGISTERED SALES OF EQUITY SECURITIES AND USE OF PROCEEDS.</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On April 25, 2019, the Company announced a stock repurchase program. The program enables the Company to repurchase up to $5.0 million of its outstanding common stock, and expires on December 31, 2020. During the year ended December 31, 2019 and the three months ended March 31, 2020, the Corporation repurchased shares under the recently approved stock repurchase program, as reflected in the following table.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Total Number of Shares</w:t>
            </w:r>
          </w:p>
        </w:tc>
        <w:tc>
          <w:tcPr>
            <w:tcW w:w="2120" w:type="dxa"/>
            <w:vAlign w:val="bottom"/>
            <w:gridSpan w:val="2"/>
          </w:tcPr>
          <w:p>
            <w:pPr>
              <w:jc w:val="center"/>
              <w:spacing w:after="0"/>
              <w:rPr>
                <w:sz w:val="20"/>
                <w:szCs w:val="20"/>
                <w:color w:val="auto"/>
              </w:rPr>
            </w:pPr>
            <w:r>
              <w:rPr>
                <w:rFonts w:ascii="Arial" w:cs="Arial" w:eastAsia="Arial" w:hAnsi="Arial"/>
                <w:sz w:val="11"/>
                <w:szCs w:val="11"/>
                <w:b w:val="1"/>
                <w:bCs w:val="1"/>
                <w:color w:val="auto"/>
              </w:rPr>
              <w:t>Maximum Dollar Value of Shares that</w:t>
            </w:r>
          </w:p>
        </w:tc>
      </w:tr>
      <w:tr>
        <w:trPr>
          <w:trHeight w:val="127"/>
        </w:trPr>
        <w:tc>
          <w:tcPr>
            <w:tcW w:w="4520" w:type="dxa"/>
            <w:vAlign w:val="bottom"/>
          </w:tcPr>
          <w:p>
            <w:pPr>
              <w:spacing w:after="0"/>
              <w:rPr>
                <w:sz w:val="11"/>
                <w:szCs w:val="1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Total Number of Shares</w:t>
            </w:r>
          </w:p>
        </w:tc>
        <w:tc>
          <w:tcPr>
            <w:tcW w:w="1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Average price</w:t>
            </w:r>
          </w:p>
        </w:tc>
        <w:tc>
          <w:tcPr>
            <w:tcW w:w="2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Purchased as Part of Publicly</w:t>
            </w:r>
          </w:p>
        </w:tc>
        <w:tc>
          <w:tcPr>
            <w:tcW w:w="140" w:type="dxa"/>
            <w:vAlign w:val="bottom"/>
          </w:tcPr>
          <w:p>
            <w:pPr>
              <w:spacing w:after="0"/>
              <w:rPr>
                <w:sz w:val="11"/>
                <w:szCs w:val="11"/>
                <w:color w:val="auto"/>
              </w:rPr>
            </w:pPr>
          </w:p>
        </w:tc>
        <w:tc>
          <w:tcPr>
            <w:tcW w:w="1980" w:type="dxa"/>
            <w:vAlign w:val="bottom"/>
          </w:tcPr>
          <w:p>
            <w:pPr>
              <w:jc w:val="center"/>
              <w:ind w:right="78"/>
              <w:spacing w:after="0"/>
              <w:rPr>
                <w:sz w:val="20"/>
                <w:szCs w:val="20"/>
                <w:color w:val="auto"/>
              </w:rPr>
            </w:pPr>
            <w:r>
              <w:rPr>
                <w:rFonts w:ascii="Arial" w:cs="Arial" w:eastAsia="Arial" w:hAnsi="Arial"/>
                <w:sz w:val="11"/>
                <w:szCs w:val="11"/>
                <w:b w:val="1"/>
                <w:bCs w:val="1"/>
                <w:color w:val="auto"/>
              </w:rPr>
              <w:t>May Yet Be Purchased Under the</w:t>
            </w:r>
          </w:p>
        </w:tc>
      </w:tr>
      <w:tr>
        <w:trPr>
          <w:trHeight w:val="155"/>
        </w:trPr>
        <w:tc>
          <w:tcPr>
            <w:tcW w:w="4520" w:type="dxa"/>
            <w:vAlign w:val="bottom"/>
          </w:tcPr>
          <w:p>
            <w:pPr>
              <w:ind w:left="20"/>
              <w:spacing w:after="0"/>
              <w:rPr>
                <w:sz w:val="20"/>
                <w:szCs w:val="20"/>
                <w:color w:val="auto"/>
              </w:rPr>
            </w:pPr>
            <w:r>
              <w:rPr>
                <w:rFonts w:ascii="Arial" w:cs="Arial" w:eastAsia="Arial" w:hAnsi="Arial"/>
                <w:sz w:val="11"/>
                <w:szCs w:val="11"/>
                <w:b w:val="1"/>
                <w:bCs w:val="1"/>
                <w:color w:val="auto"/>
              </w:rPr>
              <w:t>Period</w:t>
            </w: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Purchased</w:t>
            </w:r>
          </w:p>
        </w:tc>
        <w:tc>
          <w:tcPr>
            <w:tcW w:w="1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paid per share</w:t>
            </w:r>
          </w:p>
        </w:tc>
        <w:tc>
          <w:tcPr>
            <w:tcW w:w="2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Announced Plans or Programs</w:t>
            </w:r>
          </w:p>
        </w:tc>
        <w:tc>
          <w:tcPr>
            <w:tcW w:w="140" w:type="dxa"/>
            <w:vAlign w:val="bottom"/>
          </w:tcPr>
          <w:p>
            <w:pPr>
              <w:spacing w:after="0"/>
              <w:rPr>
                <w:sz w:val="13"/>
                <w:szCs w:val="13"/>
                <w:color w:val="auto"/>
              </w:rPr>
            </w:pPr>
          </w:p>
        </w:tc>
        <w:tc>
          <w:tcPr>
            <w:tcW w:w="1980" w:type="dxa"/>
            <w:vAlign w:val="bottom"/>
          </w:tcPr>
          <w:p>
            <w:pPr>
              <w:jc w:val="center"/>
              <w:ind w:right="78"/>
              <w:spacing w:after="0"/>
              <w:rPr>
                <w:sz w:val="20"/>
                <w:szCs w:val="20"/>
                <w:color w:val="auto"/>
              </w:rPr>
            </w:pPr>
            <w:r>
              <w:rPr>
                <w:rFonts w:ascii="Arial" w:cs="Arial" w:eastAsia="Arial" w:hAnsi="Arial"/>
                <w:sz w:val="11"/>
                <w:szCs w:val="11"/>
                <w:b w:val="1"/>
                <w:bCs w:val="1"/>
                <w:color w:val="auto"/>
              </w:rPr>
              <w:t>Plans or Programs</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Through December 31, 2019</w:t>
            </w: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28,480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13.00</w:t>
            </w:r>
          </w:p>
        </w:tc>
        <w:tc>
          <w:tcPr>
            <w:tcW w:w="12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28,480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4,629,646</w:t>
            </w:r>
          </w:p>
        </w:tc>
      </w:tr>
      <w:tr>
        <w:trPr>
          <w:trHeight w:val="192"/>
        </w:trPr>
        <w:tc>
          <w:tcPr>
            <w:tcW w:w="4520" w:type="dxa"/>
            <w:vAlign w:val="bottom"/>
          </w:tcPr>
          <w:p>
            <w:pPr>
              <w:ind w:left="20"/>
              <w:spacing w:after="0"/>
              <w:rPr>
                <w:sz w:val="20"/>
                <w:szCs w:val="20"/>
                <w:color w:val="auto"/>
              </w:rPr>
            </w:pPr>
            <w:r>
              <w:rPr>
                <w:rFonts w:ascii="Arial" w:cs="Arial" w:eastAsia="Arial" w:hAnsi="Arial"/>
                <w:sz w:val="13"/>
                <w:szCs w:val="13"/>
                <w:color w:val="auto"/>
              </w:rPr>
              <w:t>January 1, 2020 to January 31, 2020</w:t>
            </w:r>
          </w:p>
        </w:tc>
        <w:tc>
          <w:tcPr>
            <w:tcW w:w="1360" w:type="dxa"/>
            <w:vAlign w:val="bottom"/>
          </w:tcPr>
          <w:p>
            <w:pPr>
              <w:jc w:val="right"/>
              <w:ind w:right="58"/>
              <w:spacing w:after="0"/>
              <w:rPr>
                <w:sz w:val="20"/>
                <w:szCs w:val="20"/>
                <w:color w:val="auto"/>
              </w:rPr>
            </w:pPr>
            <w:r>
              <w:rPr>
                <w:rFonts w:ascii="Arial" w:cs="Arial" w:eastAsia="Arial" w:hAnsi="Arial"/>
                <w:sz w:val="13"/>
                <w:szCs w:val="13"/>
                <w:color w:val="auto"/>
              </w:rPr>
              <w:t>13,740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14.67</w:t>
            </w:r>
          </w:p>
        </w:tc>
        <w:tc>
          <w:tcPr>
            <w:tcW w:w="120" w:type="dxa"/>
            <w:vAlign w:val="bottom"/>
          </w:tcPr>
          <w:p>
            <w:pPr>
              <w:spacing w:after="0"/>
              <w:rPr>
                <w:sz w:val="16"/>
                <w:szCs w:val="16"/>
                <w:color w:val="auto"/>
              </w:rPr>
            </w:pPr>
          </w:p>
        </w:tc>
        <w:tc>
          <w:tcPr>
            <w:tcW w:w="1920" w:type="dxa"/>
            <w:vAlign w:val="bottom"/>
          </w:tcPr>
          <w:p>
            <w:pPr>
              <w:jc w:val="right"/>
              <w:ind w:right="59"/>
              <w:spacing w:after="0"/>
              <w:rPr>
                <w:sz w:val="20"/>
                <w:szCs w:val="20"/>
                <w:color w:val="auto"/>
              </w:rPr>
            </w:pPr>
            <w:r>
              <w:rPr>
                <w:rFonts w:ascii="Arial" w:cs="Arial" w:eastAsia="Arial" w:hAnsi="Arial"/>
                <w:sz w:val="13"/>
                <w:szCs w:val="13"/>
                <w:color w:val="auto"/>
              </w:rPr>
              <w:t>13,740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jc w:val="right"/>
              <w:ind w:right="38"/>
              <w:spacing w:after="0"/>
              <w:rPr>
                <w:sz w:val="20"/>
                <w:szCs w:val="20"/>
                <w:color w:val="auto"/>
              </w:rPr>
            </w:pPr>
            <w:r>
              <w:rPr>
                <w:rFonts w:ascii="Arial" w:cs="Arial" w:eastAsia="Arial" w:hAnsi="Arial"/>
                <w:sz w:val="13"/>
                <w:szCs w:val="13"/>
                <w:color w:val="auto"/>
              </w:rPr>
              <w:t>4,427,696</w:t>
            </w: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February 1, 2020 to February 29, 2020</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14.09</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4,356,644</w:t>
            </w:r>
          </w:p>
        </w:tc>
      </w:tr>
      <w:tr>
        <w:trPr>
          <w:trHeight w:val="20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March 1, 2020 to March 31, 2020</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93,363</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10.79</w:t>
            </w:r>
          </w:p>
        </w:tc>
        <w:tc>
          <w:tcPr>
            <w:tcW w:w="12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93,363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jc w:val="right"/>
              <w:ind w:right="38"/>
              <w:spacing w:after="0"/>
              <w:rPr>
                <w:sz w:val="20"/>
                <w:szCs w:val="20"/>
                <w:color w:val="auto"/>
              </w:rPr>
            </w:pPr>
            <w:r>
              <w:rPr>
                <w:rFonts w:ascii="Arial" w:cs="Arial" w:eastAsia="Arial" w:hAnsi="Arial"/>
                <w:sz w:val="13"/>
                <w:szCs w:val="13"/>
                <w:color w:val="auto"/>
              </w:rPr>
              <w:t>3,347,902</w:t>
            </w:r>
          </w:p>
        </w:tc>
      </w:tr>
      <w:tr>
        <w:trPr>
          <w:trHeight w:val="192"/>
        </w:trPr>
        <w:tc>
          <w:tcPr>
            <w:tcW w:w="45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112,134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11.41</w:t>
            </w:r>
          </w:p>
        </w:tc>
        <w:tc>
          <w:tcPr>
            <w:tcW w:w="12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112,134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3,347,902</w:t>
            </w:r>
          </w:p>
        </w:tc>
      </w:tr>
      <w:tr>
        <w:trPr>
          <w:trHeight w:val="187"/>
        </w:trPr>
        <w:tc>
          <w:tcPr>
            <w:tcW w:w="4520" w:type="dxa"/>
            <w:vAlign w:val="bottom"/>
          </w:tcPr>
          <w:p>
            <w:pPr>
              <w:ind w:left="20"/>
              <w:spacing w:after="0"/>
              <w:rPr>
                <w:sz w:val="20"/>
                <w:szCs w:val="20"/>
                <w:color w:val="auto"/>
              </w:rPr>
            </w:pPr>
            <w:r>
              <w:rPr>
                <w:rFonts w:ascii="Arial" w:cs="Arial" w:eastAsia="Arial" w:hAnsi="Arial"/>
                <w:sz w:val="13"/>
                <w:szCs w:val="13"/>
                <w:color w:val="auto"/>
              </w:rPr>
              <w:t>Total</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140,614</w:t>
            </w:r>
          </w:p>
        </w:tc>
        <w:tc>
          <w:tcPr>
            <w:tcW w:w="12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11.73</w:t>
            </w: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140,614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3,347,902</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30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auto"/>
        </w:rPr>
        <w:t>Item 3. DEFAULTS UPON SENIOR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4. 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5.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6. EXHIBITS.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exhibits required to be filed as part of this Quarterly Report on Form 10-Q are listed in the Index to Exhibits attached hereto and are incorporated herein by reference.</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600"/>
          </w:cols>
          <w:pgMar w:left="300" w:top="291" w:right="99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INDEX TO EXHIBITS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200" w:type="dxa"/>
            <w:vAlign w:val="bottom"/>
          </w:tcPr>
          <w:p>
            <w:pPr>
              <w:jc w:val="right"/>
              <w:ind w:right="303"/>
              <w:spacing w:after="0"/>
              <w:rPr>
                <w:sz w:val="20"/>
                <w:szCs w:val="20"/>
                <w:color w:val="auto"/>
              </w:rPr>
            </w:pPr>
            <w:r>
              <w:rPr>
                <w:rFonts w:ascii="Arial" w:cs="Arial" w:eastAsia="Arial" w:hAnsi="Arial"/>
                <w:sz w:val="11"/>
                <w:szCs w:val="11"/>
                <w:b w:val="1"/>
                <w:bCs w:val="1"/>
                <w:color w:val="auto"/>
              </w:rPr>
              <w:t>Exhibit Number</w:t>
            </w:r>
          </w:p>
        </w:tc>
        <w:tc>
          <w:tcPr>
            <w:tcW w:w="10000" w:type="dxa"/>
            <w:vAlign w:val="bottom"/>
            <w:tcBorders>
              <w:bottom w:val="single" w:sz="8" w:color="auto"/>
            </w:tcBorders>
          </w:tcPr>
          <w:p>
            <w:pPr>
              <w:ind w:left="468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88"/>
        </w:trPr>
        <w:tc>
          <w:tcPr>
            <w:tcW w:w="1200" w:type="dxa"/>
            <w:vAlign w:val="bottom"/>
          </w:tcPr>
          <w:p>
            <w:pPr>
              <w:jc w:val="right"/>
              <w:ind w:right="383"/>
              <w:spacing w:after="0"/>
              <w:rPr>
                <w:sz w:val="20"/>
                <w:szCs w:val="20"/>
                <w:color w:val="auto"/>
              </w:rPr>
            </w:pPr>
            <w:r>
              <w:rPr>
                <w:rFonts w:ascii="Arial" w:cs="Arial" w:eastAsia="Arial" w:hAnsi="Arial"/>
                <w:sz w:val="11"/>
                <w:szCs w:val="11"/>
                <w:color w:val="auto"/>
              </w:rPr>
              <w:t>3.1</w:t>
            </w:r>
          </w:p>
        </w:tc>
        <w:tc>
          <w:tcPr>
            <w:tcW w:w="10000" w:type="dxa"/>
            <w:vAlign w:val="bottom"/>
          </w:tcPr>
          <w:p>
            <w:pPr>
              <w:ind w:left="20"/>
              <w:spacing w:after="0"/>
              <w:rPr>
                <w:sz w:val="20"/>
                <w:szCs w:val="20"/>
                <w:color w:val="auto"/>
              </w:rPr>
            </w:pPr>
            <w:r>
              <w:rPr>
                <w:rFonts w:ascii="Arial" w:cs="Arial" w:eastAsia="Arial" w:hAnsi="Arial"/>
                <w:sz w:val="11"/>
                <w:szCs w:val="11"/>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212"/>
        </w:trPr>
        <w:tc>
          <w:tcPr>
            <w:tcW w:w="1200" w:type="dxa"/>
            <w:vAlign w:val="bottom"/>
          </w:tcPr>
          <w:p>
            <w:pPr>
              <w:jc w:val="right"/>
              <w:ind w:right="383"/>
              <w:spacing w:after="0"/>
              <w:rPr>
                <w:sz w:val="20"/>
                <w:szCs w:val="20"/>
                <w:color w:val="auto"/>
              </w:rPr>
            </w:pPr>
            <w:r>
              <w:rPr>
                <w:rFonts w:ascii="Arial" w:cs="Arial" w:eastAsia="Arial" w:hAnsi="Arial"/>
                <w:sz w:val="11"/>
                <w:szCs w:val="11"/>
                <w:color w:val="auto"/>
              </w:rPr>
              <w:t>3.2</w:t>
            </w:r>
          </w:p>
        </w:tc>
        <w:tc>
          <w:tcPr>
            <w:tcW w:w="10000" w:type="dxa"/>
            <w:vAlign w:val="bottom"/>
          </w:tcPr>
          <w:p>
            <w:pPr>
              <w:ind w:left="20"/>
              <w:spacing w:after="0"/>
              <w:rPr>
                <w:sz w:val="20"/>
                <w:szCs w:val="20"/>
                <w:color w:val="auto"/>
              </w:rPr>
            </w:pPr>
            <w:r>
              <w:rPr>
                <w:rFonts w:ascii="Arial" w:cs="Arial" w:eastAsia="Arial" w:hAnsi="Arial"/>
                <w:sz w:val="11"/>
                <w:szCs w:val="11"/>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212"/>
        </w:trPr>
        <w:tc>
          <w:tcPr>
            <w:tcW w:w="1200" w:type="dxa"/>
            <w:vAlign w:val="bottom"/>
          </w:tcPr>
          <w:p>
            <w:pPr>
              <w:jc w:val="right"/>
              <w:ind w:right="383"/>
              <w:spacing w:after="0"/>
              <w:rPr>
                <w:sz w:val="20"/>
                <w:szCs w:val="20"/>
                <w:color w:val="auto"/>
              </w:rPr>
            </w:pPr>
            <w:r>
              <w:rPr>
                <w:rFonts w:ascii="Arial" w:cs="Arial" w:eastAsia="Arial" w:hAnsi="Arial"/>
                <w:sz w:val="11"/>
                <w:szCs w:val="11"/>
                <w:color w:val="auto"/>
              </w:rPr>
              <w:t>10.1</w:t>
            </w:r>
          </w:p>
        </w:tc>
        <w:tc>
          <w:tcPr>
            <w:tcW w:w="10000" w:type="dxa"/>
            <w:vAlign w:val="bottom"/>
          </w:tcPr>
          <w:p>
            <w:pPr>
              <w:ind w:left="20"/>
              <w:spacing w:after="0"/>
              <w:rPr>
                <w:rFonts w:ascii="Arial" w:cs="Arial" w:eastAsia="Arial" w:hAnsi="Arial"/>
                <w:sz w:val="11"/>
                <w:szCs w:val="11"/>
                <w:u w:val="single" w:color="auto"/>
                <w:color w:val="0000FF"/>
              </w:rPr>
            </w:pPr>
            <w:hyperlink w:anchor="page75">
              <w:r>
                <w:rPr>
                  <w:rFonts w:ascii="Arial" w:cs="Arial" w:eastAsia="Arial" w:hAnsi="Arial"/>
                  <w:sz w:val="11"/>
                  <w:szCs w:val="11"/>
                  <w:u w:val="single" w:color="auto"/>
                  <w:color w:val="0000FF"/>
                </w:rPr>
                <w:t>Employment Contract, dated April 30, 2018, by among Capital Bank, N.A. and Karl F. Dicker</w:t>
              </w:r>
            </w:hyperlink>
          </w:p>
        </w:tc>
        <w:tc>
          <w:tcPr>
            <w:tcW w:w="0" w:type="dxa"/>
            <w:vAlign w:val="bottom"/>
          </w:tcPr>
          <w:p>
            <w:pPr>
              <w:spacing w:after="0"/>
              <w:rPr>
                <w:sz w:val="1"/>
                <w:szCs w:val="1"/>
                <w:color w:val="auto"/>
              </w:rPr>
            </w:pPr>
          </w:p>
        </w:tc>
      </w:tr>
      <w:tr>
        <w:trPr>
          <w:trHeight w:val="212"/>
        </w:trPr>
        <w:tc>
          <w:tcPr>
            <w:tcW w:w="1200" w:type="dxa"/>
            <w:vAlign w:val="bottom"/>
          </w:tcPr>
          <w:p>
            <w:pPr>
              <w:jc w:val="right"/>
              <w:ind w:right="383"/>
              <w:spacing w:after="0"/>
              <w:rPr>
                <w:sz w:val="20"/>
                <w:szCs w:val="20"/>
                <w:color w:val="auto"/>
              </w:rPr>
            </w:pPr>
            <w:r>
              <w:rPr>
                <w:rFonts w:ascii="Arial" w:cs="Arial" w:eastAsia="Arial" w:hAnsi="Arial"/>
                <w:sz w:val="11"/>
                <w:szCs w:val="11"/>
                <w:color w:val="auto"/>
              </w:rPr>
              <w:t>31.1</w:t>
            </w:r>
          </w:p>
        </w:tc>
        <w:tc>
          <w:tcPr>
            <w:tcW w:w="10000" w:type="dxa"/>
            <w:vAlign w:val="bottom"/>
          </w:tcPr>
          <w:p>
            <w:pPr>
              <w:ind w:left="20"/>
              <w:spacing w:after="0"/>
              <w:rPr>
                <w:rFonts w:ascii="Arial" w:cs="Arial" w:eastAsia="Arial" w:hAnsi="Arial"/>
                <w:sz w:val="11"/>
                <w:szCs w:val="11"/>
                <w:color w:val="0000FF"/>
              </w:rPr>
            </w:pPr>
            <w:hyperlink w:anchor="page80">
              <w:r>
                <w:rPr>
                  <w:rFonts w:ascii="Arial" w:cs="Arial" w:eastAsia="Arial" w:hAnsi="Arial"/>
                  <w:sz w:val="11"/>
                  <w:szCs w:val="11"/>
                  <w:u w:val="single" w:color="auto"/>
                  <w:color w:val="0000FF"/>
                </w:rPr>
                <w:t>Rule 13a-14(a) Certification of the Principal Executive Officer</w:t>
              </w:r>
              <w:r>
                <w:rPr>
                  <w:rFonts w:ascii="Arial" w:cs="Arial" w:eastAsia="Arial" w:hAnsi="Arial"/>
                  <w:sz w:val="11"/>
                  <w:szCs w:val="11"/>
                  <w:color w:val="0000FF"/>
                </w:rPr>
                <w:t>.</w:t>
              </w:r>
            </w:hyperlink>
          </w:p>
        </w:tc>
        <w:tc>
          <w:tcPr>
            <w:tcW w:w="0" w:type="dxa"/>
            <w:vAlign w:val="bottom"/>
          </w:tcPr>
          <w:p>
            <w:pPr>
              <w:spacing w:after="0"/>
              <w:rPr>
                <w:sz w:val="1"/>
                <w:szCs w:val="1"/>
                <w:color w:val="auto"/>
              </w:rPr>
            </w:pPr>
          </w:p>
        </w:tc>
      </w:tr>
      <w:tr>
        <w:trPr>
          <w:trHeight w:val="170"/>
        </w:trPr>
        <w:tc>
          <w:tcPr>
            <w:tcW w:w="1200" w:type="dxa"/>
            <w:vAlign w:val="bottom"/>
            <w:vMerge w:val="restart"/>
          </w:tcPr>
          <w:p>
            <w:pPr>
              <w:jc w:val="right"/>
              <w:ind w:right="383"/>
              <w:spacing w:after="0"/>
              <w:rPr>
                <w:sz w:val="20"/>
                <w:szCs w:val="20"/>
                <w:color w:val="auto"/>
              </w:rPr>
            </w:pPr>
            <w:r>
              <w:rPr>
                <w:rFonts w:ascii="Arial" w:cs="Arial" w:eastAsia="Arial" w:hAnsi="Arial"/>
                <w:sz w:val="11"/>
                <w:szCs w:val="11"/>
                <w:color w:val="auto"/>
              </w:rPr>
              <w:t>31.2</w:t>
            </w:r>
          </w:p>
        </w:tc>
        <w:tc>
          <w:tcPr>
            <w:tcW w:w="10000" w:type="dxa"/>
            <w:vAlign w:val="bottom"/>
          </w:tcPr>
          <w:p>
            <w:pPr>
              <w:ind w:left="20"/>
              <w:spacing w:after="0"/>
              <w:rPr>
                <w:rFonts w:ascii="Arial" w:cs="Arial" w:eastAsia="Arial" w:hAnsi="Arial"/>
                <w:sz w:val="11"/>
                <w:szCs w:val="11"/>
                <w:u w:val="single" w:color="auto"/>
                <w:color w:val="0000FF"/>
              </w:rPr>
            </w:pPr>
            <w:hyperlink w:anchor="page81">
              <w:r>
                <w:rPr>
                  <w:rFonts w:ascii="Arial" w:cs="Arial" w:eastAsia="Arial" w:hAnsi="Arial"/>
                  <w:sz w:val="11"/>
                  <w:szCs w:val="11"/>
                  <w:u w:val="single" w:color="auto"/>
                  <w:color w:val="0000FF"/>
                </w:rPr>
                <w:t>Rule 13a-14(a) Certification of the Principal Financial Officer.</w:t>
              </w:r>
            </w:hyperlink>
          </w:p>
        </w:tc>
        <w:tc>
          <w:tcPr>
            <w:tcW w:w="0" w:type="dxa"/>
            <w:vAlign w:val="bottom"/>
          </w:tcPr>
          <w:p>
            <w:pPr>
              <w:spacing w:after="0"/>
              <w:rPr>
                <w:sz w:val="1"/>
                <w:szCs w:val="1"/>
                <w:color w:val="auto"/>
              </w:rPr>
            </w:pPr>
          </w:p>
        </w:tc>
      </w:tr>
      <w:tr>
        <w:trPr>
          <w:trHeight w:val="127"/>
        </w:trPr>
        <w:tc>
          <w:tcPr>
            <w:tcW w:w="1200" w:type="dxa"/>
            <w:vAlign w:val="bottom"/>
            <w:vMerge w:val="continue"/>
          </w:tcPr>
          <w:p>
            <w:pPr>
              <w:spacing w:after="0"/>
              <w:rPr>
                <w:sz w:val="11"/>
                <w:szCs w:val="11"/>
                <w:color w:val="auto"/>
              </w:rPr>
            </w:pPr>
          </w:p>
        </w:tc>
        <w:tc>
          <w:tcPr>
            <w:tcW w:w="10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60" w:hanging="585"/>
        <w:spacing w:after="0"/>
        <w:tabs>
          <w:tab w:leader="none" w:pos="1260" w:val="left"/>
        </w:tabs>
        <w:numPr>
          <w:ilvl w:val="0"/>
          <w:numId w:val="18"/>
        </w:numPr>
        <w:rPr>
          <w:rFonts w:ascii="Arial" w:cs="Arial" w:eastAsia="Arial" w:hAnsi="Arial"/>
          <w:sz w:val="11"/>
          <w:szCs w:val="11"/>
          <w:u w:val="single" w:color="auto"/>
          <w:color w:val="0000FF"/>
        </w:rPr>
      </w:pPr>
      <w:hyperlink w:anchor="page82">
        <w:r>
          <w:rPr>
            <w:rFonts w:ascii="Arial" w:cs="Arial" w:eastAsia="Arial" w:hAnsi="Arial"/>
            <w:sz w:val="11"/>
            <w:szCs w:val="11"/>
            <w:u w:val="single" w:color="auto"/>
            <w:color w:val="0000FF"/>
          </w:rPr>
          <w:t>Section 1350 Certification of Chief Executive Officer and Chief Financial Officer.</w:t>
        </w:r>
      </w:hyperlink>
    </w:p>
    <w:p>
      <w:pPr>
        <w:spacing w:after="0" w:line="43" w:lineRule="exact"/>
        <w:rPr>
          <w:sz w:val="20"/>
          <w:szCs w:val="20"/>
          <w:color w:val="auto"/>
        </w:rPr>
      </w:pPr>
    </w:p>
    <w:p>
      <w:pPr>
        <w:ind w:left="1260" w:right="180" w:hanging="648"/>
        <w:spacing w:after="0" w:line="250" w:lineRule="auto"/>
        <w:tabs>
          <w:tab w:leader="none" w:pos="1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following materials from the Quarterly Report on Form 10-Q of Capital Bancorp, Inc. for the quarter ended March 31, 2020,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00" w:top="291" w:right="35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SIGNATURES</w:t>
      </w:r>
    </w:p>
    <w:p>
      <w:pPr>
        <w:spacing w:after="0" w:line="197"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CAPITAL BANCORP, INC.</w:t>
            </w:r>
          </w:p>
        </w:tc>
        <w:tc>
          <w:tcPr>
            <w:tcW w:w="2320" w:type="dxa"/>
            <w:vAlign w:val="bottom"/>
          </w:tcPr>
          <w:p>
            <w:pPr>
              <w:spacing w:after="0"/>
              <w:rPr>
                <w:sz w:val="14"/>
                <w:szCs w:val="14"/>
                <w:color w:val="auto"/>
              </w:rPr>
            </w:pPr>
          </w:p>
        </w:tc>
      </w:tr>
      <w:tr>
        <w:trPr>
          <w:trHeight w:val="181"/>
        </w:trPr>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20" w:type="dxa"/>
            <w:vAlign w:val="bottom"/>
            <w:gridSpan w:val="4"/>
          </w:tcPr>
          <w:p>
            <w:pPr>
              <w:spacing w:after="0"/>
              <w:rPr>
                <w:sz w:val="20"/>
                <w:szCs w:val="20"/>
                <w:color w:val="auto"/>
              </w:rPr>
            </w:pPr>
            <w:r>
              <w:rPr>
                <w:rFonts w:ascii="Arial" w:cs="Arial" w:eastAsia="Arial" w:hAnsi="Arial"/>
                <w:sz w:val="14"/>
                <w:szCs w:val="14"/>
                <w:color w:val="auto"/>
              </w:rPr>
              <w:t>Registrant</w:t>
            </w:r>
          </w:p>
        </w:tc>
      </w:tr>
      <w:tr>
        <w:trPr>
          <w:trHeight w:val="308"/>
        </w:trPr>
        <w:tc>
          <w:tcPr>
            <w:tcW w:w="1560" w:type="dxa"/>
            <w:vAlign w:val="bottom"/>
          </w:tcPr>
          <w:p>
            <w:pPr>
              <w:spacing w:after="0"/>
              <w:rPr>
                <w:sz w:val="20"/>
                <w:szCs w:val="20"/>
                <w:color w:val="auto"/>
              </w:rPr>
            </w:pPr>
            <w:r>
              <w:rPr>
                <w:rFonts w:ascii="Arial" w:cs="Arial" w:eastAsia="Arial" w:hAnsi="Arial"/>
                <w:sz w:val="14"/>
                <w:szCs w:val="14"/>
                <w:color w:val="auto"/>
              </w:rPr>
              <w:t>Date: May 11, 2020</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Ed Barry</w:t>
            </w:r>
          </w:p>
        </w:tc>
        <w:tc>
          <w:tcPr>
            <w:tcW w:w="3920" w:type="dxa"/>
            <w:vAlign w:val="bottom"/>
            <w:gridSpan w:val="3"/>
          </w:tcPr>
          <w:p>
            <w:pPr>
              <w:spacing w:after="0"/>
              <w:rPr>
                <w:sz w:val="24"/>
                <w:szCs w:val="24"/>
                <w:color w:val="auto"/>
              </w:rPr>
            </w:pPr>
          </w:p>
        </w:tc>
      </w:tr>
      <w:tr>
        <w:trPr>
          <w:trHeight w:val="181"/>
        </w:trPr>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20" w:type="dxa"/>
            <w:vAlign w:val="bottom"/>
            <w:gridSpan w:val="4"/>
          </w:tcPr>
          <w:p>
            <w:pPr>
              <w:spacing w:after="0"/>
              <w:rPr>
                <w:sz w:val="20"/>
                <w:szCs w:val="20"/>
                <w:color w:val="auto"/>
              </w:rPr>
            </w:pPr>
            <w:r>
              <w:rPr>
                <w:rFonts w:ascii="Arial" w:cs="Arial" w:eastAsia="Arial" w:hAnsi="Arial"/>
                <w:sz w:val="14"/>
                <w:szCs w:val="14"/>
                <w:color w:val="auto"/>
              </w:rPr>
              <w:t>Ed Barry</w:t>
            </w:r>
          </w:p>
        </w:tc>
      </w:tr>
      <w:tr>
        <w:trPr>
          <w:trHeight w:val="170"/>
        </w:trPr>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20" w:type="dxa"/>
            <w:vAlign w:val="bottom"/>
            <w:gridSpan w:val="4"/>
          </w:tcPr>
          <w:p>
            <w:pPr>
              <w:spacing w:after="0"/>
              <w:rPr>
                <w:sz w:val="20"/>
                <w:szCs w:val="20"/>
                <w:color w:val="auto"/>
              </w:rPr>
            </w:pPr>
            <w:r>
              <w:rPr>
                <w:rFonts w:ascii="Arial" w:cs="Arial" w:eastAsia="Arial" w:hAnsi="Arial"/>
                <w:sz w:val="14"/>
                <w:szCs w:val="14"/>
                <w:color w:val="auto"/>
              </w:rPr>
              <w:t>Chief Executive Officer (Principal Executive Officer)</w:t>
            </w:r>
          </w:p>
        </w:tc>
      </w:tr>
      <w:tr>
        <w:trPr>
          <w:trHeight w:val="308"/>
        </w:trPr>
        <w:tc>
          <w:tcPr>
            <w:tcW w:w="1560" w:type="dxa"/>
            <w:vAlign w:val="bottom"/>
          </w:tcPr>
          <w:p>
            <w:pPr>
              <w:spacing w:after="0"/>
              <w:rPr>
                <w:sz w:val="20"/>
                <w:szCs w:val="20"/>
                <w:color w:val="auto"/>
              </w:rPr>
            </w:pPr>
            <w:r>
              <w:rPr>
                <w:rFonts w:ascii="Arial" w:cs="Arial" w:eastAsia="Arial" w:hAnsi="Arial"/>
                <w:sz w:val="14"/>
                <w:szCs w:val="14"/>
                <w:color w:val="auto"/>
              </w:rPr>
              <w:t>Date: May 11, 2020</w:t>
            </w: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 Alan W. Jackson</w:t>
            </w:r>
          </w:p>
        </w:tc>
        <w:tc>
          <w:tcPr>
            <w:tcW w:w="3580" w:type="dxa"/>
            <w:vAlign w:val="bottom"/>
            <w:gridSpan w:val="2"/>
          </w:tcPr>
          <w:p>
            <w:pPr>
              <w:spacing w:after="0"/>
              <w:rPr>
                <w:sz w:val="24"/>
                <w:szCs w:val="24"/>
                <w:color w:val="auto"/>
              </w:rPr>
            </w:pPr>
          </w:p>
        </w:tc>
      </w:tr>
      <w:tr>
        <w:trPr>
          <w:trHeight w:val="181"/>
        </w:trPr>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20" w:type="dxa"/>
            <w:vAlign w:val="bottom"/>
            <w:gridSpan w:val="4"/>
          </w:tcPr>
          <w:p>
            <w:pPr>
              <w:spacing w:after="0"/>
              <w:rPr>
                <w:sz w:val="20"/>
                <w:szCs w:val="20"/>
                <w:color w:val="auto"/>
              </w:rPr>
            </w:pPr>
            <w:r>
              <w:rPr>
                <w:rFonts w:ascii="Arial" w:cs="Arial" w:eastAsia="Arial" w:hAnsi="Arial"/>
                <w:sz w:val="14"/>
                <w:szCs w:val="14"/>
                <w:color w:val="auto"/>
              </w:rPr>
              <w:t>Alan W. Jackson</w:t>
            </w:r>
          </w:p>
        </w:tc>
      </w:tr>
      <w:tr>
        <w:trPr>
          <w:trHeight w:val="170"/>
        </w:trPr>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20" w:type="dxa"/>
            <w:vAlign w:val="bottom"/>
            <w:gridSpan w:val="4"/>
          </w:tcPr>
          <w:p>
            <w:pPr>
              <w:spacing w:after="0"/>
              <w:rPr>
                <w:sz w:val="20"/>
                <w:szCs w:val="20"/>
                <w:color w:val="auto"/>
              </w:rPr>
            </w:pPr>
            <w:r>
              <w:rPr>
                <w:rFonts w:ascii="Arial" w:cs="Arial" w:eastAsia="Arial" w:hAnsi="Arial"/>
                <w:sz w:val="14"/>
                <w:szCs w:val="14"/>
                <w:color w:val="auto"/>
                <w:w w:val="99"/>
              </w:rPr>
              <w:t>Chief Financial Officer (Principal Financial and Accounting Officer)</w:t>
            </w:r>
          </w:p>
        </w:tc>
      </w:tr>
      <w:tr>
        <w:trPr>
          <w:trHeight w:val="817"/>
        </w:trPr>
        <w:tc>
          <w:tcPr>
            <w:tcW w:w="1560" w:type="dxa"/>
            <w:vAlign w:val="bottom"/>
          </w:tcPr>
          <w:p>
            <w:pPr>
              <w:spacing w:after="0"/>
              <w:rPr>
                <w:sz w:val="24"/>
                <w:szCs w:val="24"/>
                <w:color w:val="auto"/>
              </w:rPr>
            </w:pPr>
          </w:p>
        </w:tc>
        <w:tc>
          <w:tcPr>
            <w:tcW w:w="5120" w:type="dxa"/>
            <w:vAlign w:val="bottom"/>
            <w:gridSpan w:val="5"/>
          </w:tcPr>
          <w:p>
            <w:pPr>
              <w:jc w:val="right"/>
              <w:ind w:right="900"/>
              <w:spacing w:after="0"/>
              <w:rPr>
                <w:sz w:val="20"/>
                <w:szCs w:val="20"/>
                <w:color w:val="auto"/>
              </w:rPr>
            </w:pPr>
            <w:r>
              <w:rPr>
                <w:rFonts w:ascii="Arial" w:cs="Arial" w:eastAsia="Arial" w:hAnsi="Arial"/>
                <w:sz w:val="14"/>
                <w:szCs w:val="14"/>
                <w:color w:val="auto"/>
              </w:rPr>
              <w:t>72</w:t>
            </w:r>
          </w:p>
        </w:tc>
      </w:tr>
    </w:tbl>
    <w:p>
      <w:pPr>
        <w:sectPr>
          <w:pgSz w:w="11900" w:h="16838" w:orient="portrait"/>
          <w:cols w:equalWidth="0" w:num="1">
            <w:col w:w="11280"/>
          </w:cols>
          <w:pgMar w:left="300" w:top="290" w:right="319" w:bottom="1440"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auto"/>
        </w:rPr>
        <w:t>Section 2: EX-31.1 (RULE 13A-14(A) CERTIFICATION OF THE PRINCIPAL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31.1</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31.1</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Executive Officer.</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I, Ed Barry, certify that:</w:t>
      </w:r>
    </w:p>
    <w:p>
      <w:pPr>
        <w:spacing w:after="0" w:line="179" w:lineRule="exact"/>
        <w:rPr>
          <w:sz w:val="20"/>
          <w:szCs w:val="20"/>
          <w:color w:val="auto"/>
        </w:rPr>
      </w:pPr>
    </w:p>
    <w:p>
      <w:pPr>
        <w:ind w:left="160" w:hanging="155"/>
        <w:spacing w:after="0"/>
        <w:tabs>
          <w:tab w:leader="none" w:pos="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Capital Bancorp, Inc.;</w:t>
      </w:r>
    </w:p>
    <w:p>
      <w:pPr>
        <w:spacing w:after="0" w:line="178" w:lineRule="exact"/>
        <w:rPr>
          <w:rFonts w:ascii="Arial" w:cs="Arial" w:eastAsia="Arial" w:hAnsi="Arial"/>
          <w:sz w:val="14"/>
          <w:szCs w:val="14"/>
          <w:color w:val="auto"/>
        </w:rPr>
      </w:pPr>
    </w:p>
    <w:p>
      <w:pPr>
        <w:ind w:firstLine="5"/>
        <w:spacing w:after="0" w:line="266" w:lineRule="auto"/>
        <w:tabs>
          <w:tab w:leader="none" w:pos="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firstLine="5"/>
        <w:spacing w:after="0" w:line="266" w:lineRule="auto"/>
        <w:tabs>
          <w:tab w:leader="none" w:pos="168"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160" w:hanging="155"/>
        <w:spacing w:after="0"/>
        <w:tabs>
          <w:tab w:leader="none" w:pos="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jc w:val="both"/>
        <w:ind w:left="520" w:hanging="6"/>
        <w:spacing w:after="0" w:line="259" w:lineRule="auto"/>
        <w:tabs>
          <w:tab w:leader="none" w:pos="698" w:val="left"/>
        </w:tabs>
        <w:numPr>
          <w:ilvl w:val="1"/>
          <w:numId w:val="2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4"/>
          <w:szCs w:val="14"/>
          <w:color w:val="auto"/>
        </w:rPr>
      </w:pPr>
    </w:p>
    <w:p>
      <w:pPr>
        <w:jc w:val="both"/>
        <w:ind w:left="520" w:hanging="6"/>
        <w:spacing w:after="0" w:line="259" w:lineRule="auto"/>
        <w:tabs>
          <w:tab w:leader="none" w:pos="715" w:val="left"/>
        </w:tabs>
        <w:numPr>
          <w:ilvl w:val="1"/>
          <w:numId w:val="2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4"/>
          <w:szCs w:val="14"/>
          <w:color w:val="auto"/>
        </w:rPr>
      </w:pPr>
    </w:p>
    <w:p>
      <w:pPr>
        <w:ind w:left="520" w:hanging="6"/>
        <w:spacing w:after="0" w:line="266" w:lineRule="auto"/>
        <w:tabs>
          <w:tab w:leader="none" w:pos="685"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520" w:hanging="6"/>
        <w:spacing w:after="0" w:line="266" w:lineRule="auto"/>
        <w:tabs>
          <w:tab w:leader="none" w:pos="702" w:val="left"/>
        </w:tabs>
        <w:numPr>
          <w:ilvl w:val="1"/>
          <w:numId w:val="2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2" w:lineRule="exact"/>
        <w:rPr>
          <w:rFonts w:ascii="Arial" w:cs="Arial" w:eastAsia="Arial" w:hAnsi="Arial"/>
          <w:sz w:val="14"/>
          <w:szCs w:val="14"/>
          <w:color w:val="auto"/>
        </w:rPr>
      </w:pPr>
    </w:p>
    <w:p>
      <w:pPr>
        <w:ind w:firstLine="5"/>
        <w:spacing w:after="0" w:line="266" w:lineRule="auto"/>
        <w:tabs>
          <w:tab w:leader="none" w:pos="16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left="520" w:hanging="6"/>
        <w:spacing w:after="0" w:line="266" w:lineRule="auto"/>
        <w:tabs>
          <w:tab w:leader="none" w:pos="69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680" w:hanging="166"/>
        <w:spacing w:after="0"/>
        <w:tabs>
          <w:tab w:leader="none" w:pos="6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480" w:val="left"/>
          <w:tab w:leader="none" w:pos="1800" w:val="left"/>
        </w:tabs>
        <w:rPr>
          <w:sz w:val="20"/>
          <w:szCs w:val="20"/>
          <w:color w:val="auto"/>
        </w:rPr>
      </w:pPr>
      <w:r>
        <w:rPr>
          <w:rFonts w:ascii="Arial" w:cs="Arial" w:eastAsia="Arial" w:hAnsi="Arial"/>
          <w:sz w:val="14"/>
          <w:szCs w:val="14"/>
          <w:color w:val="auto"/>
        </w:rPr>
        <w:t>Date:</w:t>
        <w:tab/>
        <w:t>May 11, 2020</w:t>
      </w:r>
      <w:r>
        <w:rPr>
          <w:sz w:val="20"/>
          <w:szCs w:val="20"/>
          <w:color w:val="auto"/>
        </w:rPr>
        <w:tab/>
      </w:r>
      <w:r>
        <w:rPr>
          <w:rFonts w:ascii="Arial" w:cs="Arial" w:eastAsia="Arial" w:hAnsi="Arial"/>
          <w:sz w:val="14"/>
          <w:szCs w:val="14"/>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-13335</wp:posOffset>
            </wp:positionV>
            <wp:extent cx="66865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655" cy="6985"/>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4"/>
          <w:szCs w:val="14"/>
          <w:color w:val="auto"/>
        </w:rPr>
        <w:t>Ed Barry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460"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Section 2: EX-31.2 (RULE 13A-14(A) CERTIFICATION OF THE PRINCIPAL FINANCIAL OFFICER)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31.2</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31.2</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Financial Officer.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 Alan W. Jackson, certify that:</w:t>
      </w:r>
    </w:p>
    <w:p>
      <w:pPr>
        <w:spacing w:after="0" w:line="179" w:lineRule="exact"/>
        <w:rPr>
          <w:sz w:val="20"/>
          <w:szCs w:val="20"/>
          <w:color w:val="auto"/>
        </w:rPr>
      </w:pPr>
    </w:p>
    <w:p>
      <w:pPr>
        <w:ind w:left="160" w:hanging="155"/>
        <w:spacing w:after="0"/>
        <w:tabs>
          <w:tab w:leader="none" w:pos="1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Capital Bancorp, Inc.;</w:t>
      </w:r>
    </w:p>
    <w:p>
      <w:pPr>
        <w:spacing w:after="0" w:line="178" w:lineRule="exact"/>
        <w:rPr>
          <w:rFonts w:ascii="Arial" w:cs="Arial" w:eastAsia="Arial" w:hAnsi="Arial"/>
          <w:sz w:val="14"/>
          <w:szCs w:val="14"/>
          <w:color w:val="auto"/>
        </w:rPr>
      </w:pPr>
    </w:p>
    <w:p>
      <w:pPr>
        <w:ind w:firstLine="5"/>
        <w:spacing w:after="0" w:line="266" w:lineRule="auto"/>
        <w:tabs>
          <w:tab w:leader="none" w:pos="1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firstLine="5"/>
        <w:spacing w:after="0" w:line="266" w:lineRule="auto"/>
        <w:tabs>
          <w:tab w:leader="none" w:pos="168"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160" w:hanging="155"/>
        <w:spacing w:after="0"/>
        <w:tabs>
          <w:tab w:leader="none" w:pos="1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jc w:val="both"/>
        <w:ind w:left="520" w:hanging="6"/>
        <w:spacing w:after="0" w:line="259" w:lineRule="auto"/>
        <w:tabs>
          <w:tab w:leader="none" w:pos="698"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4"/>
          <w:szCs w:val="14"/>
          <w:color w:val="auto"/>
        </w:rPr>
      </w:pPr>
    </w:p>
    <w:p>
      <w:pPr>
        <w:jc w:val="both"/>
        <w:ind w:left="520" w:hanging="6"/>
        <w:spacing w:after="0" w:line="259" w:lineRule="auto"/>
        <w:tabs>
          <w:tab w:leader="none" w:pos="715"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4"/>
          <w:szCs w:val="14"/>
          <w:color w:val="auto"/>
        </w:rPr>
      </w:pPr>
    </w:p>
    <w:p>
      <w:pPr>
        <w:ind w:left="520" w:hanging="6"/>
        <w:spacing w:after="0" w:line="266" w:lineRule="auto"/>
        <w:tabs>
          <w:tab w:leader="none" w:pos="685"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520" w:hanging="6"/>
        <w:spacing w:after="0" w:line="266" w:lineRule="auto"/>
        <w:tabs>
          <w:tab w:leader="none" w:pos="702" w:val="left"/>
        </w:tabs>
        <w:numPr>
          <w:ilvl w:val="1"/>
          <w:numId w:val="2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2" w:lineRule="exact"/>
        <w:rPr>
          <w:rFonts w:ascii="Arial" w:cs="Arial" w:eastAsia="Arial" w:hAnsi="Arial"/>
          <w:sz w:val="14"/>
          <w:szCs w:val="14"/>
          <w:color w:val="auto"/>
        </w:rPr>
      </w:pPr>
    </w:p>
    <w:p>
      <w:pPr>
        <w:ind w:firstLine="5"/>
        <w:spacing w:after="0" w:line="266" w:lineRule="auto"/>
        <w:tabs>
          <w:tab w:leader="none" w:pos="164"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left="520" w:hanging="6"/>
        <w:spacing w:after="0" w:line="266" w:lineRule="auto"/>
        <w:tabs>
          <w:tab w:leader="none" w:pos="694"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680" w:hanging="166"/>
        <w:spacing w:after="0"/>
        <w:tabs>
          <w:tab w:leader="none" w:pos="6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color w:val="auto"/>
              </w:rPr>
              <w:t>Date: May 11, 2020</w:t>
            </w:r>
          </w:p>
        </w:tc>
        <w:tc>
          <w:tcPr>
            <w:tcW w:w="2880" w:type="dxa"/>
            <w:vAlign w:val="bottom"/>
            <w:gridSpan w:val="3"/>
          </w:tcPr>
          <w:p>
            <w:pPr>
              <w:ind w:left="300"/>
              <w:spacing w:after="0"/>
              <w:rPr>
                <w:sz w:val="20"/>
                <w:szCs w:val="20"/>
                <w:color w:val="auto"/>
              </w:rPr>
            </w:pPr>
            <w:r>
              <w:rPr>
                <w:rFonts w:ascii="Arial" w:cs="Arial" w:eastAsia="Arial" w:hAnsi="Arial"/>
                <w:sz w:val="14"/>
                <w:szCs w:val="14"/>
                <w:color w:val="auto"/>
              </w:rPr>
              <w:t>By: /s/ Alan W. Jackson</w:t>
            </w:r>
          </w:p>
        </w:tc>
      </w:tr>
      <w:tr>
        <w:trPr>
          <w:trHeight w:val="20"/>
        </w:trPr>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1"/>
        </w:trPr>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gridSpan w:val="2"/>
          </w:tcPr>
          <w:p>
            <w:pPr>
              <w:ind w:left="940"/>
              <w:spacing w:after="0"/>
              <w:rPr>
                <w:sz w:val="20"/>
                <w:szCs w:val="20"/>
                <w:color w:val="auto"/>
              </w:rPr>
            </w:pPr>
            <w:r>
              <w:rPr>
                <w:rFonts w:ascii="Arial" w:cs="Arial" w:eastAsia="Arial" w:hAnsi="Arial"/>
                <w:sz w:val="14"/>
                <w:szCs w:val="14"/>
                <w:color w:val="auto"/>
              </w:rPr>
              <w:t>Alan W. Jackson</w:t>
            </w:r>
          </w:p>
        </w:tc>
      </w:tr>
      <w:tr>
        <w:trPr>
          <w:trHeight w:val="170"/>
        </w:trPr>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gridSpan w:val="2"/>
          </w:tcPr>
          <w:p>
            <w:pPr>
              <w:ind w:left="940"/>
              <w:spacing w:after="0"/>
              <w:rPr>
                <w:sz w:val="20"/>
                <w:szCs w:val="20"/>
                <w:color w:val="auto"/>
              </w:rPr>
            </w:pPr>
            <w:r>
              <w:rPr>
                <w:rFonts w:ascii="Arial" w:cs="Arial" w:eastAsia="Arial" w:hAnsi="Arial"/>
                <w:sz w:val="14"/>
                <w:szCs w:val="14"/>
                <w:color w:val="auto"/>
                <w:w w:val="98"/>
              </w:rPr>
              <w:t>Chief Financial Officer</w:t>
            </w:r>
          </w:p>
        </w:tc>
      </w:tr>
    </w:tbl>
    <w:p>
      <w:pPr>
        <w:sectPr>
          <w:pgSz w:w="11900" w:h="16838" w:orient="portrait"/>
          <w:cols w:equalWidth="0" w:num="1">
            <w:col w:w="11280"/>
          </w:cols>
          <w:pgMar w:left="300" w:top="460"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Section 2: EX-32 (Certification Pursuant to 18 U.S.C. Section 1350, As Adopted Pursuant to Section 906 of the 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32</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32</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Certification Pursuant to 18 U.S.C. Section 1350, As Adopted Pursuant to Section 906 of the Sarbanes-Oxley Act of 2002</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connection with the Quarterly Report of Capital Bancorp, Inc. (the “Company”) on Form 10-Q for the period ended March 31, 2020,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52"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480" w:val="left"/>
          <w:tab w:leader="none" w:pos="1800" w:val="left"/>
        </w:tabs>
        <w:rPr>
          <w:sz w:val="20"/>
          <w:szCs w:val="20"/>
          <w:color w:val="auto"/>
        </w:rPr>
      </w:pPr>
      <w:r>
        <w:rPr>
          <w:rFonts w:ascii="Arial" w:cs="Arial" w:eastAsia="Arial" w:hAnsi="Arial"/>
          <w:sz w:val="14"/>
          <w:szCs w:val="14"/>
          <w:color w:val="auto"/>
        </w:rPr>
        <w:t>Date:</w:t>
        <w:tab/>
        <w:t>May 11, 2020</w:t>
      </w:r>
      <w:r>
        <w:rPr>
          <w:sz w:val="20"/>
          <w:szCs w:val="20"/>
          <w:color w:val="auto"/>
        </w:rPr>
        <w:tab/>
      </w:r>
      <w:r>
        <w:rPr>
          <w:rFonts w:ascii="Arial" w:cs="Arial" w:eastAsia="Arial" w:hAnsi="Arial"/>
          <w:sz w:val="14"/>
          <w:szCs w:val="14"/>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-13335</wp:posOffset>
            </wp:positionV>
            <wp:extent cx="66865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8655" cy="6985"/>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4"/>
          <w:szCs w:val="14"/>
          <w:color w:val="auto"/>
        </w:rPr>
        <w:t>Ed Barry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Chief Executive Officer</w:t>
      </w:r>
    </w:p>
    <w:p>
      <w:pPr>
        <w:spacing w:after="0" w:line="348"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-13335</wp:posOffset>
            </wp:positionV>
            <wp:extent cx="88328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3285" cy="6985"/>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4"/>
          <w:szCs w:val="14"/>
          <w:color w:val="auto"/>
        </w:rPr>
        <w:t>Alan W. Jackson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Chief Financial Officer</w:t>
      </w:r>
    </w:p>
    <w:sectPr>
      <w:pgSz w:w="11900" w:h="16838" w:orient="portrait"/>
      <w:cols w:equalWidth="0" w:num="1">
        <w:col w:w="11180"/>
      </w:cols>
      <w:pgMar w:left="300" w:top="46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upperLetter"/>
      <w:start w:val="68"/>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1"/>
      <w:numFmt w:val="decimal"/>
      <w:start w:val="10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2020-05-11T15:31:44Z</dcterms:created>
  <dcterms:modified xsi:type="dcterms:W3CDTF">2020-05-11T15:31:44Z</dcterms:modified>
</cp:coreProperties>
</file>