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40"/>
        <w:ind w:left="0" w:right="0" w:firstLine="36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Washington, D.C. 20549</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 xml:space="preserve">FORM 10-Q </w:t>
      </w:r>
    </w:p>
    <w:p>
      <w:pPr>
        <w:pStyle w:val="TextBody"/>
        <w:spacing w:lineRule="auto" w:line="288" w:before="0" w:after="60"/>
        <w:jc w:val="both"/>
        <w:rPr/>
      </w:pPr>
      <w:r>
        <w:rPr>
          <w:color w:val="000000"/>
        </w:rPr>
        <w:t xml:space="preserve">☒ </w:t>
      </w:r>
      <w:r>
        <w:rPr>
          <w:rFonts w:ascii="Arial;sans-serif" w:hAnsi="Arial;sans-serif"/>
          <w:b w:val="false"/>
          <w:color w:val="000000"/>
          <w:sz w:val="16"/>
        </w:rPr>
        <w:t>QUARTERLY REPORT PURSUANT TO SECTION 13 OR 15(d) OF THE SECURITIES EXCHANGE ACT OF 1934</w:t>
      </w:r>
    </w:p>
    <w:p>
      <w:pPr>
        <w:pStyle w:val="TextBody"/>
        <w:spacing w:lineRule="auto" w:line="288" w:before="0" w:after="60"/>
        <w:jc w:val="both"/>
        <w:rPr>
          <w:rFonts w:ascii="Arial;sans-serif" w:hAnsi="Arial;sans-serif"/>
          <w:b w:val="false"/>
          <w:color w:val="000000"/>
          <w:sz w:val="16"/>
        </w:rPr>
      </w:pPr>
      <w:r>
        <w:rPr>
          <w:rFonts w:ascii="Arial;sans-serif" w:hAnsi="Arial;sans-serif"/>
          <w:b w:val="false"/>
          <w:color w:val="000000"/>
          <w:sz w:val="16"/>
        </w:rPr>
        <w:t>For the Quarterly Period ended March 31, 2023         OR</w:t>
      </w:r>
    </w:p>
    <w:p>
      <w:pPr>
        <w:pStyle w:val="TextBody"/>
        <w:spacing w:lineRule="auto" w:line="288" w:before="0" w:after="60"/>
        <w:jc w:val="both"/>
        <w:rPr/>
      </w:pPr>
      <w:r>
        <w:rPr>
          <w:color w:val="000000"/>
        </w:rPr>
        <w:t xml:space="preserve">☐ </w:t>
      </w:r>
      <w:r>
        <w:rPr>
          <w:rFonts w:ascii="Arial;sans-serif" w:hAnsi="Arial;sans-serif"/>
          <w:b w:val="false"/>
          <w:color w:val="000000"/>
          <w:sz w:val="16"/>
        </w:rPr>
        <w:t>TRANSITION REPORT PURSUANT TO SECTION 13 OR 15 (d) OF THE SECURITIES EXCHANGE ACT OF 1934</w:t>
      </w:r>
    </w:p>
    <w:p>
      <w:pPr>
        <w:pStyle w:val="TextBody"/>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For the Transition Period from to </w:t>
      </w:r>
    </w:p>
    <w:p>
      <w:pPr>
        <w:pStyle w:val="TextBody"/>
        <w:spacing w:lineRule="auto" w:line="288" w:before="0" w:after="240"/>
        <w:jc w:val="both"/>
        <w:rPr>
          <w:rFonts w:ascii="Arial;sans-serif" w:hAnsi="Arial;sans-serif"/>
          <w:b w:val="false"/>
          <w:color w:val="000000"/>
          <w:sz w:val="16"/>
        </w:rPr>
      </w:pPr>
      <w:r>
        <w:rPr>
          <w:rFonts w:ascii="Arial;sans-serif" w:hAnsi="Arial;sans-serif"/>
          <w:b w:val="false"/>
          <w:color w:val="000000"/>
          <w:sz w:val="16"/>
        </w:rPr>
        <w:t xml:space="preserve">Commission file number 001-38671 </w:t>
      </w:r>
    </w:p>
    <w:p>
      <w:pPr>
        <w:pStyle w:val="TextBody"/>
        <w:spacing w:before="0" w:after="60"/>
        <w:jc w:val="center"/>
        <w:rPr/>
      </w:pPr>
      <w:r>
        <w:rPr/>
        <w:drawing>
          <wp:inline distT="0" distB="63500" distL="0" distR="0">
            <wp:extent cx="32099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43815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CAPITAL BANCORP INC.</w:t>
      </w:r>
    </w:p>
    <w:p>
      <w:pPr>
        <w:pStyle w:val="TextBody"/>
        <w:spacing w:lineRule="auto" w:line="288" w:before="0" w:after="24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tbl>
      <w:tblPr>
        <w:tblW w:w="6515" w:type="dxa"/>
        <w:jc w:val="center"/>
        <w:tblInd w:w="0" w:type="dxa"/>
        <w:tblCellMar>
          <w:top w:w="28" w:type="dxa"/>
          <w:left w:w="28" w:type="dxa"/>
          <w:bottom w:w="28" w:type="dxa"/>
          <w:right w:w="28" w:type="dxa"/>
        </w:tblCellMar>
      </w:tblPr>
      <w:tblGrid>
        <w:gridCol w:w="855"/>
        <w:gridCol w:w="750"/>
        <w:gridCol w:w="750"/>
        <w:gridCol w:w="334"/>
        <w:gridCol w:w="334"/>
        <w:gridCol w:w="334"/>
        <w:gridCol w:w="334"/>
        <w:gridCol w:w="334"/>
        <w:gridCol w:w="334"/>
        <w:gridCol w:w="109"/>
        <w:gridCol w:w="109"/>
        <w:gridCol w:w="109"/>
        <w:gridCol w:w="534"/>
        <w:gridCol w:w="534"/>
        <w:gridCol w:w="761"/>
      </w:tblGrid>
      <w:tr>
        <w:trPr/>
        <w:tc>
          <w:tcPr>
            <w:tcW w:w="85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435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52-2083046</w:t>
            </w:r>
          </w:p>
        </w:tc>
      </w:tr>
      <w:tr>
        <w:trPr/>
        <w:tc>
          <w:tcPr>
            <w:tcW w:w="43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2275 Research Boulevard</w:t>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Suite 600</w:t>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Rockville</w:t>
            </w:r>
          </w:p>
        </w:tc>
        <w:tc>
          <w:tcPr>
            <w:tcW w:w="100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Maryland</w:t>
            </w:r>
          </w:p>
        </w:tc>
        <w:tc>
          <w:tcPr>
            <w:tcW w:w="100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20850</w:t>
            </w:r>
          </w:p>
        </w:tc>
      </w:tr>
      <w:tr>
        <w:trPr/>
        <w:tc>
          <w:tcPr>
            <w:tcW w:w="43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100"/>
              <w:jc w:val="center"/>
              <w:rPr>
                <w:rFonts w:ascii="Arial;sans-serif" w:hAnsi="Arial;sans-serif"/>
                <w:b w:val="false"/>
                <w:color w:val="000000"/>
                <w:sz w:val="12"/>
              </w:rPr>
            </w:pPr>
            <w:r>
              <w:rPr>
                <w:rFonts w:ascii="Arial;sans-serif" w:hAnsi="Arial;sans-serif"/>
                <w:b w:val="false"/>
                <w:color w:val="000000"/>
                <w:sz w:val="12"/>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100"/>
              <w:jc w:val="center"/>
              <w:rPr>
                <w:rFonts w:ascii="Arial;sans-serif" w:hAnsi="Arial;sans-serif"/>
                <w:b w:val="false"/>
                <w:color w:val="000000"/>
                <w:sz w:val="12"/>
              </w:rPr>
            </w:pPr>
            <w:r>
              <w:rPr>
                <w:rFonts w:ascii="Arial;sans-serif" w:hAnsi="Arial;sans-serif"/>
                <w:b w:val="false"/>
                <w:color w:val="000000"/>
                <w:sz w:val="12"/>
              </w:rPr>
              <w:t>(Zip Code)</w:t>
            </w:r>
          </w:p>
        </w:tc>
      </w:tr>
    </w:tbl>
    <w:p>
      <w:pPr>
        <w:pStyle w:val="TextBody"/>
        <w:spacing w:lineRule="auto" w:line="288" w:before="0" w:after="0"/>
        <w:jc w:val="center"/>
        <w:rPr>
          <w:rFonts w:ascii="Arial;sans-serif" w:hAnsi="Arial;sans-serif"/>
          <w:b/>
          <w:color w:val="000000"/>
          <w:sz w:val="16"/>
          <w:u w:val="single"/>
        </w:rPr>
      </w:pPr>
      <w:r>
        <w:rPr>
          <w:rFonts w:ascii="Arial;sans-serif" w:hAnsi="Arial;sans-serif"/>
          <w:b/>
          <w:color w:val="000000"/>
          <w:sz w:val="16"/>
          <w:u w:val="single"/>
        </w:rPr>
        <w:t xml:space="preserve">(301) 468-8848 </w:t>
      </w:r>
    </w:p>
    <w:p>
      <w:pPr>
        <w:pStyle w:val="TextBody"/>
        <w:spacing w:lineRule="auto" w:line="288" w:before="0" w:after="6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spacing w:lineRule="auto" w:line="288" w:before="0" w:after="0"/>
        <w:jc w:val="center"/>
        <w:rPr>
          <w:rFonts w:ascii="Arial;sans-serif" w:hAnsi="Arial;sans-serif"/>
          <w:b/>
          <w:color w:val="000000"/>
          <w:sz w:val="16"/>
          <w:u w:val="single"/>
        </w:rPr>
      </w:pPr>
      <w:r>
        <w:rPr>
          <w:rFonts w:ascii="Arial;sans-serif" w:hAnsi="Arial;sans-serif"/>
          <w:b/>
          <w:color w:val="000000"/>
          <w:sz w:val="16"/>
          <w:u w:val="single"/>
        </w:rPr>
        <w:t>Not Applicable</w:t>
      </w:r>
    </w:p>
    <w:p>
      <w:pPr>
        <w:pStyle w:val="TextBody"/>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or Former Address, if Changed Since Last Report)</w:t>
      </w:r>
    </w:p>
    <w:p>
      <w:pPr>
        <w:pStyle w:val="TextBody"/>
        <w:spacing w:before="0" w:after="0"/>
        <w:jc w:val="center"/>
        <w:rPr/>
      </w:pPr>
      <w:r>
        <w:rPr/>
      </w:r>
    </w:p>
    <w:p>
      <w:pPr>
        <w:pStyle w:val="TextBody"/>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067" w:type="dxa"/>
        <w:jc w:val="center"/>
        <w:tblInd w:w="0" w:type="dxa"/>
        <w:tblCellMar>
          <w:top w:w="28" w:type="dxa"/>
          <w:left w:w="28" w:type="dxa"/>
          <w:bottom w:w="28" w:type="dxa"/>
          <w:right w:w="28" w:type="dxa"/>
        </w:tblCellMar>
      </w:tblPr>
      <w:tblGrid>
        <w:gridCol w:w="1162"/>
        <w:gridCol w:w="1017"/>
        <w:gridCol w:w="1030"/>
        <w:gridCol w:w="484"/>
        <w:gridCol w:w="484"/>
        <w:gridCol w:w="486"/>
        <w:gridCol w:w="995"/>
        <w:gridCol w:w="995"/>
        <w:gridCol w:w="1414"/>
      </w:tblGrid>
      <w:tr>
        <w:trPr/>
        <w:tc>
          <w:tcPr>
            <w:tcW w:w="1162"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Trading Symbol(s)</w:t>
            </w:r>
          </w:p>
        </w:tc>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Name of each exchange on which registered</w:t>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CBNK</w:t>
            </w:r>
          </w:p>
        </w:tc>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NASDAQ Stock Market</w:t>
            </w:r>
          </w:p>
        </w:tc>
      </w:tr>
    </w:tbl>
    <w:p>
      <w:pPr>
        <w:pStyle w:val="TextBody"/>
        <w:spacing w:before="0" w:after="0"/>
        <w:jc w:val="center"/>
        <w:rPr/>
      </w:pPr>
      <w:r>
        <w:rPr/>
      </w:r>
    </w:p>
    <w:p>
      <w:pPr>
        <w:pStyle w:val="TextBody"/>
        <w:spacing w:lineRule="auto" w:line="288" w:before="0" w:after="0"/>
        <w:jc w:val="both"/>
        <w:rPr/>
      </w:pPr>
      <w:r>
        <w:rPr>
          <w:color w:val="000000"/>
        </w:rPr>
        <w:t>    </w:t>
      </w:r>
      <w:r>
        <w:rPr>
          <w:rFonts w:ascii="Arial;sans-serif" w:hAnsi="Arial;sans-serif"/>
          <w:b w:val="false"/>
          <w:color w:val="000000"/>
          <w:sz w:val="16"/>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color w:val="000000"/>
        </w:rPr>
        <w:t>☐</w:t>
      </w:r>
    </w:p>
    <w:p>
      <w:pPr>
        <w:pStyle w:val="TextBody"/>
        <w:spacing w:before="0" w:after="0"/>
        <w:jc w:val="both"/>
        <w:rPr/>
      </w:pPr>
      <w:r>
        <w:rPr/>
      </w:r>
    </w:p>
    <w:p>
      <w:pPr>
        <w:pStyle w:val="TextBody"/>
        <w:spacing w:lineRule="auto" w:line="288" w:before="0" w:after="0"/>
        <w:jc w:val="both"/>
        <w:rPr/>
      </w:pPr>
      <w:r>
        <w:rPr>
          <w:color w:val="000000"/>
        </w:rPr>
        <w:t>    </w:t>
      </w: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color w:val="000000"/>
        </w:rPr>
        <w:t>☐</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4820" w:type="dxa"/>
        <w:jc w:val="center"/>
        <w:tblInd w:w="0" w:type="dxa"/>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120" w:after="283"/>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before="0" w:after="0"/>
        <w:rPr/>
      </w:pPr>
      <w:r>
        <w:rPr/>
      </w:r>
    </w:p>
    <w:p>
      <w:pPr>
        <w:pStyle w:val="TextBody"/>
        <w:spacing w:lineRule="auto" w:line="288" w:before="0" w:after="0"/>
        <w:rPr/>
      </w:pPr>
      <w:r>
        <w:rPr>
          <w:rFonts w:ascii="Arial;sans-serif" w:hAnsi="Arial;sans-serif"/>
          <w:b w:val="false"/>
          <w:color w:val="000000"/>
          <w:sz w:val="16"/>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spacing w:before="0" w:after="0"/>
        <w:jc w:val="both"/>
        <w:rPr/>
      </w:pPr>
      <w:r>
        <w:rPr/>
      </w:r>
    </w:p>
    <w:p>
      <w:pPr>
        <w:pStyle w:val="TextBody"/>
        <w:spacing w:lineRule="auto" w:line="288" w:before="0" w:after="240"/>
        <w:jc w:val="both"/>
        <w:rPr>
          <w:rFonts w:ascii="Arial;sans-serif" w:hAnsi="Arial;sans-serif"/>
          <w:b w:val="false"/>
          <w:color w:val="000000"/>
          <w:sz w:val="16"/>
        </w:rPr>
      </w:pPr>
      <w:r>
        <w:rPr>
          <w:rFonts w:ascii="Arial;sans-serif" w:hAnsi="Arial;sans-serif"/>
          <w:b w:val="false"/>
          <w:color w:val="000000"/>
          <w:sz w:val="16"/>
        </w:rPr>
        <w:t>As of May 5, 2023, the Company had 14,035,487 shares of common stock, par value $0.01 per share,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ind w:left="0" w:right="0" w:firstLine="360"/>
                        <w:jc w:val="both"/>
                        <w:rPr/>
                      </w:pPr>
                      <w:r>
                        <w:rPr/>
                      </w:r>
                    </w:p>
                  </w:txbxContent>
                </v:textbox>
              </v:rect>
            </w:pict>
          </mc:Fallback>
        </mc:AlternateContent>
      </w:r>
    </w:p>
    <w:tbl>
      <w:tblPr>
        <w:tblW w:w="5429" w:type="dxa"/>
        <w:jc w:val="left"/>
        <w:tblInd w:w="0" w:type="dxa"/>
        <w:tblCellMar>
          <w:top w:w="28" w:type="dxa"/>
          <w:left w:w="28" w:type="dxa"/>
          <w:bottom w:w="28" w:type="dxa"/>
          <w:right w:w="28" w:type="dxa"/>
        </w:tblCellMar>
      </w:tblPr>
      <w:tblGrid>
        <w:gridCol w:w="1737"/>
        <w:gridCol w:w="1527"/>
        <w:gridCol w:w="2165"/>
      </w:tblGrid>
      <w:tr>
        <w:trPr/>
        <w:tc>
          <w:tcPr>
            <w:tcW w:w="1737"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8"/>
              </w:rPr>
            </w:pPr>
            <w:r>
              <w:rPr>
                <w:rFonts w:ascii="Arial;sans-serif" w:hAnsi="Arial;sans-serif"/>
                <w:b/>
                <w:color w:val="000000"/>
                <w:sz w:val="28"/>
              </w:rPr>
              <w:t>Capital Bancorp, Inc. and Subsidiaries</w:t>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Form 10-Q</w:t>
            </w:r>
          </w:p>
        </w:tc>
      </w:tr>
      <w:tr>
        <w:trPr/>
        <w:tc>
          <w:tcPr>
            <w:tcW w:w="54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INDEX</w:t>
            </w:r>
          </w:p>
        </w:tc>
      </w:tr>
    </w:tbl>
    <w:p>
      <w:pPr>
        <w:pStyle w:val="TextBody"/>
        <w:spacing w:before="0" w:after="240"/>
        <w:ind w:left="0" w:right="0" w:firstLine="360"/>
        <w:jc w:val="both"/>
        <w:rPr/>
      </w:pPr>
      <w:r>
        <w:rPr/>
      </w:r>
    </w:p>
    <w:tbl>
      <w:tblPr>
        <w:tblW w:w="10205" w:type="dxa"/>
        <w:jc w:val="left"/>
        <w:tblInd w:w="0" w:type="dxa"/>
        <w:tblCellMar>
          <w:top w:w="28" w:type="dxa"/>
          <w:left w:w="28" w:type="dxa"/>
          <w:bottom w:w="28" w:type="dxa"/>
          <w:right w:w="28" w:type="dxa"/>
        </w:tblCellMar>
      </w:tblPr>
      <w:tblGrid>
        <w:gridCol w:w="847"/>
        <w:gridCol w:w="745"/>
        <w:gridCol w:w="745"/>
        <w:gridCol w:w="2423"/>
        <w:gridCol w:w="2416"/>
        <w:gridCol w:w="2440"/>
        <w:gridCol w:w="171"/>
        <w:gridCol w:w="171"/>
        <w:gridCol w:w="247"/>
      </w:tblGrid>
      <w:tr>
        <w:trPr/>
        <w:tc>
          <w:tcPr>
            <w:tcW w:w="84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423"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c>
          <w:tcPr>
            <w:tcW w:w="244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961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PART I - CONSOLIDATED FINANCIAL INFORMATION</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Page</w:t>
            </w:r>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Financial Statements (Unaudited)</w:t>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c8632fa19604af492a042c95fba535f_16">
              <w:r>
                <w:rPr>
                  <w:rStyle w:val="InternetLink"/>
                  <w:rFonts w:ascii="Arial;sans-serif" w:hAnsi="Arial;sans-serif"/>
                  <w:b w:val="false"/>
                  <w:strike w:val="false"/>
                  <w:dstrike w:val="false"/>
                  <w:color w:val="000000"/>
                  <w:sz w:val="18"/>
                  <w:u w:val="none"/>
                  <w:effect w:val="none"/>
                </w:rPr>
                <w:t>Consolidated Balance Sheets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6">
              <w:r>
                <w:rPr>
                  <w:rStyle w:val="InternetLink"/>
                  <w:rFonts w:ascii="Arial;sans-serif" w:hAnsi="Arial;sans-serif"/>
                  <w:b w:val="false"/>
                  <w:color w:val="0000FF"/>
                  <w:sz w:val="18"/>
                  <w:u w:val="single"/>
                </w:rPr>
                <w:t>2</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c8632fa19604af492a042c95fba535f_22">
              <w:r>
                <w:rPr>
                  <w:rStyle w:val="InternetLink"/>
                  <w:rFonts w:ascii="Arial;sans-serif" w:hAnsi="Arial;sans-serif"/>
                  <w:b w:val="false"/>
                  <w:strike w:val="false"/>
                  <w:dstrike w:val="false"/>
                  <w:color w:val="000000"/>
                  <w:sz w:val="18"/>
                  <w:u w:val="none"/>
                  <w:effect w:val="none"/>
                </w:rPr>
                <w:t>Consolidated Statements of Income</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22">
              <w:r>
                <w:rPr>
                  <w:rStyle w:val="InternetLink"/>
                  <w:rFonts w:ascii="Arial;sans-serif" w:hAnsi="Arial;sans-serif"/>
                  <w:b w:val="false"/>
                  <w:color w:val="0000FF"/>
                  <w:sz w:val="18"/>
                  <w:u w:val="single"/>
                </w:rPr>
                <w:t>3</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c8632fa19604af492a042c95fba535f_28">
              <w:r>
                <w:rPr>
                  <w:rStyle w:val="InternetLink"/>
                  <w:rFonts w:ascii="Arial;sans-serif" w:hAnsi="Arial;sans-serif"/>
                  <w:b w:val="false"/>
                  <w:strike w:val="false"/>
                  <w:dstrike w:val="false"/>
                  <w:color w:val="000000"/>
                  <w:sz w:val="18"/>
                  <w:u w:val="none"/>
                  <w:effect w:val="none"/>
                </w:rPr>
                <w:t>Consolidated Statements of Comprehensive Income</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28">
              <w:r>
                <w:rPr>
                  <w:rStyle w:val="InternetLink"/>
                  <w:rFonts w:ascii="Arial;sans-serif" w:hAnsi="Arial;sans-serif"/>
                  <w:b w:val="false"/>
                  <w:color w:val="0000FF"/>
                  <w:sz w:val="18"/>
                  <w:u w:val="single"/>
                </w:rPr>
                <w:t>4</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c8632fa19604af492a042c95fba535f_31">
              <w:r>
                <w:rPr>
                  <w:rStyle w:val="InternetLink"/>
                  <w:rFonts w:ascii="Arial;sans-serif" w:hAnsi="Arial;sans-serif"/>
                  <w:b w:val="false"/>
                  <w:strike w:val="false"/>
                  <w:dstrike w:val="false"/>
                  <w:color w:val="000000"/>
                  <w:sz w:val="18"/>
                  <w:u w:val="none"/>
                  <w:effect w:val="none"/>
                </w:rPr>
                <w:t>Consolidated Statements of Changes in Stockholders’ Equity</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31">
              <w:r>
                <w:rPr>
                  <w:rStyle w:val="InternetLink"/>
                  <w:rFonts w:ascii="Arial;sans-serif" w:hAnsi="Arial;sans-serif"/>
                  <w:b w:val="false"/>
                  <w:color w:val="0000FF"/>
                  <w:sz w:val="18"/>
                  <w:u w:val="single"/>
                </w:rPr>
                <w:t>5</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c8632fa19604af492a042c95fba535f_37">
              <w:r>
                <w:rPr>
                  <w:rStyle w:val="InternetLink"/>
                  <w:rFonts w:ascii="Arial;sans-serif" w:hAnsi="Arial;sans-serif"/>
                  <w:b w:val="false"/>
                  <w:strike w:val="false"/>
                  <w:dstrike w:val="false"/>
                  <w:color w:val="000000"/>
                  <w:sz w:val="18"/>
                  <w:u w:val="none"/>
                  <w:effect w:val="none"/>
                </w:rPr>
                <w:t>Consolidated Statements of Cash Flows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37">
              <w:r>
                <w:rPr>
                  <w:rStyle w:val="InternetLink"/>
                  <w:rFonts w:ascii="Arial;sans-serif" w:hAnsi="Arial;sans-serif"/>
                  <w:b w:val="false"/>
                  <w:color w:val="0000FF"/>
                  <w:sz w:val="18"/>
                  <w:u w:val="single"/>
                </w:rPr>
                <w:t>6</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c8632fa19604af492a042c95fba535f_40">
              <w:r>
                <w:rPr>
                  <w:rStyle w:val="InternetLink"/>
                </w:rPr>
                <w:t xml:space="preserve">Notes to </w:t>
              </w:r>
            </w:hyperlink>
            <w:hyperlink w:anchor="i0c8632fa19604af492a042c95fba535f_40">
              <w:r>
                <w:rPr>
                  <w:rStyle w:val="InternetLink"/>
                </w:rPr>
                <w:t xml:space="preserve">Unaudited </w:t>
              </w:r>
            </w:hyperlink>
            <w:hyperlink w:anchor="i0c8632fa19604af492a042c95fba535f_40">
              <w:r>
                <w:rPr>
                  <w:rStyle w:val="InternetLink"/>
                </w:rPr>
                <w:t>Consolidated Financial Statements</w:t>
              </w:r>
            </w:hyperlink>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40">
              <w:r>
                <w:rPr>
                  <w:rStyle w:val="InternetLink"/>
                  <w:rFonts w:ascii="Arial;sans-serif" w:hAnsi="Arial;sans-serif"/>
                  <w:b w:val="false"/>
                  <w:color w:val="0000FF"/>
                  <w:sz w:val="18"/>
                  <w:u w:val="single"/>
                </w:rPr>
                <w:t>8</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Management’s Discussion and Analysis of Financial Condition and Results of Operations</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03">
              <w:r>
                <w:rPr>
                  <w:rStyle w:val="InternetLink"/>
                  <w:rFonts w:ascii="Arial;sans-serif" w:hAnsi="Arial;sans-serif"/>
                  <w:b w:val="false"/>
                  <w:color w:val="0000FF"/>
                  <w:sz w:val="18"/>
                  <w:u w:val="single"/>
                </w:rPr>
                <w:t>37</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Quantitative and Qualitative Disclosures about Market Risk</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45">
              <w:r>
                <w:rPr>
                  <w:rStyle w:val="InternetLink"/>
                  <w:rFonts w:ascii="Arial;sans-serif" w:hAnsi="Arial;sans-serif"/>
                  <w:b w:val="false"/>
                  <w:color w:val="0000FF"/>
                  <w:sz w:val="18"/>
                  <w:u w:val="single"/>
                </w:rPr>
                <w:t>60</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Controls and Procedures</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54">
              <w:r>
                <w:rPr>
                  <w:rStyle w:val="InternetLink"/>
                  <w:rFonts w:ascii="Arial;sans-serif" w:hAnsi="Arial;sans-serif"/>
                  <w:b w:val="false"/>
                  <w:color w:val="0000FF"/>
                  <w:sz w:val="18"/>
                  <w:u w:val="single"/>
                </w:rPr>
                <w:t>63</w:t>
              </w:r>
            </w:hyperlink>
          </w:p>
        </w:tc>
      </w:tr>
      <w:tr>
        <w:trPr/>
        <w:tc>
          <w:tcPr>
            <w:tcW w:w="961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PART II - OTHER INFORMATION</w:t>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 Proceedings</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60">
              <w:r>
                <w:rPr>
                  <w:rStyle w:val="InternetLink"/>
                  <w:rFonts w:ascii="Arial;sans-serif" w:hAnsi="Arial;sans-serif"/>
                  <w:b w:val="false"/>
                  <w:color w:val="0000FF"/>
                  <w:sz w:val="18"/>
                  <w:u w:val="single"/>
                </w:rPr>
                <w:t>64</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 Factors</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63">
              <w:r>
                <w:rPr>
                  <w:rStyle w:val="InternetLink"/>
                  <w:rFonts w:ascii="Arial;sans-serif" w:hAnsi="Arial;sans-serif"/>
                  <w:b w:val="false"/>
                  <w:color w:val="0000FF"/>
                  <w:sz w:val="18"/>
                  <w:u w:val="single"/>
                </w:rPr>
                <w:t>64</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Unregistered Sales of Equity Securities and Use of Proceeds</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66">
              <w:r>
                <w:rPr>
                  <w:rStyle w:val="InternetLink"/>
                  <w:rFonts w:ascii="Arial;sans-serif" w:hAnsi="Arial;sans-serif"/>
                  <w:b w:val="false"/>
                  <w:color w:val="0000FF"/>
                  <w:sz w:val="18"/>
                  <w:u w:val="single"/>
                </w:rPr>
                <w:t>65</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Defaults upon Senior Securities</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72">
              <w:r>
                <w:rPr>
                  <w:rStyle w:val="InternetLink"/>
                  <w:rFonts w:ascii="Arial;sans-serif" w:hAnsi="Arial;sans-serif"/>
                  <w:b w:val="false"/>
                  <w:color w:val="0000FF"/>
                  <w:sz w:val="18"/>
                  <w:u w:val="single"/>
                </w:rPr>
                <w:t>66</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Mine Safety Disclosures</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75">
              <w:r>
                <w:rPr>
                  <w:rStyle w:val="InternetLink"/>
                  <w:rFonts w:ascii="Arial;sans-serif" w:hAnsi="Arial;sans-serif"/>
                  <w:b w:val="false"/>
                  <w:color w:val="0000FF"/>
                  <w:sz w:val="18"/>
                  <w:u w:val="single"/>
                </w:rPr>
                <w:t>66</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Information</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78">
              <w:r>
                <w:rPr>
                  <w:rStyle w:val="InternetLink"/>
                  <w:rFonts w:ascii="Arial;sans-serif" w:hAnsi="Arial;sans-serif"/>
                  <w:b w:val="false"/>
                  <w:color w:val="0000FF"/>
                  <w:sz w:val="18"/>
                  <w:u w:val="single"/>
                </w:rPr>
                <w:t>66</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7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Exhibits</w:t>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0c8632fa19604af492a042c95fba535f_181">
              <w:r>
                <w:rPr>
                  <w:rStyle w:val="InternetLink"/>
                  <w:rFonts w:ascii="Arial;sans-serif" w:hAnsi="Arial;sans-serif"/>
                  <w:b w:val="false"/>
                  <w:color w:val="0000FF"/>
                  <w:sz w:val="18"/>
                  <w:u w:val="single"/>
                </w:rPr>
                <w:t>66</w:t>
              </w:r>
            </w:hyperlink>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ind w:left="0" w:right="0" w:firstLine="360"/>
                        <w:jc w:val="both"/>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PART I. CONSOLIDATED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Item 1.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2376"/>
        <w:gridCol w:w="1898"/>
        <w:gridCol w:w="1855"/>
        <w:gridCol w:w="291"/>
        <w:gridCol w:w="1318"/>
        <w:gridCol w:w="162"/>
        <w:gridCol w:w="162"/>
        <w:gridCol w:w="162"/>
        <w:gridCol w:w="162"/>
        <w:gridCol w:w="291"/>
        <w:gridCol w:w="1296"/>
        <w:gridCol w:w="232"/>
      </w:tblGrid>
      <w:tr>
        <w:trPr/>
        <w:tc>
          <w:tcPr>
            <w:tcW w:w="2376" w:type="dxa"/>
            <w:tcBorders/>
            <w:shd w:fill="auto" w:val="clear"/>
            <w:vAlign w:val="center"/>
          </w:tcPr>
          <w:p>
            <w:pPr>
              <w:pStyle w:val="TableContents"/>
              <w:spacing w:before="0" w:after="283"/>
              <w:rPr>
                <w:sz w:val="4"/>
                <w:szCs w:val="4"/>
              </w:rPr>
            </w:pPr>
            <w:r>
              <w:rPr>
                <w:sz w:val="4"/>
                <w:szCs w:val="4"/>
              </w:rPr>
            </w:r>
          </w:p>
        </w:tc>
        <w:tc>
          <w:tcPr>
            <w:tcW w:w="1898" w:type="dxa"/>
            <w:tcBorders/>
            <w:shd w:fill="auto" w:val="clear"/>
            <w:vAlign w:val="center"/>
          </w:tcPr>
          <w:p>
            <w:pPr>
              <w:pStyle w:val="TableContents"/>
              <w:spacing w:before="0" w:after="283"/>
              <w:rPr>
                <w:sz w:val="4"/>
                <w:szCs w:val="4"/>
              </w:rPr>
            </w:pPr>
            <w:r>
              <w:rPr>
                <w:sz w:val="4"/>
                <w:szCs w:val="4"/>
              </w:rPr>
            </w:r>
          </w:p>
        </w:tc>
        <w:tc>
          <w:tcPr>
            <w:tcW w:w="185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Consolidated Balance Sheets (unaudited)</w:t>
            </w:r>
          </w:p>
          <w:p>
            <w:pPr>
              <w:pStyle w:val="TableContents"/>
              <w:spacing w:before="0" w:after="0"/>
              <w:rPr/>
            </w:pPr>
            <w:r>
              <w:rPr/>
            </w:r>
          </w:p>
        </w:tc>
      </w:tr>
      <w:tr>
        <w:trPr/>
        <w:tc>
          <w:tcPr>
            <w:tcW w:w="6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share data)</w:t>
            </w:r>
          </w:p>
        </w:tc>
        <w:tc>
          <w:tcPr>
            <w:tcW w:w="1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December 31, 2022</w:t>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7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18"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14,477</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19,963 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125,448</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39,764 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462</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20,688 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cash and cash equivalents</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140,387</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80,415 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 for sale</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255,762</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252,481 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486" w:type="dxa"/>
            <w:gridSpan w:val="3"/>
            <w:tcBorders/>
            <w:shd w:fill="auto" w:val="clear"/>
            <w:vAlign w:val="center"/>
          </w:tcPr>
          <w:p>
            <w:pPr>
              <w:pStyle w:val="TableContents"/>
              <w:spacing w:before="0" w:after="283"/>
              <w:rPr>
                <w:sz w:val="4"/>
                <w:szCs w:val="4"/>
              </w:rPr>
            </w:pPr>
            <w:r>
              <w:rPr>
                <w:sz w:val="4"/>
                <w:szCs w:val="4"/>
              </w:rPr>
            </w:r>
          </w:p>
        </w:tc>
        <w:tc>
          <w:tcPr>
            <w:tcW w:w="1819" w:type="dxa"/>
            <w:gridSpan w:val="3"/>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4,215</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7,362 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9,620</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7,416 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Small Business Administration (“SBA”) Payroll Protection Program (“PPP”) loans receivable, net of fees and costs</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2,037</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net of deferred fees and costs</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1,786,109</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1,728,592 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allowance for credit losses</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(26,216)</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(26,385)</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held for investment, net</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1,759,893</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1,702,207 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Premises and equipment, net</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5,367</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3,386 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receivable</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9,985</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9,489 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12,898</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13,777 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486" w:type="dxa"/>
            <w:gridSpan w:val="3"/>
            <w:tcBorders/>
            <w:shd w:fill="auto" w:val="clear"/>
            <w:vAlign w:val="center"/>
          </w:tcPr>
          <w:p>
            <w:pPr>
              <w:pStyle w:val="TableContents"/>
              <w:spacing w:before="0" w:after="283"/>
              <w:rPr>
                <w:sz w:val="4"/>
                <w:szCs w:val="4"/>
              </w:rPr>
            </w:pPr>
            <w:r>
              <w:rPr>
                <w:sz w:val="4"/>
                <w:szCs w:val="4"/>
              </w:rPr>
            </w:r>
          </w:p>
        </w:tc>
        <w:tc>
          <w:tcPr>
            <w:tcW w:w="1819" w:type="dxa"/>
            <w:gridSpan w:val="3"/>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486" w:type="dxa"/>
            <w:gridSpan w:val="3"/>
            <w:tcBorders/>
            <w:shd w:fill="auto" w:val="clear"/>
            <w:vAlign w:val="center"/>
          </w:tcPr>
          <w:p>
            <w:pPr>
              <w:pStyle w:val="TableContents"/>
              <w:spacing w:before="0" w:after="283"/>
              <w:rPr>
                <w:sz w:val="4"/>
                <w:szCs w:val="4"/>
              </w:rPr>
            </w:pPr>
            <w:r>
              <w:rPr>
                <w:sz w:val="4"/>
                <w:szCs w:val="4"/>
              </w:rPr>
            </w:r>
          </w:p>
        </w:tc>
        <w:tc>
          <w:tcPr>
            <w:tcW w:w="1819" w:type="dxa"/>
            <w:gridSpan w:val="3"/>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 owned life insurance</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36,781</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36,524 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8,341</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8,435 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assets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2,245,286</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2,123,655 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18"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705,801</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674,313 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1,238,573</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1,083,759 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deposits</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1,944,374</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1,758,072 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486" w:type="dxa"/>
            <w:gridSpan w:val="3"/>
            <w:tcBorders/>
            <w:shd w:fill="auto" w:val="clear"/>
            <w:vAlign w:val="center"/>
          </w:tcPr>
          <w:p>
            <w:pPr>
              <w:pStyle w:val="TableContents"/>
              <w:spacing w:before="0" w:after="283"/>
              <w:rPr>
                <w:sz w:val="4"/>
                <w:szCs w:val="4"/>
              </w:rPr>
            </w:pPr>
            <w:r>
              <w:rPr>
                <w:sz w:val="4"/>
                <w:szCs w:val="4"/>
              </w:rPr>
            </w:r>
          </w:p>
        </w:tc>
        <w:tc>
          <w:tcPr>
            <w:tcW w:w="1819" w:type="dxa"/>
            <w:gridSpan w:val="3"/>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486" w:type="dxa"/>
            <w:gridSpan w:val="3"/>
            <w:tcBorders/>
            <w:shd w:fill="auto" w:val="clear"/>
            <w:vAlign w:val="center"/>
          </w:tcPr>
          <w:p>
            <w:pPr>
              <w:pStyle w:val="TableContents"/>
              <w:spacing w:before="0" w:after="283"/>
              <w:rPr>
                <w:sz w:val="4"/>
                <w:szCs w:val="4"/>
              </w:rPr>
            </w:pPr>
            <w:r>
              <w:rPr>
                <w:sz w:val="4"/>
                <w:szCs w:val="4"/>
              </w:rPr>
            </w:r>
          </w:p>
        </w:tc>
        <w:tc>
          <w:tcPr>
            <w:tcW w:w="1819" w:type="dxa"/>
            <w:gridSpan w:val="3"/>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Home Loan Bank advances</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32,000</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107,000 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borrowed funds</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12,062</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payable</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1,977</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20,356</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liabilities</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2,010,769</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1,899,640 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1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486" w:type="dxa"/>
            <w:gridSpan w:val="3"/>
            <w:tcBorders/>
            <w:shd w:fill="auto" w:val="clear"/>
            <w:vAlign w:val="center"/>
          </w:tcPr>
          <w:p>
            <w:pPr>
              <w:pStyle w:val="TableContents"/>
              <w:spacing w:before="0" w:after="283"/>
              <w:rPr>
                <w:sz w:val="4"/>
                <w:szCs w:val="4"/>
              </w:rPr>
            </w:pPr>
            <w:r>
              <w:rPr>
                <w:sz w:val="4"/>
                <w:szCs w:val="4"/>
              </w:rPr>
            </w:r>
          </w:p>
        </w:tc>
        <w:tc>
          <w:tcPr>
            <w:tcW w:w="1819" w:type="dxa"/>
            <w:gridSpan w:val="3"/>
            <w:tcBorders/>
            <w:shd w:fill="auto" w:val="cle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Common stock, $.01 par value; 49,000,000 shares authorized; 14,083,037 and 14,138,829 issued and outstanding </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141</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57,277</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58,190 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6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191,058</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182,435 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6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(13,959)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(16,751)</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234,517</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224,015 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2,245,286</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2,123,655 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26135"/>
                <wp:effectExtent l="0" t="0" r="0" b="0"/>
                <wp:wrapNone/>
                <wp:docPr id="4" name="Frame3"/>
                <a:graphic xmlns:a="http://schemas.openxmlformats.org/drawingml/2006/main">
                  <a:graphicData uri="http://schemas.microsoft.com/office/word/2010/wordprocessingShape">
                    <wps:wsp>
                      <wps:cNvSpPr txBox="1"/>
                      <wps:spPr>
                        <a:xfrm>
                          <a:off x="0" y="0"/>
                          <a:ext cx="6480175" cy="826135"/>
                        </a:xfrm>
                        <a:prstGeom prst="rect"/>
                      </wps:spPr>
                      <wps:txb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r>
                          </w:tbl>
                          <w:p>
                            <w:pPr>
                              <w:pStyle w:val="TextBody"/>
                              <w:spacing w:before="0" w:after="283"/>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r>
                    </w:tbl>
                    <w:p>
                      <w:pPr>
                        <w:pStyle w:val="TextBody"/>
                        <w:spacing w:before="0" w:after="283"/>
                        <w:ind w:left="0" w:right="0" w:firstLine="360"/>
                        <w:rPr/>
                      </w:pPr>
                      <w:r>
                        <w:rPr/>
                      </w:r>
                    </w:p>
                  </w:txbxContent>
                </v:textbox>
              </v:rect>
            </w:pict>
          </mc:Fallback>
        </mc:AlternateContent>
      </w:r>
    </w:p>
    <w:p>
      <w:pPr>
        <w:pStyle w:val="TextBody"/>
        <w:spacing w:before="0" w:after="240"/>
        <w:ind w:left="0" w:right="0" w:firstLine="360"/>
        <w:jc w:val="both"/>
        <w:rPr/>
      </w:pPr>
      <w:r>
        <w:rPr/>
      </w:r>
    </w:p>
    <w:tbl>
      <w:tblPr>
        <w:tblW w:w="5429" w:type="dxa"/>
        <w:jc w:val="center"/>
        <w:tblInd w:w="0" w:type="dxa"/>
        <w:tblCellMar>
          <w:top w:w="28" w:type="dxa"/>
          <w:left w:w="28" w:type="dxa"/>
          <w:bottom w:w="28" w:type="dxa"/>
          <w:right w:w="28" w:type="dxa"/>
        </w:tblCellMar>
      </w:tblPr>
      <w:tblGrid>
        <w:gridCol w:w="1737"/>
        <w:gridCol w:w="1527"/>
        <w:gridCol w:w="2165"/>
      </w:tblGrid>
      <w:tr>
        <w:trPr/>
        <w:tc>
          <w:tcPr>
            <w:tcW w:w="1737"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5429" w:type="dxa"/>
            <w:gridSpan w:val="3"/>
            <w:tcBorders>
              <w:top w:val="single" w:sz="16"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Consolidated Statements of Income</w:t>
            </w:r>
          </w:p>
          <w:p>
            <w:pPr>
              <w:pStyle w:val="TableContents"/>
              <w:spacing w:lineRule="auto" w:line="240" w:before="0" w:after="0"/>
              <w:jc w:val="left"/>
              <w:rPr>
                <w:rFonts w:ascii="Arial;sans-serif" w:hAnsi="Arial;sans-serif"/>
                <w:b/>
                <w:i/>
                <w:color w:val="000000"/>
                <w:sz w:val="16"/>
              </w:rPr>
            </w:pPr>
            <w:r>
              <w:rPr>
                <w:rFonts w:ascii="Arial;sans-serif" w:hAnsi="Arial;sans-serif"/>
                <w:b/>
                <w:i/>
                <w:color w:val="000000"/>
                <w:sz w:val="16"/>
              </w:rPr>
              <w:t>(unaudited)</w:t>
            </w:r>
          </w:p>
        </w:tc>
      </w:tr>
    </w:tbl>
    <w:tbl>
      <w:tblPr>
        <w:tblW w:w="7147" w:type="dxa"/>
        <w:jc w:val="center"/>
        <w:tblInd w:w="0" w:type="dxa"/>
        <w:tblCellMar>
          <w:top w:w="28" w:type="dxa"/>
          <w:left w:w="28" w:type="dxa"/>
          <w:bottom w:w="28" w:type="dxa"/>
          <w:right w:w="28" w:type="dxa"/>
        </w:tblCellMar>
      </w:tblPr>
      <w:tblGrid>
        <w:gridCol w:w="1513"/>
        <w:gridCol w:w="1332"/>
        <w:gridCol w:w="1339"/>
        <w:gridCol w:w="223"/>
        <w:gridCol w:w="753"/>
        <w:gridCol w:w="109"/>
        <w:gridCol w:w="109"/>
        <w:gridCol w:w="109"/>
        <w:gridCol w:w="109"/>
        <w:gridCol w:w="223"/>
        <w:gridCol w:w="738"/>
        <w:gridCol w:w="109"/>
        <w:gridCol w:w="109"/>
        <w:gridCol w:w="109"/>
        <w:gridCol w:w="109"/>
        <w:gridCol w:w="154"/>
      </w:tblGrid>
      <w:tr>
        <w:trPr/>
        <w:tc>
          <w:tcPr>
            <w:tcW w:w="1513"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 except per share data)</w:t>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Interest income</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including fees</w:t>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41,275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 for sale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1,377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 and other</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764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43,416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Interest expense</w:t>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7,754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Borrowed funds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8,929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34,487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1,660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 for credit losses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32,827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1,155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432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6,026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12,554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1,213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2,374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6,530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349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Foreclosed real estate expenses, net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2,660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26,203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12,650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9,735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share</w:t>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0.69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0.68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w:t>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14,159,383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13,988,549 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14,272,292</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14,338,601 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26135"/>
                <wp:effectExtent l="0" t="0" r="0" b="0"/>
                <wp:wrapNone/>
                <wp:docPr id="5" name="Frame4"/>
                <a:graphic xmlns:a="http://schemas.openxmlformats.org/drawingml/2006/main">
                  <a:graphicData uri="http://schemas.microsoft.com/office/word/2010/wordprocessingShape">
                    <wps:wsp>
                      <wps:cNvSpPr txBox="1"/>
                      <wps:spPr>
                        <a:xfrm>
                          <a:off x="0" y="0"/>
                          <a:ext cx="6480175" cy="826135"/>
                        </a:xfrm>
                        <a:prstGeom prst="rect"/>
                      </wps:spPr>
                      <wps:txb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spacing w:before="0" w:after="283"/>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spacing w:before="0" w:after="283"/>
                        <w:ind w:left="0" w:right="0" w:firstLine="360"/>
                        <w:rPr/>
                      </w:pPr>
                      <w:r>
                        <w:rPr/>
                      </w:r>
                    </w:p>
                  </w:txbxContent>
                </v:textbox>
              </v:rect>
            </w:pict>
          </mc:Fallback>
        </mc:AlternateContent>
      </w:r>
    </w:p>
    <w:p>
      <w:pPr>
        <w:pStyle w:val="TextBody"/>
        <w:spacing w:before="0" w:after="240"/>
        <w:ind w:left="0" w:right="0" w:firstLine="360"/>
        <w:jc w:val="both"/>
        <w:rPr/>
      </w:pPr>
      <w:r>
        <w:rPr/>
      </w:r>
    </w:p>
    <w:tbl>
      <w:tblPr>
        <w:tblW w:w="5429" w:type="dxa"/>
        <w:jc w:val="center"/>
        <w:tblInd w:w="0" w:type="dxa"/>
        <w:tblCellMar>
          <w:top w:w="28" w:type="dxa"/>
          <w:left w:w="28" w:type="dxa"/>
          <w:bottom w:w="28" w:type="dxa"/>
          <w:right w:w="28" w:type="dxa"/>
        </w:tblCellMar>
      </w:tblPr>
      <w:tblGrid>
        <w:gridCol w:w="1737"/>
        <w:gridCol w:w="1527"/>
        <w:gridCol w:w="2165"/>
      </w:tblGrid>
      <w:tr>
        <w:trPr/>
        <w:tc>
          <w:tcPr>
            <w:tcW w:w="1737"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5429" w:type="dxa"/>
            <w:gridSpan w:val="3"/>
            <w:tcBorders>
              <w:top w:val="single" w:sz="16"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pPr>
            <w:r>
              <w:rPr>
                <w:rFonts w:ascii="Arial;sans-serif" w:hAnsi="Arial;sans-serif"/>
                <w:b/>
                <w:color w:val="000000"/>
                <w:sz w:val="16"/>
              </w:rPr>
              <w:t xml:space="preserve">Consolidated Statements of Comprehensive Income </w:t>
            </w:r>
            <w:r>
              <w:rPr>
                <w:rFonts w:ascii="Arial;sans-serif" w:hAnsi="Arial;sans-serif"/>
                <w:b/>
                <w:i/>
                <w:color w:val="000000"/>
                <w:sz w:val="16"/>
              </w:rPr>
              <w:t>(unaudited)</w:t>
            </w:r>
          </w:p>
        </w:tc>
      </w:tr>
    </w:tbl>
    <w:tbl>
      <w:tblPr>
        <w:tblW w:w="8095" w:type="dxa"/>
        <w:jc w:val="center"/>
        <w:tblInd w:w="0" w:type="dxa"/>
        <w:tblCellMar>
          <w:top w:w="28" w:type="dxa"/>
          <w:left w:w="28" w:type="dxa"/>
          <w:bottom w:w="28" w:type="dxa"/>
          <w:right w:w="28" w:type="dxa"/>
        </w:tblCellMar>
      </w:tblPr>
      <w:tblGrid>
        <w:gridCol w:w="2165"/>
        <w:gridCol w:w="1756"/>
        <w:gridCol w:w="1449"/>
        <w:gridCol w:w="196"/>
        <w:gridCol w:w="661"/>
        <w:gridCol w:w="109"/>
        <w:gridCol w:w="109"/>
        <w:gridCol w:w="109"/>
        <w:gridCol w:w="109"/>
        <w:gridCol w:w="196"/>
        <w:gridCol w:w="646"/>
        <w:gridCol w:w="109"/>
        <w:gridCol w:w="109"/>
        <w:gridCol w:w="109"/>
        <w:gridCol w:w="109"/>
        <w:gridCol w:w="154"/>
      </w:tblGrid>
      <w:tr>
        <w:trPr/>
        <w:tc>
          <w:tcPr>
            <w:tcW w:w="2165"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9,735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 (loss):</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investment securities available for sale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3,736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 relating to the items above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Comprehensive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12,527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24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26135"/>
                <wp:effectExtent l="0" t="0" r="0" b="0"/>
                <wp:wrapNone/>
                <wp:docPr id="6" name="Frame5"/>
                <a:graphic xmlns:a="http://schemas.openxmlformats.org/drawingml/2006/main">
                  <a:graphicData uri="http://schemas.microsoft.com/office/word/2010/wordprocessingShape">
                    <wps:wsp>
                      <wps:cNvSpPr txBox="1"/>
                      <wps:spPr>
                        <a:xfrm>
                          <a:off x="0" y="0"/>
                          <a:ext cx="6480175" cy="826135"/>
                        </a:xfrm>
                        <a:prstGeom prst="rect"/>
                      </wps:spPr>
                      <wps:txb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spacing w:before="0" w:after="283"/>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spacing w:before="0" w:after="283"/>
                        <w:ind w:left="0" w:right="0" w:firstLine="360"/>
                        <w:rPr/>
                      </w:pPr>
                      <w:r>
                        <w:rPr/>
                      </w:r>
                    </w:p>
                  </w:txbxContent>
                </v:textbox>
              </v:rect>
            </w:pict>
          </mc:Fallback>
        </mc:AlternateContent>
      </w:r>
    </w:p>
    <w:p>
      <w:pPr>
        <w:pStyle w:val="TextBody"/>
        <w:spacing w:before="0" w:after="240"/>
        <w:ind w:left="0" w:right="0" w:firstLine="360"/>
        <w:jc w:val="both"/>
        <w:rPr/>
      </w:pPr>
      <w:r>
        <w:rPr/>
      </w:r>
    </w:p>
    <w:tbl>
      <w:tblPr>
        <w:tblW w:w="5999" w:type="dxa"/>
        <w:jc w:val="center"/>
        <w:tblInd w:w="0" w:type="dxa"/>
        <w:tblCellMar>
          <w:top w:w="28" w:type="dxa"/>
          <w:left w:w="28" w:type="dxa"/>
          <w:bottom w:w="28" w:type="dxa"/>
          <w:right w:w="28" w:type="dxa"/>
        </w:tblCellMar>
      </w:tblPr>
      <w:tblGrid>
        <w:gridCol w:w="1919"/>
        <w:gridCol w:w="1688"/>
        <w:gridCol w:w="2392"/>
      </w:tblGrid>
      <w:tr>
        <w:trPr/>
        <w:tc>
          <w:tcPr>
            <w:tcW w:w="1919"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2392" w:type="dxa"/>
            <w:tcBorders/>
            <w:shd w:fill="auto" w:val="clear"/>
            <w:vAlign w:val="center"/>
          </w:tcPr>
          <w:p>
            <w:pPr>
              <w:pStyle w:val="TableContents"/>
              <w:spacing w:before="0" w:after="283"/>
              <w:rPr>
                <w:sz w:val="4"/>
                <w:szCs w:val="4"/>
              </w:rPr>
            </w:pPr>
            <w:r>
              <w:rPr>
                <w:sz w:val="4"/>
                <w:szCs w:val="4"/>
              </w:rPr>
            </w:r>
          </w:p>
        </w:tc>
      </w:tr>
      <w:tr>
        <w:trPr/>
        <w:tc>
          <w:tcPr>
            <w:tcW w:w="5999" w:type="dxa"/>
            <w:gridSpan w:val="3"/>
            <w:tcBorders>
              <w:top w:val="single" w:sz="16"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pPr>
            <w:r>
              <w:rPr>
                <w:rFonts w:ascii="Arial;sans-serif" w:hAnsi="Arial;sans-serif"/>
                <w:b/>
                <w:color w:val="000000"/>
                <w:sz w:val="16"/>
              </w:rPr>
              <w:t xml:space="preserve">Consolidated Statements of Changes in Stockholders’ Equity </w:t>
            </w:r>
            <w:r>
              <w:rPr>
                <w:rFonts w:ascii="Arial;sans-serif" w:hAnsi="Arial;sans-serif"/>
                <w:b/>
                <w:i/>
                <w:color w:val="000000"/>
                <w:sz w:val="16"/>
              </w:rPr>
              <w:t>(unaudited)</w:t>
            </w:r>
          </w:p>
        </w:tc>
      </w:tr>
    </w:tbl>
    <w:tbl>
      <w:tblPr>
        <w:tblW w:w="10205" w:type="dxa"/>
        <w:jc w:val="center"/>
        <w:tblInd w:w="0" w:type="dxa"/>
        <w:tblCellMar>
          <w:top w:w="28" w:type="dxa"/>
          <w:left w:w="28" w:type="dxa"/>
          <w:bottom w:w="28" w:type="dxa"/>
          <w:right w:w="28" w:type="dxa"/>
        </w:tblCellMar>
      </w:tblPr>
      <w:tblGrid>
        <w:gridCol w:w="1021"/>
        <w:gridCol w:w="544"/>
        <w:gridCol w:w="546"/>
        <w:gridCol w:w="488"/>
        <w:gridCol w:w="488"/>
        <w:gridCol w:w="186"/>
        <w:gridCol w:w="109"/>
        <w:gridCol w:w="109"/>
        <w:gridCol w:w="109"/>
        <w:gridCol w:w="196"/>
        <w:gridCol w:w="436"/>
        <w:gridCol w:w="109"/>
        <w:gridCol w:w="109"/>
        <w:gridCol w:w="109"/>
        <w:gridCol w:w="109"/>
        <w:gridCol w:w="196"/>
        <w:gridCol w:w="661"/>
        <w:gridCol w:w="109"/>
        <w:gridCol w:w="109"/>
        <w:gridCol w:w="109"/>
        <w:gridCol w:w="109"/>
        <w:gridCol w:w="196"/>
        <w:gridCol w:w="751"/>
        <w:gridCol w:w="109"/>
        <w:gridCol w:w="109"/>
        <w:gridCol w:w="109"/>
        <w:gridCol w:w="109"/>
        <w:gridCol w:w="289"/>
        <w:gridCol w:w="978"/>
        <w:gridCol w:w="163"/>
        <w:gridCol w:w="109"/>
        <w:gridCol w:w="109"/>
        <w:gridCol w:w="109"/>
        <w:gridCol w:w="196"/>
        <w:gridCol w:w="751"/>
        <w:gridCol w:w="157"/>
      </w:tblGrid>
      <w:tr>
        <w:trPr/>
        <w:tc>
          <w:tcPr>
            <w:tcW w:w="102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2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11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2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13,962,334</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54,306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144,533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(1,076)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197,903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10,211</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investment securities available for sale, net of income taxes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(6,747)</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(6,747)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27,028 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244</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164</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417</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($0.05 per share)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(700)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Balance, March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14,000,520</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55,226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153,949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(7,823)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201,492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2022</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14,138,829</w:t>
            </w: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58,190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182,435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(16,751)</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224,015</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Cumulative effect adjustment due to adoption of the CECL standard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9,735</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investment securities available for sale, net of income taxes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2,792</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63,064 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589</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28,081 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546</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438</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($0.06 per share)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(850)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and retired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(146,937)</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(2,719)</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Balance, March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14,083,037</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57,277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191,058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(13,959)</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234,517</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11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26135"/>
                <wp:effectExtent l="0" t="0" r="0" b="0"/>
                <wp:wrapNone/>
                <wp:docPr id="7" name="Frame6"/>
                <a:graphic xmlns:a="http://schemas.openxmlformats.org/drawingml/2006/main">
                  <a:graphicData uri="http://schemas.microsoft.com/office/word/2010/wordprocessingShape">
                    <wps:wsp>
                      <wps:cNvSpPr txBox="1"/>
                      <wps:spPr>
                        <a:xfrm>
                          <a:off x="0" y="0"/>
                          <a:ext cx="6480175" cy="826135"/>
                        </a:xfrm>
                        <a:prstGeom prst="rect"/>
                      </wps:spPr>
                      <wps:txb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spacing w:before="0" w:after="283"/>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spacing w:before="0" w:after="283"/>
                        <w:ind w:left="0" w:right="0" w:firstLine="360"/>
                        <w:rPr/>
                      </w:pPr>
                      <w:r>
                        <w:rPr/>
                      </w:r>
                    </w:p>
                  </w:txbxContent>
                </v:textbox>
              </v:rect>
            </w:pict>
          </mc:Fallback>
        </mc:AlternateContent>
      </w:r>
    </w:p>
    <w:tbl>
      <w:tblPr>
        <w:tblW w:w="5429" w:type="dxa"/>
        <w:jc w:val="center"/>
        <w:tblInd w:w="0" w:type="dxa"/>
        <w:tblCellMar>
          <w:top w:w="28" w:type="dxa"/>
          <w:left w:w="28" w:type="dxa"/>
          <w:bottom w:w="28" w:type="dxa"/>
          <w:right w:w="28" w:type="dxa"/>
        </w:tblCellMar>
      </w:tblPr>
      <w:tblGrid>
        <w:gridCol w:w="1737"/>
        <w:gridCol w:w="1527"/>
        <w:gridCol w:w="2165"/>
      </w:tblGrid>
      <w:tr>
        <w:trPr/>
        <w:tc>
          <w:tcPr>
            <w:tcW w:w="1737"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5429" w:type="dxa"/>
            <w:gridSpan w:val="3"/>
            <w:tcBorders>
              <w:top w:val="single" w:sz="16"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pPr>
            <w:r>
              <w:rPr>
                <w:rFonts w:ascii="Arial;sans-serif" w:hAnsi="Arial;sans-serif"/>
                <w:b/>
                <w:color w:val="000000"/>
                <w:sz w:val="16"/>
              </w:rPr>
              <w:t xml:space="preserve">Consolidated Statements of Cash Flows </w:t>
            </w:r>
            <w:r>
              <w:rPr>
                <w:rFonts w:ascii="Arial;sans-serif" w:hAnsi="Arial;sans-serif"/>
                <w:b/>
                <w:i/>
                <w:color w:val="000000"/>
                <w:sz w:val="16"/>
              </w:rPr>
              <w:t>(unaudited)</w:t>
            </w:r>
          </w:p>
        </w:tc>
      </w:tr>
    </w:tbl>
    <w:tbl>
      <w:tblPr>
        <w:tblW w:w="9641" w:type="dxa"/>
        <w:jc w:val="center"/>
        <w:tblInd w:w="0" w:type="dxa"/>
        <w:tblCellMar>
          <w:top w:w="28" w:type="dxa"/>
          <w:left w:w="28" w:type="dxa"/>
          <w:bottom w:w="28" w:type="dxa"/>
          <w:right w:w="28" w:type="dxa"/>
        </w:tblCellMar>
      </w:tblPr>
      <w:tblGrid>
        <w:gridCol w:w="2387"/>
        <w:gridCol w:w="2103"/>
        <w:gridCol w:w="2124"/>
        <w:gridCol w:w="232"/>
        <w:gridCol w:w="694"/>
        <w:gridCol w:w="119"/>
        <w:gridCol w:w="119"/>
        <w:gridCol w:w="119"/>
        <w:gridCol w:w="119"/>
        <w:gridCol w:w="232"/>
        <w:gridCol w:w="793"/>
        <w:gridCol w:w="119"/>
        <w:gridCol w:w="109"/>
        <w:gridCol w:w="109"/>
        <w:gridCol w:w="109"/>
        <w:gridCol w:w="154"/>
      </w:tblGrid>
      <w:tr>
        <w:trPr/>
        <w:tc>
          <w:tcPr>
            <w:tcW w:w="2387" w:type="dxa"/>
            <w:tcBorders/>
            <w:shd w:fill="auto" w:val="clear"/>
            <w:vAlign w:val="center"/>
          </w:tcPr>
          <w:p>
            <w:pPr>
              <w:pStyle w:val="TableContents"/>
              <w:spacing w:before="0" w:after="283"/>
              <w:rPr>
                <w:sz w:val="4"/>
                <w:szCs w:val="4"/>
              </w:rPr>
            </w:pPr>
            <w:r>
              <w:rPr>
                <w:sz w:val="4"/>
                <w:szCs w:val="4"/>
              </w:rPr>
            </w:r>
          </w:p>
        </w:tc>
        <w:tc>
          <w:tcPr>
            <w:tcW w:w="2103" w:type="dxa"/>
            <w:tcBorders/>
            <w:shd w:fill="auto" w:val="clear"/>
            <w:vAlign w:val="center"/>
          </w:tcPr>
          <w:p>
            <w:pPr>
              <w:pStyle w:val="TableContents"/>
              <w:spacing w:before="0" w:after="283"/>
              <w:rPr>
                <w:sz w:val="4"/>
                <w:szCs w:val="4"/>
              </w:rPr>
            </w:pPr>
            <w:r>
              <w:rPr>
                <w:sz w:val="4"/>
                <w:szCs w:val="4"/>
              </w:rPr>
            </w:r>
          </w:p>
        </w:tc>
        <w:tc>
          <w:tcPr>
            <w:tcW w:w="212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4"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9,735</w:t>
            </w: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1,660</w:t>
            </w: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mortgage put-back reserve, net</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Reversal of reserve for unfunded commitments</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(accretion) amortization on investments</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depreciation</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73</w:t>
            </w: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asset amortization</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266</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cash surrender value of BOLI</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(257)</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long term incentive plan expense</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152</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438</w:t>
            </w: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 and employee compensation paid in Company stock</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547</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benefit</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securities available for sale</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decrease on derivatives</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w:t>
            </w: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foreclosed real estate</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valuation of loans held for sale carried at fair value</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w:t>
            </w: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loans held for sale</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42,238</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111,830 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Originations of loans held for sale</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(44,448)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(111,087)</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1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accrued interest receivable</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(496)</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taxes payable</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2,927</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other assets</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86</w:t>
            </w: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accrued interest payable</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946</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other liabilities</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(3,414)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10,356</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maturities, calls and paydowns of securities available for sale</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490</w:t>
            </w: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(purchases) of restricted investments</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3,147</w:t>
            </w: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SBA-PPP loans receivable</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126</w:t>
            </w: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portfolio loans receivable</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(60,149)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changes in premises and equipment</w:t>
            </w:r>
          </w:p>
        </w:tc>
        <w:tc>
          <w:tcPr>
            <w:tcW w:w="9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(2,320)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foreclosed real estate</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(58,706)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56,081 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26135"/>
                <wp:effectExtent l="0" t="0" r="0" b="0"/>
                <wp:wrapNone/>
                <wp:docPr id="8" name="Frame7"/>
                <a:graphic xmlns:a="http://schemas.openxmlformats.org/drawingml/2006/main">
                  <a:graphicData uri="http://schemas.microsoft.com/office/word/2010/wordprocessingShape">
                    <wps:wsp>
                      <wps:cNvSpPr txBox="1"/>
                      <wps:spPr>
                        <a:xfrm>
                          <a:off x="0" y="0"/>
                          <a:ext cx="6480175" cy="826135"/>
                        </a:xfrm>
                        <a:prstGeom prst="rect"/>
                      </wps:spPr>
                      <wps:txb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spacing w:before="0" w:after="283"/>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spacing w:before="0" w:after="283"/>
                        <w:ind w:left="0" w:right="0" w:firstLine="360"/>
                        <w:rPr/>
                      </w:pPr>
                      <w:r>
                        <w:rPr/>
                      </w:r>
                    </w:p>
                  </w:txbxContent>
                </v:textbox>
              </v:rect>
            </w:pict>
          </mc:Fallback>
        </mc:AlternateContent>
      </w:r>
    </w:p>
    <w:tbl>
      <w:tblPr>
        <w:tblW w:w="5429" w:type="dxa"/>
        <w:jc w:val="center"/>
        <w:tblInd w:w="0" w:type="dxa"/>
        <w:tblCellMar>
          <w:top w:w="28" w:type="dxa"/>
          <w:left w:w="28" w:type="dxa"/>
          <w:bottom w:w="28" w:type="dxa"/>
          <w:right w:w="28" w:type="dxa"/>
        </w:tblCellMar>
      </w:tblPr>
      <w:tblGrid>
        <w:gridCol w:w="1737"/>
        <w:gridCol w:w="1527"/>
        <w:gridCol w:w="2165"/>
      </w:tblGrid>
      <w:tr>
        <w:trPr/>
        <w:tc>
          <w:tcPr>
            <w:tcW w:w="1737"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5429" w:type="dxa"/>
            <w:gridSpan w:val="3"/>
            <w:tcBorders>
              <w:top w:val="single" w:sz="16"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pPr>
            <w:r>
              <w:rPr>
                <w:rFonts w:ascii="Arial;sans-serif" w:hAnsi="Arial;sans-serif"/>
                <w:b/>
                <w:color w:val="000000"/>
                <w:sz w:val="16"/>
              </w:rPr>
              <w:t xml:space="preserve">Consolidated Statements of Cash Flows </w:t>
            </w:r>
            <w:r>
              <w:rPr>
                <w:rFonts w:ascii="Arial;sans-serif" w:hAnsi="Arial;sans-serif"/>
                <w:b/>
                <w:i/>
                <w:color w:val="000000"/>
                <w:sz w:val="16"/>
              </w:rPr>
              <w:t>(unaudited)</w:t>
            </w:r>
            <w:r>
              <w:rPr>
                <w:color w:val="000000"/>
              </w:rPr>
              <w:t xml:space="preserve"> </w:t>
            </w:r>
            <w:r>
              <w:rPr>
                <w:rFonts w:ascii="Arial;sans-serif" w:hAnsi="Arial;sans-serif"/>
                <w:b/>
                <w:color w:val="000000"/>
                <w:sz w:val="16"/>
              </w:rPr>
              <w:t>(Continued)</w:t>
            </w:r>
          </w:p>
        </w:tc>
      </w:tr>
    </w:tbl>
    <w:tbl>
      <w:tblPr>
        <w:tblW w:w="7105" w:type="dxa"/>
        <w:jc w:val="center"/>
        <w:tblInd w:w="0" w:type="dxa"/>
        <w:tblCellMar>
          <w:top w:w="28" w:type="dxa"/>
          <w:left w:w="28" w:type="dxa"/>
          <w:bottom w:w="28" w:type="dxa"/>
          <w:right w:w="28" w:type="dxa"/>
        </w:tblCellMar>
      </w:tblPr>
      <w:tblGrid>
        <w:gridCol w:w="1440"/>
        <w:gridCol w:w="1270"/>
        <w:gridCol w:w="1280"/>
        <w:gridCol w:w="211"/>
        <w:gridCol w:w="841"/>
        <w:gridCol w:w="109"/>
        <w:gridCol w:w="109"/>
        <w:gridCol w:w="109"/>
        <w:gridCol w:w="109"/>
        <w:gridCol w:w="211"/>
        <w:gridCol w:w="826"/>
        <w:gridCol w:w="109"/>
        <w:gridCol w:w="109"/>
        <w:gridCol w:w="109"/>
        <w:gridCol w:w="109"/>
        <w:gridCol w:w="154"/>
      </w:tblGrid>
      <w:tr>
        <w:trPr/>
        <w:tc>
          <w:tcPr>
            <w:tcW w:w="1440"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31,488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154,814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Federal Home Loan Bank advances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(850)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(2,719)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589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108,322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increase in cash and cash equivalents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59,972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beginning of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80,415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140,387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Noncash activities:</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unrealized losses on investments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3,736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paid during the period for:</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5,920</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26135"/>
                <wp:effectExtent l="0" t="0" r="0" b="0"/>
                <wp:wrapNone/>
                <wp:docPr id="9" name="Frame8"/>
                <a:graphic xmlns:a="http://schemas.openxmlformats.org/drawingml/2006/main">
                  <a:graphicData uri="http://schemas.microsoft.com/office/word/2010/wordprocessingShape">
                    <wps:wsp>
                      <wps:cNvSpPr txBox="1"/>
                      <wps:spPr>
                        <a:xfrm>
                          <a:off x="0" y="0"/>
                          <a:ext cx="6480175" cy="826135"/>
                        </a:xfrm>
                        <a:prstGeom prst="rect"/>
                      </wps:spPr>
                      <wps:txb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r>
                          </w:tbl>
                          <w:p>
                            <w:pPr>
                              <w:pStyle w:val="TextBody"/>
                              <w:spacing w:before="0" w:after="283"/>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CellMar>
                          <w:top w:w="28" w:type="dxa"/>
                          <w:left w:w="28" w:type="dxa"/>
                          <w:bottom w:w="28" w:type="dxa"/>
                          <w:right w:w="28" w:type="dxa"/>
                        </w:tblCellMar>
                      </w:tblPr>
                      <w:tblGrid>
                        <w:gridCol w:w="2125"/>
                        <w:gridCol w:w="1868"/>
                        <w:gridCol w:w="2651"/>
                      </w:tblGrid>
                      <w:tr>
                        <w:trPr/>
                        <w:tc>
                          <w:tcPr>
                            <w:tcW w:w="2125"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r>
                    </w:tbl>
                    <w:p>
                      <w:pPr>
                        <w:pStyle w:val="TextBody"/>
                        <w:spacing w:before="0" w:after="283"/>
                        <w:ind w:left="0" w:right="0" w:firstLine="360"/>
                        <w:rPr/>
                      </w:pPr>
                      <w:r>
                        <w:rPr/>
                      </w:r>
                    </w:p>
                  </w:txbxContent>
                </v:textbox>
              </v:rect>
            </w:pict>
          </mc:Fallback>
        </mc:AlternateContent>
      </w:r>
    </w:p>
    <w:p>
      <w:pPr>
        <w:pStyle w:val="TextBody"/>
        <w:spacing w:before="0" w:after="240"/>
        <w:jc w:val="center"/>
        <w:rPr/>
      </w:pPr>
      <w:r>
        <w:rPr/>
      </w:r>
    </w:p>
    <w:tbl>
      <w:tblPr>
        <w:tblW w:w="5894" w:type="dxa"/>
        <w:jc w:val="center"/>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w:t>
            </w:r>
          </w:p>
        </w:tc>
      </w:tr>
    </w:tbl>
    <w:p>
      <w:pPr>
        <w:pStyle w:val="TextBody"/>
        <w:spacing w:before="0" w:after="24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i/>
          <w:color w:val="000000"/>
          <w:sz w:val="20"/>
          <w:u w:val="single"/>
        </w:rPr>
      </w:pPr>
      <w:r>
        <w:rPr>
          <w:rFonts w:ascii="Arial;sans-serif" w:hAnsi="Arial;sans-serif"/>
          <w:b/>
          <w:i/>
          <w:color w:val="000000"/>
          <w:sz w:val="20"/>
          <w:u w:val="single"/>
        </w:rPr>
        <w:t>Nature of operations:</w:t>
      </w:r>
    </w:p>
    <w:p>
      <w:pPr>
        <w:pStyle w:val="TextBody"/>
        <w:spacing w:lineRule="auto" w:line="288" w:before="0" w:after="240"/>
        <w:ind w:left="0" w:right="0" w:firstLine="360"/>
        <w:jc w:val="both"/>
        <w:rPr/>
      </w:pPr>
      <w:r>
        <w:rPr>
          <w:rFonts w:ascii="Arial;sans-serif" w:hAnsi="Arial;sans-serif"/>
          <w:b w:val="false"/>
          <w:color w:val="000000"/>
          <w:sz w:val="20"/>
        </w:rPr>
        <w:t>Capital Bancorp, Inc. is a Maryland corporation and the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the Bank’s residential mortgage banking arm, and issues credit cards through OpenSky</w:t>
      </w:r>
      <w:r>
        <w:rPr>
          <w:rFonts w:ascii="Arial;sans-serif" w:hAnsi="Arial;sans-serif"/>
          <w:b w:val="false"/>
          <w:color w:val="000000"/>
          <w:sz w:val="13"/>
        </w:rPr>
        <w:t>®</w:t>
      </w:r>
      <w:r>
        <w:rPr>
          <w:rFonts w:ascii="Arial;sans-serif" w:hAnsi="Arial;sans-serif"/>
          <w:b w:val="false"/>
          <w:color w:val="000000"/>
          <w:sz w:val="20"/>
        </w:rPr>
        <w:t>, a secured, digitally-driven nationwide credit card platform.</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formed Church Street Capital, LLC (“Church Street Capital”) in 2014 to provide short-term secured real estate financing to Washington, D.C. area investors and developers that may not meet all Bank credit criteria. At March 31, 2023, Church Street Capital had loans totaling $8.3 million with a collectively assessed allowance for credit losses (“ACL”) of $57 thousand. Refer to Note 5 - Loans to the Unaudited Consolidated Financial Statements for further discussion of the consolidated ACL.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addition, the Company owns all of the stock of Capital Bancorp (MD) Statutory Trust I (the “Trust”). The Trust is a special purpose non-consolidated entity organized for the sole purpose of issuing trust preferred securities.</w:t>
      </w:r>
    </w:p>
    <w:p>
      <w:pPr>
        <w:pStyle w:val="TextBody"/>
        <w:spacing w:lineRule="auto" w:line="288" w:before="0" w:after="240"/>
        <w:rPr>
          <w:rFonts w:ascii="Arial;sans-serif" w:hAnsi="Arial;sans-serif"/>
          <w:b/>
          <w:i/>
          <w:color w:val="000000"/>
          <w:sz w:val="20"/>
          <w:u w:val="single"/>
        </w:rPr>
      </w:pPr>
      <w:r>
        <w:rPr>
          <w:rFonts w:ascii="Arial;sans-serif" w:hAnsi="Arial;sans-serif"/>
          <w:b/>
          <w:i/>
          <w:color w:val="000000"/>
          <w:sz w:val="20"/>
          <w:u w:val="single"/>
        </w:rPr>
        <w:t>Basis of presentation:</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include the activity of the Company and its wholly-owned subsidiaries, the Bank and Church Street Capital. The statements do not include all of the information and footnotes required by GAAP for complete financials statements. All adjustments have been made which, in the opinion of management, are necessary for a fair presentation of the results for the interim periods presented. Such adjustments are all of a normal and recurring nature. All significant inter-company accounts and transactions have been eliminated in consolidation. The results of operations for the three months ended March 31, 2023 are not necessarily indicative of the results that may be expected for the full year. These unaudited interim consolidated financial statements should be read in conjunction with the Company’s audited financial statements and the notes thereto as of December 31, 2022, included in the Company’s Annual Report on Form 10-K for the fiscal year ended December 31, 2022.</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reports its activities as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w:t>
      </w:r>
    </w:p>
    <w:p>
      <w:pPr>
        <w:pStyle w:val="TextBody"/>
        <w:spacing w:lineRule="auto" w:line="288" w:before="0" w:after="240"/>
        <w:rPr>
          <w:rFonts w:ascii="Arial;sans-serif" w:hAnsi="Arial;sans-serif"/>
          <w:b/>
          <w:i/>
          <w:color w:val="000000"/>
          <w:sz w:val="20"/>
          <w:u w:val="single"/>
        </w:rPr>
      </w:pPr>
      <w:r>
        <w:rPr>
          <w:rFonts w:ascii="Arial;sans-serif" w:hAnsi="Arial;sans-serif"/>
          <w:b/>
          <w:i/>
          <w:color w:val="000000"/>
          <w:sz w:val="20"/>
          <w:u w:val="single"/>
        </w:rPr>
        <w:t>Significant accounting policies: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historical experience and assumptions believed to be reasonable regarding the value of certain assets and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0" name="Frame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6240" w:type="dxa"/>
        <w:jc w:val="center"/>
        <w:tblInd w:w="0" w:type="dxa"/>
        <w:tblCellMar>
          <w:top w:w="28" w:type="dxa"/>
          <w:left w:w="28" w:type="dxa"/>
          <w:bottom w:w="28" w:type="dxa"/>
          <w:right w:w="28" w:type="dxa"/>
        </w:tblCellMar>
      </w:tblPr>
      <w:tblGrid>
        <w:gridCol w:w="1997"/>
        <w:gridCol w:w="1755"/>
        <w:gridCol w:w="2488"/>
      </w:tblGrid>
      <w:tr>
        <w:trPr/>
        <w:tc>
          <w:tcPr>
            <w:tcW w:w="199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spacing w:before="0" w:after="240"/>
              <w:rPr/>
            </w:pPr>
            <w:r>
              <w:rPr/>
            </w:r>
          </w:p>
        </w:tc>
      </w:tr>
      <w:tr>
        <w:trPr/>
        <w:tc>
          <w:tcPr>
            <w:tcW w:w="624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liabilities that are not readily available from other sources. Estimates are evaluated on an ongoing basis. Actual results may materially differ from these estimates under different assumptions or conditions.</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Cash and cash equivalents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purposes of reporting cash flows, cash and cash equivalents include cash on hand, amounts due from financial institutions, interest-bearing deposits with financial institutions and federal funds sold. Generally, federal funds are sold for one-day periods.</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Investment securities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are charged to income.</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Loans held for sale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Interest on loans held for sale is credited to income based on the principal amounts outstanding.</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Upon sale and delivery, loans are legally isolated from the Company and the Company has no ability to restrict or constrain the ability of third</w:t>
        <w:noBreakHyphen/>
        <w:t>party investors to pledge or exchange the mortgage loans. The Company does not have the entitlement or ability to repurchase the mortgage loans or unilaterally cause third</w:t>
        <w:noBreakHyphen/>
        <w:t>party investors to put the mortgage loans back to the Company. Unrealized and realized gains on loan sales are determined using the specific-identification method and are recognized through mortgage banking activity in the Consolidated Statements of Income.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elects to measure loans held for sale at fair value to better align reported results with the underlying economic changes in value of the loans on the Company’s balance sheet.</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U.S. Small Business Administration Paycheck Protection Program</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During the global COVID-19 pandemic, pursuant to the CARES Act and the Consolidated Appropriations Act, 2021, the United States Small Business Administration Payroll Protection Program (“SBA-PPP”) provided forgivable loans to small businesses to enable them to maintain payroll, hire back employees who had been laid off, and cover overhead. SBA-PPP loans have an interest rate of 1%, have two or five year terms, and carry a 100% guarantee of the SBA. The program ended on May 31, 2021. SBA-PPP are eligible to be forgiven by the SBA.</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1" name="Frame1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6240" w:type="dxa"/>
        <w:jc w:val="center"/>
        <w:tblInd w:w="0" w:type="dxa"/>
        <w:tblCellMar>
          <w:top w:w="28" w:type="dxa"/>
          <w:left w:w="28" w:type="dxa"/>
          <w:bottom w:w="28" w:type="dxa"/>
          <w:right w:w="28" w:type="dxa"/>
        </w:tblCellMar>
      </w:tblPr>
      <w:tblGrid>
        <w:gridCol w:w="1997"/>
        <w:gridCol w:w="1755"/>
        <w:gridCol w:w="2488"/>
      </w:tblGrid>
      <w:tr>
        <w:trPr/>
        <w:tc>
          <w:tcPr>
            <w:tcW w:w="199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spacing w:before="0" w:after="240"/>
              <w:rPr/>
            </w:pPr>
            <w:r>
              <w:rPr/>
            </w:r>
          </w:p>
        </w:tc>
      </w:tr>
      <w:tr>
        <w:trPr/>
        <w:tc>
          <w:tcPr>
            <w:tcW w:w="624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adjustment to yield using the effective interest method. The remaining net deferred income is recognized upon forgiveness of the loan. </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Portfolio loans and the allowance for credit losses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are stated at the principal amount outstanding, adjusted for deferred origination fees and costs, discounts on loans acquired, and the ACL. Interest is accrued based on the loan principal balances and stated interest rates. Origination fees and costs are recognized as an adjustment to the related loan yield using approximate interest methods. For credit card loans, loan origination fees and direct loan origination costs are amortized on a straight-line basis over a 12-month period.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are considered past due if the required principal and interest payments have not been received as of the date such payments were due. The Company discontinues the accrual of interest at the earlier of the date any portion of the principal and/or interest is 90 days past due, or at such time as we determine that it is probable that not all principal and interest payments will be collected, and that collateral is insufficient to discharge the debt in full. When the interest accrual is discontinued, all unpaid accrued interest is reversed from income. Generally, interest payments on nonaccrual loans are recorded as a reduction of the principal balance. Interest income is subsequently recognized only to the extent cash payments are received in excess of principal due.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are generally charged-off in part or in full when management determines the loan to be uncollectible. Factors for charge-off that may be considered include: repayments deemed to be extended out beyond reasonable time frames, client bankruptcy and lack of assets, and/or collateral deficiencies.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January 1, 2023, we adopted ASU 2016-13 “Financial Instruments – Credit Losses (Topic 326): Measurement of Credit Losses on Financial Instruments” (“ASU 2016-13”), which replaces the incurred loss methodology for determining our provision for credit losses and ACL with an expected loss methodology that is referred to as the Current Expected Credit Loss model (“CECL”). The measurement of expected credit losses under the CECL methodology is applicable to financial assets measured at amortized cost, including loans receivable and held-to-maturity (“HTM”) debt securities. It also applies to off-balance sheet credit exposures not accounted for as insurance (loan commitments, standby letters of credit, financial guarantees, and other similar instruments) and net investments in leases recognized by a lessor in accordance with ASU 2016-02 “Leases (Topic 842)”.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addition, ASU 2016-13 made changes to the accounting for AFS debt securities. One such change is to require credit-related impairments to be recognized as an ACL rather than as a write-down of the security’s amortized cost basis when the Company does not intend to sell or believes that the Company will be required to sell the securities prior to recovery of the security’s amortized cost basis. The Company adopted ASU 2016-13 using the modified retrospective method. Results for reporting periods beginning after January 1, 2023 are presented under ASU 2016-13 while prior period amounts continue to be reported in accordance with previously applicable GAAP. The Company does not own HTM debt securities. There was no ACL on available for sale securities at March 31, 2023.</w:t>
      </w:r>
    </w:p>
    <w:p>
      <w:pPr>
        <w:pStyle w:val="TextBody"/>
        <w:spacing w:before="0" w:after="240"/>
        <w:ind w:left="0" w:right="0" w:firstLine="360"/>
        <w:jc w:val="both"/>
        <w:rPr/>
      </w:pPr>
      <w:r>
        <w:rPr/>
      </w:r>
    </w:p>
    <w:p>
      <w:pPr>
        <w:pStyle w:val="TextBody"/>
        <w:spacing w:before="0" w:after="240"/>
        <w:ind w:left="0" w:right="0" w:firstLine="360"/>
        <w:jc w:val="both"/>
        <w:rPr/>
      </w:pPr>
      <w:r>
        <w:rPr/>
      </w:r>
    </w:p>
    <w:p>
      <w:pPr>
        <w:pStyle w:val="TextBody"/>
        <w:spacing w:before="0" w:after="240"/>
        <w:ind w:left="0" w:right="0" w:firstLine="360"/>
        <w:jc w:val="both"/>
        <w:rPr/>
      </w:pPr>
      <w:r>
        <w:rPr/>
      </w:r>
    </w:p>
    <w:p>
      <w:pPr>
        <w:pStyle w:val="TextBody"/>
        <w:spacing w:before="0" w:after="24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2" name="Frame1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6240" w:type="dxa"/>
        <w:jc w:val="center"/>
        <w:tblInd w:w="0" w:type="dxa"/>
        <w:tblCellMar>
          <w:top w:w="28" w:type="dxa"/>
          <w:left w:w="28" w:type="dxa"/>
          <w:bottom w:w="28" w:type="dxa"/>
          <w:right w:w="28" w:type="dxa"/>
        </w:tblCellMar>
      </w:tblPr>
      <w:tblGrid>
        <w:gridCol w:w="1997"/>
        <w:gridCol w:w="1755"/>
        <w:gridCol w:w="2488"/>
      </w:tblGrid>
      <w:tr>
        <w:trPr/>
        <w:tc>
          <w:tcPr>
            <w:tcW w:w="199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spacing w:before="0" w:after="240"/>
              <w:rPr/>
            </w:pPr>
            <w:r>
              <w:rPr/>
            </w:r>
          </w:p>
        </w:tc>
      </w:tr>
      <w:tr>
        <w:trPr/>
        <w:tc>
          <w:tcPr>
            <w:tcW w:w="624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illustrates the impact of the adoption of ASC 326, or the CECL standard. The adoption of the standard required an $804 thousand increase in the ACL and a $775 thousand reduction to the reserve for unfunded commitments (“RUC”). The improved precision of the calculation of the historical utilization of unfunded commitments gave rise to the reduction. The net impact of the adoption of the CECL standard to retained earnings was $29 thousand.</w:t>
      </w:r>
    </w:p>
    <w:tbl>
      <w:tblPr>
        <w:tblW w:w="10205" w:type="dxa"/>
        <w:jc w:val="left"/>
        <w:tblInd w:w="0" w:type="dxa"/>
        <w:tblCellMar>
          <w:top w:w="28" w:type="dxa"/>
          <w:left w:w="28" w:type="dxa"/>
          <w:bottom w:w="28" w:type="dxa"/>
          <w:right w:w="28" w:type="dxa"/>
        </w:tblCellMar>
      </w:tblPr>
      <w:tblGrid>
        <w:gridCol w:w="991"/>
        <w:gridCol w:w="840"/>
        <w:gridCol w:w="811"/>
        <w:gridCol w:w="109"/>
        <w:gridCol w:w="109"/>
        <w:gridCol w:w="109"/>
        <w:gridCol w:w="366"/>
        <w:gridCol w:w="1696"/>
        <w:gridCol w:w="189"/>
        <w:gridCol w:w="109"/>
        <w:gridCol w:w="109"/>
        <w:gridCol w:w="109"/>
        <w:gridCol w:w="320"/>
        <w:gridCol w:w="1483"/>
        <w:gridCol w:w="165"/>
        <w:gridCol w:w="109"/>
        <w:gridCol w:w="109"/>
        <w:gridCol w:w="109"/>
        <w:gridCol w:w="576"/>
        <w:gridCol w:w="1358"/>
        <w:gridCol w:w="429"/>
      </w:tblGrid>
      <w:tr>
        <w:trPr/>
        <w:tc>
          <w:tcPr>
            <w:tcW w:w="99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2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6" w:type="dxa"/>
            <w:gridSpan w:val="15"/>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January 1, 2023</w:t>
            </w:r>
          </w:p>
        </w:tc>
      </w:tr>
      <w:tr>
        <w:trPr/>
        <w:tc>
          <w:tcPr>
            <w:tcW w:w="26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Pre-adoption of the CECL standard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As Reported Under ASC 326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8"/>
              </w:rPr>
            </w:pPr>
            <w:r>
              <w:rPr>
                <w:rFonts w:ascii="Arial;sans-serif" w:hAnsi="Arial;sans-serif"/>
                <w:b/>
                <w:color w:val="000000"/>
                <w:sz w:val="18"/>
              </w:rPr>
              <w:t>Impact of adoption of the CECL standard</w:t>
            </w:r>
          </w:p>
        </w:tc>
      </w:tr>
      <w:tr>
        <w:trPr/>
        <w:tc>
          <w:tcPr>
            <w:tcW w:w="26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9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484,735 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3"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484,735 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8" w:type="dxa"/>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664,551 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664,551 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238,099 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238,099 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220,221 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220,221 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Credit card, net of reserve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128,434 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128,434 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Portfolio loans receivable, 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1,737,219 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1,737,219 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Deferred origination fees,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(8,627)</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(8,627)</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(26,385)</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(27,189)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(804)</w:t>
            </w:r>
          </w:p>
        </w:tc>
        <w:tc>
          <w:tcPr>
            <w:tcW w:w="4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Portfolio loans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1,702,207 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1,701,403 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(804)</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Liabilities: Reserve for unfunded commitments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(775)</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maintain an ACL that represents management’s estimate of the expected credit losses and risks inherent in our loan portfolio. The amount of the ACL should not be interpreted as an indication that charge-offs in future periods will necessarily occur in those amounts, or at all. The allowance immediately recognizes lifetime expected credit losses when a financial asset is originated or purchased. The ACL is a valuation account that is deducted from the amortized cost basis of loans to present the net amount expected to be collected on the loans. Loans, or portions thereof, are charged-off against the allowance when they are deemed uncollectible. Factors for charge-off that may be considered include: repayments deemed to be extended out beyond reasonable time frames, client bankruptcy and lack of assets, and/or collateral deficiencies. Expected recoveries do not exceed the aggregate of amounts previously charged-off and expected to be charged-off.</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determining the ACL, we estimate losses collectively based on quantitative analysis of historical credit losses adjusted for current conditions and reasonable and supportable forecasts of collectability of future cash flows over the remaining term of each financial instrument. The Company has elected to utilize a discounted cash flow methodology for all segments, except for the other consumer portfolio segment, which applies a simplified, remaining life approach. See further detail regarding our forecasting methodology in the “Discounted Cash Flow Method” section below.</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Quarterly, the Company utilizes a Qualitative Scorecard to consider the need to qualitatively adjust expected credit loss estimates for information not already captured in the quantitative loss estimation process, which may impact projected expected credit losses. The Qualitative Scorecard evaluates certain risk environments such as economic conditions, changes in the nature and volume of portfolios, changes in experience, depth, and ability of lending management, changes in volume and severity of past due loans and similar conditions, and changes in the value of underlying collateral. The scorecard results help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13" name="Frame1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6240" w:type="dxa"/>
        <w:jc w:val="center"/>
        <w:tblInd w:w="0" w:type="dxa"/>
        <w:tblCellMar>
          <w:top w:w="28" w:type="dxa"/>
          <w:left w:w="28" w:type="dxa"/>
          <w:bottom w:w="28" w:type="dxa"/>
          <w:right w:w="28" w:type="dxa"/>
        </w:tblCellMar>
      </w:tblPr>
      <w:tblGrid>
        <w:gridCol w:w="1997"/>
        <w:gridCol w:w="1755"/>
        <w:gridCol w:w="2488"/>
      </w:tblGrid>
      <w:tr>
        <w:trPr/>
        <w:tc>
          <w:tcPr>
            <w:tcW w:w="199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spacing w:before="0" w:after="240"/>
              <w:rPr/>
            </w:pPr>
            <w:r>
              <w:rPr/>
            </w:r>
          </w:p>
        </w:tc>
      </w:tr>
      <w:tr>
        <w:trPr/>
        <w:tc>
          <w:tcPr>
            <w:tcW w:w="624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to analyze directional consistency to risk conditions and circumstances that should be considered for each loan segment and to refine its estimates of expected credit losses. As of March 31, 2023, there have been no changes applied through the Qualitative Scorecard subsequent to implementation on January 1, 2023.</w:t>
      </w:r>
    </w:p>
    <w:p>
      <w:pPr>
        <w:pStyle w:val="TextBody"/>
        <w:spacing w:lineRule="auto" w:line="288" w:before="0" w:after="240"/>
        <w:ind w:left="0" w:right="0" w:firstLine="360"/>
        <w:jc w:val="both"/>
        <w:rPr>
          <w:rFonts w:ascii="Arial;sans-serif" w:hAnsi="Arial;sans-serif"/>
          <w:b w:val="false"/>
          <w:i/>
          <w:color w:val="000000"/>
          <w:sz w:val="20"/>
        </w:rPr>
      </w:pPr>
      <w:r>
        <w:rPr>
          <w:rFonts w:ascii="Arial;sans-serif" w:hAnsi="Arial;sans-serif"/>
          <w:b w:val="false"/>
          <w:i/>
          <w:color w:val="000000"/>
          <w:sz w:val="20"/>
        </w:rPr>
        <w:t>Discounted Cash Flow Method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uses the discounted cash flow (“DCF”) method to estimate expected credit losses for each portfolio loan segment, with the exception of credit card loans. For each of these loan segments, the Company generates cash flow projections at the instrument level wherein payment expectations are adjusted for estimated prepayment speed and for probability and severity of a loss. The expected credit losses derived from the DCF are estimated over the contractual term of the loans, adjusted for expected prepayments when appropriate. The modeling of expected prepayment speeds is based on historical internal data. The contractual term excludes expected extensions, renewals and modifications.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uses regression analysis of historical internal and peer data to determine suitable loss drivers to utilize when modeling lifetime probability of default and loss given default at the portfolio segment level. Probability of default primarily leverages a bottom-up historical analysis over the rates produced by the forecast model, adjusted for economic considerations and tested annually for reasonableness.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all DCF models, the Company has elected to use a four quarter forecast period consistently across all portfolio segments. After the forecasted period, the models will revert to a long run average of each economic factor over four quarters. The Company leverages economic projections from reputable and independent third parties to inform its loss driver forecast over the forecast period.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combination of adjustments for credit expectations (default and loss) and timing expectations (prepayment, curtailment, and time to recovery) produces an expected cash flow stream at the instrument level. An effective interest rate is calculated by the Company, adjusted for any net deferred fees or costs, premium, or discount existing at the origination or acquisition, to produce an instrument-level net present value of expected cash flows. The ACL reflects the difference between the amortized cost basis and the present value of the expected cash flows. </w:t>
      </w:r>
    </w:p>
    <w:p>
      <w:pPr>
        <w:pStyle w:val="TextBody"/>
        <w:spacing w:lineRule="auto" w:line="288" w:before="0" w:after="240"/>
        <w:ind w:left="0" w:right="0" w:firstLine="360"/>
        <w:jc w:val="both"/>
        <w:rPr>
          <w:rFonts w:ascii="Arial;sans-serif" w:hAnsi="Arial;sans-serif"/>
          <w:b w:val="false"/>
          <w:i/>
          <w:color w:val="000000"/>
          <w:sz w:val="20"/>
        </w:rPr>
      </w:pPr>
      <w:r>
        <w:rPr>
          <w:rFonts w:ascii="Arial;sans-serif" w:hAnsi="Arial;sans-serif"/>
          <w:b w:val="false"/>
          <w:i/>
          <w:color w:val="000000"/>
          <w:sz w:val="20"/>
        </w:rPr>
        <w:t>Individual Evaluation</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will evaluate individual instruments for expected credit losses when those instruments do not share similar risk characteristics with instruments evaluated using a collective basis. Instruments may be evaluated whether or not there is an expectation of collectability in place. Instruments evaluated individually are not included in the Company’s collective analysis. Collateral dependent or secured loans with respect to which the Company expects repayment to be provided substantially through the operation or sale of the collateral utilize a collateral-based methodology in which ACL is measured based on the difference between the net realizable value of the collateral and the amortized cost basis of the asset as of the measurement date. If the collateral valuation is equal to or greater than book value, no reserve is applied. If a loan is not collateral dependent, the loan will be analyzed based on a forecast of future cash flows.</w:t>
      </w:r>
    </w:p>
    <w:p>
      <w:pPr>
        <w:pStyle w:val="TextBody"/>
        <w:spacing w:before="0" w:after="240"/>
        <w:ind w:left="0" w:right="0" w:firstLine="360"/>
        <w:jc w:val="both"/>
        <w:rPr/>
      </w:pPr>
      <w:r>
        <w:rPr/>
      </w:r>
    </w:p>
    <w:p>
      <w:pPr>
        <w:pStyle w:val="TextBody"/>
        <w:spacing w:before="0" w:after="24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14" name="Frame1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6240" w:type="dxa"/>
        <w:jc w:val="center"/>
        <w:tblInd w:w="0" w:type="dxa"/>
        <w:tblCellMar>
          <w:top w:w="28" w:type="dxa"/>
          <w:left w:w="28" w:type="dxa"/>
          <w:bottom w:w="28" w:type="dxa"/>
          <w:right w:w="28" w:type="dxa"/>
        </w:tblCellMar>
      </w:tblPr>
      <w:tblGrid>
        <w:gridCol w:w="1997"/>
        <w:gridCol w:w="1755"/>
        <w:gridCol w:w="2488"/>
      </w:tblGrid>
      <w:tr>
        <w:trPr/>
        <w:tc>
          <w:tcPr>
            <w:tcW w:w="199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spacing w:before="0" w:after="240"/>
              <w:rPr/>
            </w:pPr>
            <w:r>
              <w:rPr/>
            </w:r>
          </w:p>
        </w:tc>
      </w:tr>
      <w:tr>
        <w:trPr/>
        <w:tc>
          <w:tcPr>
            <w:tcW w:w="624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spacing w:lineRule="auto" w:line="288" w:before="0" w:after="240"/>
        <w:ind w:left="0" w:right="0" w:firstLine="360"/>
        <w:jc w:val="both"/>
        <w:rPr>
          <w:rFonts w:ascii="Arial;sans-serif" w:hAnsi="Arial;sans-serif"/>
          <w:b w:val="false"/>
          <w:i/>
          <w:color w:val="000000"/>
          <w:sz w:val="20"/>
        </w:rPr>
      </w:pPr>
      <w:r>
        <w:rPr>
          <w:rFonts w:ascii="Arial;sans-serif" w:hAnsi="Arial;sans-serif"/>
          <w:b w:val="false"/>
          <w:i/>
          <w:color w:val="000000"/>
          <w:sz w:val="20"/>
        </w:rPr>
        <w:t>Credit Losses on Off-Balance Sheet Credit Exposures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Company’s financial instruments include off-balance sheet credit instruments such as unfunded commitments to make loans, commercial letters of credit issued, and commitments to fund other investments. The Company’s maximum exposure to credit loss in the event of nonperformance by the other party to the financial instrument for off-balance sheet loan commitments is represented by the contractual amount of the credit commitment. Loan commitments and lines of credit are generally made on the same terms, including with regard to collateral, as outstanding loans.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maintains an RUC on off-balance sheet credit exposures through a provision reflected in other liabilities. Increases or decreases in the reserve are charged to or released from operating expense. The RUC on off-balance credit exposures is estimated by loan segment at each balance sheet date under the current expected credit loss model based on the segment loss factor and the estimated utilization rate of the unfunded commitments. The Company has analyzed its historic funding behavior at the segment level to determine an expected utilization rate. </w:t>
      </w:r>
    </w:p>
    <w:p>
      <w:pPr>
        <w:pStyle w:val="TextBody"/>
        <w:spacing w:lineRule="auto" w:line="288" w:before="0" w:after="240"/>
        <w:ind w:left="0" w:right="0" w:firstLine="360"/>
        <w:jc w:val="both"/>
        <w:rPr/>
      </w:pPr>
      <w:r>
        <w:rPr>
          <w:rFonts w:ascii="Arial;sans-serif" w:hAnsi="Arial;sans-serif"/>
          <w:b w:val="false"/>
          <w:color w:val="000000"/>
          <w:sz w:val="20"/>
        </w:rPr>
        <w:t xml:space="preserve">The above methodology for determining an appropriate ACL is based on a comprehensive and consistently applied analysis of the loan portfolio in accordance ASC 326. The analysis considers all significant factors that affect the expected collectibility of the portfolio and supports the expected credit losses estimated by this process. It is important to recognize that the related process, methodology, and underlying assumptions require a substantial degree of judgment. Additional disclosure on the ACL, and qualitative factors can be found in Part II, Item 1A - Risk Factors and </w:t>
      </w:r>
      <w:r>
        <w:rPr>
          <w:rFonts w:ascii="Arial;sans-serif" w:hAnsi="Arial;sans-serif"/>
          <w:b w:val="false"/>
          <w:i/>
          <w:color w:val="000000"/>
          <w:sz w:val="20"/>
        </w:rPr>
        <w:t>Note 5 - Portfolio Loans Receivable</w:t>
      </w:r>
      <w:r>
        <w:rPr>
          <w:rFonts w:ascii="Arial;sans-serif" w:hAnsi="Arial;sans-serif"/>
          <w:b w:val="false"/>
          <w:color w:val="000000"/>
          <w:sz w:val="20"/>
        </w:rPr>
        <w:t>.</w:t>
      </w:r>
    </w:p>
    <w:p>
      <w:pPr>
        <w:pStyle w:val="TextBody"/>
        <w:spacing w:lineRule="auto" w:line="288" w:before="0" w:after="240"/>
        <w:ind w:left="0" w:right="0" w:firstLine="360"/>
        <w:jc w:val="both"/>
        <w:rPr>
          <w:rFonts w:ascii="Arial;sans-serif" w:hAnsi="Arial;sans-serif"/>
          <w:b w:val="false"/>
          <w:i/>
          <w:color w:val="000000"/>
          <w:sz w:val="20"/>
        </w:rPr>
      </w:pPr>
      <w:r>
        <w:rPr>
          <w:rFonts w:ascii="Arial;sans-serif" w:hAnsi="Arial;sans-serif"/>
          <w:b w:val="false"/>
          <w:i/>
          <w:color w:val="000000"/>
          <w:sz w:val="20"/>
        </w:rPr>
        <w:t>Credit Losses on SBA-PPP loans and interest receivable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ACL for SBA-PPP loans was separately evaluated given the explicit government guarantee. The Company has incorporated historical experience with similar SBA guarantees and underwriting adjusted for reasonable and supportable forecasts and concluded the expected credit loss is zero and, therefore, no allowance has been assigned to these loans.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does not measure an ACL on accrued interest receivable balances because these balances are written off in a timely manner as a reduction to interest income when loans are placed on nonaccrual status.</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Premises and equipment</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Premises and equipment are stated at cost less accumulated depreciation and amortization. Depreciation and amortization are computed using the straight-line method over the estimated useful lives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The costs of major renewals and improvements are capitalized with the corresponding costs associated with amortization or depreciation included as a component of occupancy and equipment expense. Expenditures for maintenance, repairs and minor replacements are charged to noninterest expenses as incurred.</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Leases</w:t>
      </w:r>
    </w:p>
    <w:p>
      <w:pPr>
        <w:pStyle w:val="TextBody"/>
        <w:spacing w:lineRule="auto" w:line="288" w:before="0" w:after="240"/>
        <w:ind w:left="0" w:right="0" w:firstLine="360"/>
        <w:jc w:val="both"/>
        <w:rPr/>
      </w:pPr>
      <w:r>
        <w:rPr>
          <w:rFonts w:ascii="Arial;sans-serif" w:hAnsi="Arial;sans-serif"/>
          <w:b w:val="false"/>
          <w:color w:val="000000"/>
          <w:sz w:val="20"/>
        </w:rPr>
        <w:t xml:space="preserve">The Company accounts for leases according to ASU 2016-02, </w:t>
      </w:r>
      <w:r>
        <w:rPr>
          <w:rFonts w:ascii="Arial;sans-serif" w:hAnsi="Arial;sans-serif"/>
          <w:b w:val="false"/>
          <w:i/>
          <w:color w:val="000000"/>
          <w:sz w:val="20"/>
        </w:rPr>
        <w:t xml:space="preserve">Leases (Topic 842), </w:t>
      </w:r>
      <w:r>
        <w:rPr>
          <w:rFonts w:ascii="Arial;sans-serif" w:hAnsi="Arial;sans-serif"/>
          <w:b w:val="false"/>
          <w:color w:val="000000"/>
          <w:sz w:val="20"/>
        </w:rPr>
        <w:t xml:space="preserve">and applies a right-of-use (“ROU”) model that requires a lessee to record, for all leases with a lease term of more than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15" name="Frame1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6240" w:type="dxa"/>
        <w:jc w:val="center"/>
        <w:tblInd w:w="0" w:type="dxa"/>
        <w:tblCellMar>
          <w:top w:w="28" w:type="dxa"/>
          <w:left w:w="28" w:type="dxa"/>
          <w:bottom w:w="28" w:type="dxa"/>
          <w:right w:w="28" w:type="dxa"/>
        </w:tblCellMar>
      </w:tblPr>
      <w:tblGrid>
        <w:gridCol w:w="1997"/>
        <w:gridCol w:w="1755"/>
        <w:gridCol w:w="2488"/>
      </w:tblGrid>
      <w:tr>
        <w:trPr/>
        <w:tc>
          <w:tcPr>
            <w:tcW w:w="199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spacing w:before="0" w:after="240"/>
              <w:rPr/>
            </w:pPr>
            <w:r>
              <w:rPr/>
            </w:r>
          </w:p>
        </w:tc>
      </w:tr>
      <w:tr>
        <w:trPr/>
        <w:tc>
          <w:tcPr>
            <w:tcW w:w="624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pStyle w:val="TextBody"/>
        <w:spacing w:lineRule="auto" w:line="288" w:before="0" w:after="240"/>
        <w:rPr/>
      </w:pPr>
      <w:r>
        <w:rPr>
          <w:rFonts w:ascii="Arial;sans-serif" w:hAnsi="Arial;sans-serif"/>
          <w:b w:val="false"/>
          <w:color w:val="000000"/>
          <w:sz w:val="20"/>
          <w:u w:val="single"/>
        </w:rPr>
        <w:t>Derivative financial instruments</w:t>
      </w:r>
      <w:r>
        <w:rPr>
          <w:color w:val="000000"/>
          <w:u w:val="single"/>
        </w:rPr>
        <w:t xml:space="preserve">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 </w:t>
      </w:r>
    </w:p>
    <w:p>
      <w:pPr>
        <w:pStyle w:val="TextBody"/>
        <w:spacing w:lineRule="auto" w:line="288" w:before="0" w:after="240"/>
        <w:ind w:left="0" w:right="0" w:firstLine="360"/>
        <w:jc w:val="both"/>
        <w:rPr/>
      </w:pPr>
      <w:r>
        <w:rPr>
          <w:rFonts w:ascii="Arial;sans-serif" w:hAnsi="Arial;sans-serif"/>
          <w:b w:val="false"/>
          <w:color w:val="000000"/>
          <w:sz w:val="20"/>
        </w:rPr>
        <w:t xml:space="preserve">The Company accounts for derivative instruments and hedging activities according to guidelines established in ASC 815-10, </w:t>
      </w:r>
      <w:r>
        <w:rPr>
          <w:rFonts w:ascii="Arial;sans-serif" w:hAnsi="Arial;sans-serif"/>
          <w:b w:val="false"/>
          <w:i/>
          <w:color w:val="000000"/>
          <w:sz w:val="20"/>
        </w:rPr>
        <w:t>Accounting for Derivative Instruments and Hedging Activities</w:t>
      </w:r>
      <w:r>
        <w:rPr>
          <w:rFonts w:ascii="Arial;sans-serif" w:hAnsi="Arial;sans-serif"/>
          <w:b w:val="false"/>
          <w:color w:val="000000"/>
          <w:sz w:val="20"/>
        </w:rPr>
        <w:t>, as amended. The Company recognizes all derivatives as either assets or liabilities on the 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 As of March 31, 2023, there were no derivative instruments held which would require recognition by the Company.</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 xml:space="preserve">Fair value measurements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16" name="Frame1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6240" w:type="dxa"/>
        <w:jc w:val="center"/>
        <w:tblInd w:w="0" w:type="dxa"/>
        <w:tblCellMar>
          <w:top w:w="28" w:type="dxa"/>
          <w:left w:w="28" w:type="dxa"/>
          <w:bottom w:w="28" w:type="dxa"/>
          <w:right w:w="28" w:type="dxa"/>
        </w:tblCellMar>
      </w:tblPr>
      <w:tblGrid>
        <w:gridCol w:w="1997"/>
        <w:gridCol w:w="1755"/>
        <w:gridCol w:w="2488"/>
      </w:tblGrid>
      <w:tr>
        <w:trPr/>
        <w:tc>
          <w:tcPr>
            <w:tcW w:w="199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spacing w:before="0" w:after="240"/>
              <w:rPr/>
            </w:pPr>
            <w:r>
              <w:rPr/>
            </w:r>
          </w:p>
        </w:tc>
      </w:tr>
      <w:tr>
        <w:trPr/>
        <w:tc>
          <w:tcPr>
            <w:tcW w:w="624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spacing w:lineRule="auto" w:line="288" w:before="0" w:after="240"/>
        <w:ind w:left="0" w:right="0" w:firstLine="360"/>
        <w:jc w:val="both"/>
        <w:rPr/>
      </w:pPr>
      <w:r>
        <w:rPr>
          <w:rFonts w:ascii="Arial;sans-serif" w:hAnsi="Arial;sans-serif"/>
          <w:b w:val="false"/>
          <w:color w:val="000000"/>
          <w:sz w:val="20"/>
        </w:rPr>
        <w:t xml:space="preserve">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w:t>
      </w:r>
      <w:r>
        <w:rPr>
          <w:rFonts w:ascii="Arial;sans-serif" w:hAnsi="Arial;sans-serif"/>
          <w:b w:val="false"/>
          <w:i/>
          <w:color w:val="000000"/>
          <w:sz w:val="20"/>
        </w:rPr>
        <w:t>Note 8 - Fair Value</w:t>
      </w:r>
      <w:r>
        <w:rPr>
          <w:rFonts w:ascii="Arial;sans-serif" w:hAnsi="Arial;sans-serif"/>
          <w:b w:val="false"/>
          <w:color w:val="000000"/>
          <w:sz w:val="20"/>
        </w:rPr>
        <w:t>.</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Bank-owned life insurance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had $36.8 million of bank-owned life insurance at March 31, 2023 and $36.5 million at December 31, 2022.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recognized income on bank-owned life insurance, which is included in other noninterest income, of $257 thousand for the three months ended March 31, 2023 and $252 thousand for the three months ended March 31, 2022. </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Income taxes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Deferred tax assets and liabilities are determined based on the difference between the financial statement and tax basis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Earnings per share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March 31, 2023, there were 293,032 stock options excluded from the calculation as their effect would have been anti-dilutive, whereas at March 31, 2022 there were 141,857 such options.</w:t>
      </w:r>
    </w:p>
    <w:p>
      <w:pPr>
        <w:pStyle w:val="TextBody"/>
        <w:spacing w:lineRule="auto" w:line="288" w:before="0" w:after="240"/>
        <w:rPr>
          <w:rFonts w:ascii="Arial;sans-serif" w:hAnsi="Arial;sans-serif"/>
          <w:b w:val="false"/>
          <w:color w:val="000000"/>
          <w:sz w:val="20"/>
          <w:u w:val="single"/>
        </w:rPr>
      </w:pPr>
      <w:r>
        <w:rPr>
          <w:rFonts w:ascii="Arial;sans-serif" w:hAnsi="Arial;sans-serif"/>
          <w:b w:val="false"/>
          <w:color w:val="000000"/>
          <w:sz w:val="20"/>
          <w:u w:val="single"/>
        </w:rPr>
        <w:t>Comprehensive loss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reports as comprehensive loss all changes in stockholders' equity during the year from sources other than stockholders. Other comprehensive loss refers to all components (income, expenses, gains, and losses) of comprehensive loss that are excluded from net income.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only component of other comprehensive loss is unrealized losses on investment securities available for sale, net of income taxes. Information concerning the Company's accumulated other comprehensive loss as of March 31, 2023 and December 31, 2022 is as follows:</w:t>
      </w:r>
    </w:p>
    <w:tbl>
      <w:tblPr>
        <w:tblW w:w="7987" w:type="dxa"/>
        <w:jc w:val="left"/>
        <w:tblInd w:w="0" w:type="dxa"/>
        <w:tblCellMar>
          <w:top w:w="28" w:type="dxa"/>
          <w:left w:w="28" w:type="dxa"/>
          <w:bottom w:w="28" w:type="dxa"/>
          <w:right w:w="28" w:type="dxa"/>
        </w:tblCellMar>
      </w:tblPr>
      <w:tblGrid>
        <w:gridCol w:w="1481"/>
        <w:gridCol w:w="1308"/>
        <w:gridCol w:w="1320"/>
        <w:gridCol w:w="109"/>
        <w:gridCol w:w="109"/>
        <w:gridCol w:w="109"/>
        <w:gridCol w:w="266"/>
        <w:gridCol w:w="1006"/>
        <w:gridCol w:w="137"/>
        <w:gridCol w:w="109"/>
        <w:gridCol w:w="109"/>
        <w:gridCol w:w="109"/>
        <w:gridCol w:w="330"/>
        <w:gridCol w:w="1245"/>
        <w:gridCol w:w="240"/>
      </w:tblGrid>
      <w:tr>
        <w:trPr/>
        <w:tc>
          <w:tcPr>
            <w:tcW w:w="1481"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4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(18,680)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(22,416)</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5,665 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accumulated comprehensive loss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(13,959)</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(16,751)</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Arial;sans-serif" w:hAnsi="Arial;sans-serif"/>
          <w:b/>
          <w:i/>
          <w:color w:val="000000"/>
          <w:sz w:val="20"/>
          <w:u w:val="single"/>
        </w:rPr>
      </w:pPr>
      <w:r>
        <w:rPr>
          <w:rFonts w:ascii="Arial;sans-serif" w:hAnsi="Arial;sans-serif"/>
          <w:b/>
          <w:i/>
          <w:color w:val="000000"/>
          <w:sz w:val="20"/>
          <w:u w:val="single"/>
        </w:rPr>
        <w:t>Recently issued accounting pronouncements: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March 2020, the FASB released ASU 2020-04 - Reference Rate Reform, Topic 848, which provides temporary guidance to ease the potential accounting burden in accounting for, or recognizing the effects from, reference rate reform on financial reporting. The new standard is a result of London Interbank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17" name="Frame1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6240" w:type="dxa"/>
        <w:jc w:val="center"/>
        <w:tblInd w:w="0" w:type="dxa"/>
        <w:tblCellMar>
          <w:top w:w="28" w:type="dxa"/>
          <w:left w:w="28" w:type="dxa"/>
          <w:bottom w:w="28" w:type="dxa"/>
          <w:right w:w="28" w:type="dxa"/>
        </w:tblCellMar>
      </w:tblPr>
      <w:tblGrid>
        <w:gridCol w:w="1997"/>
        <w:gridCol w:w="1755"/>
        <w:gridCol w:w="2488"/>
      </w:tblGrid>
      <w:tr>
        <w:trPr/>
        <w:tc>
          <w:tcPr>
            <w:tcW w:w="199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spacing w:before="0" w:after="240"/>
              <w:rPr/>
            </w:pPr>
            <w:r>
              <w:rPr/>
            </w:r>
          </w:p>
        </w:tc>
      </w:tr>
      <w:tr>
        <w:trPr/>
        <w:tc>
          <w:tcPr>
            <w:tcW w:w="624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Offered Rate (“LIBOR”) likely being discontinued as an available benchmark rate. The standard is elective and provides optional expedients and exceptions for applying GAAP to contracts, hedging relationships, or other transactions that reference LIBOR, or another reference rate expected to be discontinued. The amendments in the update are effective for all entities between March 12, 2020 and an extended sunset date of December 31, 2024 which was extended by ASU 2022-06 issued by FASB in December 2022. The Company is currently evaluating products and preparing to offer new rates. The adoption of this guidance is not expected to have a material impact on the Company’s financial statements.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Other accounting standards that have been issued or proposed by the FASB or other standards-setting bodies are not expected to have a material impact on the Company's financial position, results of operations or cash flows.</w:t>
      </w:r>
    </w:p>
    <w:p>
      <w:pPr>
        <w:pStyle w:val="TextBody"/>
        <w:spacing w:lineRule="auto" w:line="288" w:before="0" w:after="240"/>
        <w:rPr>
          <w:rFonts w:ascii="Arial;sans-serif" w:hAnsi="Arial;sans-serif"/>
          <w:b/>
          <w:i/>
          <w:color w:val="000000"/>
          <w:sz w:val="20"/>
          <w:u w:val="single"/>
        </w:rPr>
      </w:pPr>
      <w:r>
        <w:rPr>
          <w:rFonts w:ascii="Arial;sans-serif" w:hAnsi="Arial;sans-serif"/>
          <w:b/>
          <w:i/>
          <w:color w:val="000000"/>
          <w:sz w:val="20"/>
          <w:u w:val="single"/>
        </w:rPr>
        <w:t>Reclassifications: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Certain reclassifications have been made to amounts reported in prior periods to conform to the current period presentation. The reclassifications had no material effect on net income or total stockholders' equity.</w:t>
      </w:r>
    </w:p>
    <w:p>
      <w:pPr>
        <w:pStyle w:val="TextBody"/>
        <w:spacing w:lineRule="auto" w:line="288" w:before="0" w:after="240"/>
        <w:rPr>
          <w:rFonts w:ascii="Arial;sans-serif" w:hAnsi="Arial;sans-serif"/>
          <w:b/>
          <w:i/>
          <w:color w:val="000000"/>
          <w:sz w:val="20"/>
          <w:u w:val="single"/>
        </w:rPr>
      </w:pPr>
      <w:r>
        <w:rPr>
          <w:rFonts w:ascii="Arial;sans-serif" w:hAnsi="Arial;sans-serif"/>
          <w:b/>
          <w:i/>
          <w:color w:val="000000"/>
          <w:sz w:val="20"/>
          <w:u w:val="single"/>
        </w:rPr>
        <w:t>Subsequent events: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color w:val="000000"/>
          <w:sz w:val="20"/>
        </w:rPr>
      </w:pPr>
      <w:r>
        <w:rPr>
          <w:rFonts w:ascii="Arial;sans-serif" w:hAnsi="Arial;sans-serif"/>
          <w:b/>
          <w:color w:val="000000"/>
          <w:sz w:val="20"/>
        </w:rPr>
        <w:t>Note 2 - Cash and Cash Equivalents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Cash and cash equivalents include cash and amounts due from banks, interest-bearing deposits and federal funds sold. The Bank is required by regulations to maintain an average cash reserve balance based on a percentage of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color w:val="000000"/>
          <w:sz w:val="20"/>
        </w:rPr>
      </w:pPr>
      <w:r>
        <w:rPr>
          <w:rFonts w:ascii="Arial;sans-serif" w:hAnsi="Arial;sans-serif"/>
          <w:b/>
          <w:color w:val="000000"/>
          <w:sz w:val="20"/>
        </w:rPr>
        <w:t>Note 3 - Investment Securities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amortized cost and estimated fair value of investment securities at March 31, 2023 and December 31, 2022 are summarized as follows: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8650"/>
                <wp:effectExtent l="0" t="0" r="0" b="0"/>
                <wp:wrapNone/>
                <wp:docPr id="18" name="Frame1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center"/>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3 - Investment Securities (continued)</w:t>
            </w:r>
          </w:p>
        </w:tc>
      </w:tr>
    </w:tbl>
    <w:tbl>
      <w:tblPr>
        <w:tblW w:w="7596" w:type="dxa"/>
        <w:jc w:val="center"/>
        <w:tblInd w:w="0" w:type="dxa"/>
        <w:tblCellMar>
          <w:top w:w="28" w:type="dxa"/>
          <w:left w:w="28" w:type="dxa"/>
          <w:bottom w:w="28" w:type="dxa"/>
          <w:right w:w="28" w:type="dxa"/>
        </w:tblCellMar>
      </w:tblPr>
      <w:tblGrid>
        <w:gridCol w:w="779"/>
        <w:gridCol w:w="688"/>
        <w:gridCol w:w="692"/>
        <w:gridCol w:w="109"/>
        <w:gridCol w:w="109"/>
        <w:gridCol w:w="109"/>
        <w:gridCol w:w="196"/>
        <w:gridCol w:w="751"/>
        <w:gridCol w:w="109"/>
        <w:gridCol w:w="109"/>
        <w:gridCol w:w="109"/>
        <w:gridCol w:w="109"/>
        <w:gridCol w:w="260"/>
        <w:gridCol w:w="540"/>
        <w:gridCol w:w="146"/>
        <w:gridCol w:w="109"/>
        <w:gridCol w:w="109"/>
        <w:gridCol w:w="109"/>
        <w:gridCol w:w="196"/>
        <w:gridCol w:w="721"/>
        <w:gridCol w:w="109"/>
        <w:gridCol w:w="109"/>
        <w:gridCol w:w="109"/>
        <w:gridCol w:w="109"/>
        <w:gridCol w:w="196"/>
        <w:gridCol w:w="751"/>
        <w:gridCol w:w="154"/>
      </w:tblGrid>
      <w:tr>
        <w:trPr/>
        <w:tc>
          <w:tcPr>
            <w:tcW w:w="779"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215,545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(13,228)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202,317</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10,812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(2,412)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8,400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5,000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4,617</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7,708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7,494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35,377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(2,443)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32,934</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274,442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(18,680)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255,762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were no securities sold during the three months ended March 31, 2023 or the three months ended March 31, 2022. There was no ACL on available for sale securities at March 31, 2023.</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Information related to unrealized losses in the investment portfolio as of March 31, 2023 and December 31, 2022 is summarized as follows:</w:t>
      </w:r>
    </w:p>
    <w:tbl>
      <w:tblPr>
        <w:tblW w:w="10205" w:type="dxa"/>
        <w:jc w:val="center"/>
        <w:tblInd w:w="0" w:type="dxa"/>
        <w:tblCellMar>
          <w:top w:w="28" w:type="dxa"/>
          <w:left w:w="28" w:type="dxa"/>
          <w:bottom w:w="28" w:type="dxa"/>
          <w:right w:w="28" w:type="dxa"/>
        </w:tblCellMar>
      </w:tblPr>
      <w:tblGrid>
        <w:gridCol w:w="859"/>
        <w:gridCol w:w="758"/>
        <w:gridCol w:w="515"/>
        <w:gridCol w:w="109"/>
        <w:gridCol w:w="109"/>
        <w:gridCol w:w="109"/>
        <w:gridCol w:w="196"/>
        <w:gridCol w:w="736"/>
        <w:gridCol w:w="109"/>
        <w:gridCol w:w="109"/>
        <w:gridCol w:w="109"/>
        <w:gridCol w:w="109"/>
        <w:gridCol w:w="211"/>
        <w:gridCol w:w="619"/>
        <w:gridCol w:w="119"/>
        <w:gridCol w:w="109"/>
        <w:gridCol w:w="109"/>
        <w:gridCol w:w="109"/>
        <w:gridCol w:w="196"/>
        <w:gridCol w:w="751"/>
        <w:gridCol w:w="109"/>
        <w:gridCol w:w="109"/>
        <w:gridCol w:w="109"/>
        <w:gridCol w:w="109"/>
        <w:gridCol w:w="196"/>
        <w:gridCol w:w="675"/>
        <w:gridCol w:w="109"/>
        <w:gridCol w:w="109"/>
        <w:gridCol w:w="109"/>
        <w:gridCol w:w="109"/>
        <w:gridCol w:w="196"/>
        <w:gridCol w:w="751"/>
        <w:gridCol w:w="109"/>
        <w:gridCol w:w="109"/>
        <w:gridCol w:w="109"/>
        <w:gridCol w:w="109"/>
        <w:gridCol w:w="196"/>
        <w:gridCol w:w="675"/>
        <w:gridCol w:w="158"/>
      </w:tblGrid>
      <w:tr>
        <w:trPr/>
        <w:tc>
          <w:tcPr>
            <w:tcW w:w="85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12 months or longer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r>
      <w:tr>
        <w:trPr/>
        <w:tc>
          <w:tcPr>
            <w:tcW w:w="2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82,762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(910)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119,555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(12,318)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202,317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(13,228)</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978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(173)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7,422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8,400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(2,412)</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(383)</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7,494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7,494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(214)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12,500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(499)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20,434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(1,944)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32,934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(2,443)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96,240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(1,582)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159,522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(17,098)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255,762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(18,680)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(16,037)</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government-sponsored enterprises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(2,803)</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March 31, 2023, there were sixteen treasury securities, eight municipal securities, five corporate securities, three asset-backed securities, and seven mortgage-backed securities that had been in an unrealized loss position for greater than twelve months. At December 31, 2022 there were sixteen treasury securities, seven municipal securities, five corporate securities, one asset-backed security, and three mortgage-backed securities that had been in an unrealized loss position for greater than twelve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8650"/>
                <wp:effectExtent l="0" t="0" r="0" b="0"/>
                <wp:wrapNone/>
                <wp:docPr id="19" name="Frame1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center"/>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3 - Investment Securities (continued)</w:t>
            </w:r>
          </w:p>
        </w:tc>
      </w:tr>
    </w:tbl>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months. Management believes that all unrealized losses at March 31, 2023 and December 31, 2022 resulted from temporary changes in interest rates and current market conditions and not as a result of credit deterioration. Management has the ability and the intent to hold these investment securities until maturity or until they recover in value. Pledged securities totaled $150.0 million at March 31, 2023 and $0 at December 31, 2022.</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Contractual maturities of U.S. government and government-sponsored agencies, asset-backed, municipal, corporate and mortgage-backed securities at March 31, 2023 and December 31, 2022 are shown below. Actual maturities may differ from contractual maturities because issuers may have the right to call or prepay obligations with or without call premiums or prepayment penalties.</w:t>
      </w:r>
    </w:p>
    <w:tbl>
      <w:tblPr>
        <w:tblW w:w="7827" w:type="dxa"/>
        <w:jc w:val="left"/>
        <w:tblInd w:w="0" w:type="dxa"/>
        <w:tblCellMar>
          <w:top w:w="28" w:type="dxa"/>
          <w:left w:w="28" w:type="dxa"/>
          <w:bottom w:w="28" w:type="dxa"/>
          <w:right w:w="28" w:type="dxa"/>
        </w:tblCellMar>
      </w:tblPr>
      <w:tblGrid>
        <w:gridCol w:w="823"/>
        <w:gridCol w:w="725"/>
        <w:gridCol w:w="732"/>
        <w:gridCol w:w="109"/>
        <w:gridCol w:w="109"/>
        <w:gridCol w:w="109"/>
        <w:gridCol w:w="196"/>
        <w:gridCol w:w="751"/>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54"/>
      </w:tblGrid>
      <w:tr>
        <w:trPr/>
        <w:tc>
          <w:tcPr>
            <w:tcW w:w="823"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Within one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73,951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73,093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Over one to five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78,098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73,088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Over five to ten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69,004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61,248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Over ten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10,304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7,905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Asset-backed securities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7,708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7,494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Mortgage-backed securities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35,377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32,934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274,442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255,762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_______________</w:t>
      </w:r>
    </w:p>
    <w:p>
      <w:pPr>
        <w:pStyle w:val="TextBody"/>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Asset-backed and Mortgage-backed securities are due in monthly installments.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0" name="Frame1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center"/>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 xml:space="preserve">Note 4 - SBA-PPP Loans Receivable </w:t>
            </w:r>
          </w:p>
        </w:tc>
      </w:tr>
    </w:tbl>
    <w:p>
      <w:pPr>
        <w:pStyle w:val="TextBody"/>
        <w:spacing w:before="0" w:after="240"/>
        <w:ind w:left="0" w:right="0" w:firstLine="36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SBA-PPP gross loans receivable totaled $2.1 million at March 31, 2023, and $2.2 million at December 31, 2022, and were all rated as pass credits and were not past due, nonaccrual, TDR, or otherwise impaired. Unearned net fees associated with the SBA-PPP loans amounted to $31 thousand at March 31, 2023 and December 31, 2022. SBA-PPP loans generated income of $8 thousand for the three months ended March 31, 2023 and $2.1 million for the three months ended March 31, 2022, of which, earned fees, primarily on loans forgiven by the SBA, represented $2 thousand and $1.9 million of the income,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color w:val="000000"/>
          <w:sz w:val="20"/>
        </w:rPr>
      </w:pPr>
      <w:r>
        <w:rPr>
          <w:rFonts w:ascii="Arial;sans-serif" w:hAnsi="Arial;sans-serif"/>
          <w:b/>
          <w:color w:val="000000"/>
          <w:sz w:val="20"/>
        </w:rPr>
        <w:t>Note 5 - Portfolio Loans Receivable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Major classifications of portfolio loans receivable as are as follows:</w:t>
      </w:r>
    </w:p>
    <w:tbl>
      <w:tblPr>
        <w:tblW w:w="8413" w:type="dxa"/>
        <w:jc w:val="center"/>
        <w:tblInd w:w="0" w:type="dxa"/>
        <w:tblCellMar>
          <w:top w:w="28" w:type="dxa"/>
          <w:left w:w="28" w:type="dxa"/>
          <w:bottom w:w="28" w:type="dxa"/>
          <w:right w:w="28" w:type="dxa"/>
        </w:tblCellMar>
      </w:tblPr>
      <w:tblGrid>
        <w:gridCol w:w="988"/>
        <w:gridCol w:w="868"/>
        <w:gridCol w:w="873"/>
        <w:gridCol w:w="109"/>
        <w:gridCol w:w="109"/>
        <w:gridCol w:w="109"/>
        <w:gridCol w:w="211"/>
        <w:gridCol w:w="991"/>
        <w:gridCol w:w="109"/>
        <w:gridCol w:w="109"/>
        <w:gridCol w:w="109"/>
        <w:gridCol w:w="109"/>
        <w:gridCol w:w="231"/>
        <w:gridCol w:w="235"/>
        <w:gridCol w:w="392"/>
        <w:gridCol w:w="109"/>
        <w:gridCol w:w="109"/>
        <w:gridCol w:w="109"/>
        <w:gridCol w:w="211"/>
        <w:gridCol w:w="976"/>
        <w:gridCol w:w="109"/>
        <w:gridCol w:w="109"/>
        <w:gridCol w:w="109"/>
        <w:gridCol w:w="109"/>
        <w:gridCol w:w="231"/>
        <w:gridCol w:w="235"/>
        <w:gridCol w:w="445"/>
      </w:tblGrid>
      <w:tr>
        <w:trPr/>
        <w:tc>
          <w:tcPr>
            <w:tcW w:w="98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Portfolio Loan Categories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545,899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484,735 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660,218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251,494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221,258</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9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4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card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112,860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1,578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loans receivable, 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1,793,307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origination fees,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(7,198)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(26,216)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loans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1,759,893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makes loans to customers located primarily in the Washington, D.C. and Baltimore, Maryland metropolitan areas. Although the loan portfolio is diversified, its performance is influenced by the regional economy. The Company’s loan categories, excluding SBA-PPP loans, previously discussed in Note 4, are described below. </w:t>
      </w:r>
    </w:p>
    <w:p>
      <w:pPr>
        <w:pStyle w:val="TextBody"/>
        <w:spacing w:lineRule="auto" w:line="288" w:before="0" w:after="240"/>
        <w:ind w:left="0" w:right="0" w:firstLine="360"/>
        <w:jc w:val="both"/>
        <w:rPr/>
      </w:pPr>
      <w:r>
        <w:rPr>
          <w:rFonts w:ascii="Arial;sans-serif" w:hAnsi="Arial;sans-serif"/>
          <w:b w:val="false"/>
          <w:i/>
          <w:color w:val="000000"/>
          <w:sz w:val="20"/>
        </w:rPr>
        <w:t>Residential Real Estate Loans</w:t>
      </w:r>
      <w:r>
        <w:rPr>
          <w:rFonts w:ascii="Arial;sans-serif" w:hAnsi="Arial;sans-serif"/>
          <w:b w:val="false"/>
          <w:color w:val="000000"/>
          <w:sz w:val="20"/>
        </w:rPr>
        <w:t xml:space="preserve">. One-to-four family mortgage loans are primarily secured by owner-occupied primary residences and, to a lesser extent, investor-owned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 </w:t>
      </w:r>
    </w:p>
    <w:p>
      <w:pPr>
        <w:pStyle w:val="TextBody"/>
        <w:spacing w:lineRule="auto" w:line="288" w:before="0" w:after="240"/>
        <w:ind w:left="0" w:right="0" w:firstLine="360"/>
        <w:jc w:val="both"/>
        <w:rPr/>
      </w:pPr>
      <w:r>
        <w:rPr>
          <w:rFonts w:ascii="Arial;sans-serif" w:hAnsi="Arial;sans-serif"/>
          <w:b w:val="false"/>
          <w:i/>
          <w:color w:val="000000"/>
          <w:sz w:val="20"/>
        </w:rPr>
        <w:t>Commercial Real Estate Loans</w:t>
      </w:r>
      <w:r>
        <w:rPr>
          <w:rFonts w:ascii="Arial;sans-serif" w:hAnsi="Arial;sans-serif"/>
          <w:b w:val="false"/>
          <w:color w:val="000000"/>
          <w:sz w:val="20"/>
        </w:rPr>
        <w:t xml:space="preserve">. Commercial real estate loans are originated on owner-occupied and non-owner-occupied properties. These 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March 31, 2023, there were approximately $377.4 million of owner-occupied commercial real estate loans, representing approximately 21.0% of the loan portfolio.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1" name="Frame2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pStyle w:val="TextBody"/>
        <w:spacing w:lineRule="auto" w:line="288" w:before="0" w:after="240"/>
        <w:ind w:left="0" w:right="0" w:firstLine="360"/>
        <w:jc w:val="both"/>
        <w:rPr/>
      </w:pPr>
      <w:r>
        <w:rPr>
          <w:rFonts w:ascii="Arial;sans-serif" w:hAnsi="Arial;sans-serif"/>
          <w:b w:val="false"/>
          <w:i/>
          <w:color w:val="000000"/>
          <w:sz w:val="20"/>
        </w:rPr>
        <w:t>Construction Loans</w:t>
      </w:r>
      <w:r>
        <w:rPr>
          <w:rFonts w:ascii="Arial;sans-serif" w:hAnsi="Arial;sans-serif"/>
          <w:b w:val="false"/>
          <w:color w:val="000000"/>
          <w:sz w:val="20"/>
        </w:rPr>
        <w:t>. Construction loans are offered within the Company’s Washington, D.C. and Baltimore, Maryland metropolitan operating 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although exceptions are sometimes made. Semi-annual stress testing of the construction loan portfolio is conducted, and underlying real estate conditions are monitored as well as trends in sales outcomes versus underwriting valuations as part of ongoing risk management efforts. The borrowers’ progress in construction buildout is monitored to enforce the original underwriting guidelines for construction milestones and completion timelines.</w:t>
      </w:r>
    </w:p>
    <w:p>
      <w:pPr>
        <w:pStyle w:val="TextBody"/>
        <w:spacing w:lineRule="auto" w:line="288" w:before="0" w:after="240"/>
        <w:ind w:left="0" w:right="0" w:firstLine="360"/>
        <w:jc w:val="both"/>
        <w:rPr/>
      </w:pPr>
      <w:r>
        <w:rPr>
          <w:rFonts w:ascii="Arial;sans-serif" w:hAnsi="Arial;sans-serif"/>
          <w:b w:val="false"/>
          <w:i/>
          <w:color w:val="000000"/>
          <w:sz w:val="20"/>
        </w:rPr>
        <w:t>Commercial and Industrial</w:t>
      </w:r>
      <w:r>
        <w:rPr>
          <w:rFonts w:ascii="Arial;sans-serif" w:hAnsi="Arial;sans-serif"/>
          <w:b w:val="false"/>
          <w:color w:val="000000"/>
          <w:sz w:val="20"/>
        </w:rPr>
        <w:t>. In addition to other loan products, general commercial loans, including commercial lines of credit, working 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pStyle w:val="TextBody"/>
        <w:spacing w:lineRule="auto" w:line="288" w:before="0" w:after="240"/>
        <w:ind w:left="0" w:right="0" w:firstLine="360"/>
        <w:jc w:val="both"/>
        <w:rPr/>
      </w:pPr>
      <w:r>
        <w:rPr>
          <w:rFonts w:ascii="Arial;sans-serif" w:hAnsi="Arial;sans-serif"/>
          <w:b w:val="false"/>
          <w:i/>
          <w:color w:val="000000"/>
          <w:sz w:val="20"/>
        </w:rPr>
        <w:t>Credit Cards</w:t>
      </w:r>
      <w:r>
        <w:rPr>
          <w:rFonts w:ascii="Arial;sans-serif" w:hAnsi="Arial;sans-serif"/>
          <w:b w:val="false"/>
          <w:color w:val="000000"/>
          <w:sz w:val="20"/>
        </w:rPr>
        <w:t>. Through the OpenSky</w:t>
      </w:r>
      <w:r>
        <w:rPr>
          <w:rFonts w:ascii="Arial;sans-serif" w:hAnsi="Arial;sans-serif"/>
          <w:b w:val="false"/>
          <w:color w:val="000000"/>
          <w:sz w:val="13"/>
        </w:rPr>
        <w:t xml:space="preserve">® </w:t>
      </w:r>
      <w:r>
        <w:rPr>
          <w:rFonts w:ascii="Arial;sans-serif" w:hAnsi="Arial;sans-serif"/>
          <w:b w:val="false"/>
          <w:color w:val="000000"/>
          <w:sz w:val="20"/>
        </w:rPr>
        <w:t>credit card division, the Company offers secured, partially secured, and unsecured credit cards on a nationwide basis to under-banked populations and those looking to rebuild their credit scores through a fully digital and mobile platform. The secured lines of credit are secured by a noninterest-bearing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repayments, but ultimately determined on a case-by-case basis). Partially secured and unsecured credit cards are only extended to existing secured card customers who have demonstrated sound credit behaviors. Approximately $89.1 million and $109.4 million in secured and partially secured credit card balances were protected by savings deposits held by the Company as of March 31, 2023 and December 31, 2022, respectively. Unsecured balances were $25.8 million and $26.8 million, respectively, for the same periods.</w:t>
      </w:r>
    </w:p>
    <w:p>
      <w:pPr>
        <w:pStyle w:val="TextBody"/>
        <w:spacing w:lineRule="auto" w:line="288" w:before="0" w:after="240"/>
        <w:ind w:left="0" w:right="0" w:firstLine="360"/>
        <w:jc w:val="both"/>
        <w:rPr/>
      </w:pPr>
      <w:r>
        <w:rPr>
          <w:rFonts w:ascii="Arial;sans-serif" w:hAnsi="Arial;sans-serif"/>
          <w:b w:val="false"/>
          <w:i/>
          <w:color w:val="000000"/>
          <w:sz w:val="20"/>
        </w:rPr>
        <w:t>Other Consumer Loans</w:t>
      </w:r>
      <w:r>
        <w:rPr>
          <w:rFonts w:ascii="Arial;sans-serif" w:hAnsi="Arial;sans-serif"/>
          <w:b w:val="false"/>
          <w:color w:val="000000"/>
          <w:sz w:val="20"/>
        </w:rPr>
        <w:t>. To a limited extent and typically as an accommodation to existing customers, personal consumer loans, such as term loans, car loans and boat loans are offered.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Loans acquired through acquisitions are recorded at estimated fair value on their purchase date with no carryover of the related ACL.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at acquisition, the difference between the contractually required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2" name="Frame2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payments and expected cash flows are recorded as a non-accretable discount. The remaining non-accretable discount on loans acquired was $285 thousand as of March 31, 2023 and December 31, 2022. Loans with non-accretable discounts had carrying values of $769 thousand and $781 thousand as of March 31, 2023 and December 31, 2022, respectively. There were no loans purchased with credit deterioration during the three months ended March 31, 2023.</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set forth the changes in the ACL and an allocation of the ACL by loan segment class for the three months ended March 31, 2023 and March 31, 2022.</w:t>
      </w:r>
    </w:p>
    <w:tbl>
      <w:tblPr>
        <w:tblW w:w="10205" w:type="dxa"/>
        <w:jc w:val="center"/>
        <w:tblInd w:w="0" w:type="dxa"/>
        <w:tblCellMar>
          <w:top w:w="28" w:type="dxa"/>
          <w:left w:w="28" w:type="dxa"/>
          <w:bottom w:w="28" w:type="dxa"/>
          <w:right w:w="28" w:type="dxa"/>
        </w:tblCellMar>
      </w:tblPr>
      <w:tblGrid>
        <w:gridCol w:w="714"/>
        <w:gridCol w:w="351"/>
        <w:gridCol w:w="341"/>
        <w:gridCol w:w="109"/>
        <w:gridCol w:w="109"/>
        <w:gridCol w:w="109"/>
        <w:gridCol w:w="309"/>
        <w:gridCol w:w="1042"/>
        <w:gridCol w:w="171"/>
        <w:gridCol w:w="109"/>
        <w:gridCol w:w="109"/>
        <w:gridCol w:w="109"/>
        <w:gridCol w:w="284"/>
        <w:gridCol w:w="866"/>
        <w:gridCol w:w="157"/>
        <w:gridCol w:w="109"/>
        <w:gridCol w:w="109"/>
        <w:gridCol w:w="109"/>
        <w:gridCol w:w="209"/>
        <w:gridCol w:w="610"/>
        <w:gridCol w:w="116"/>
        <w:gridCol w:w="109"/>
        <w:gridCol w:w="109"/>
        <w:gridCol w:w="109"/>
        <w:gridCol w:w="241"/>
        <w:gridCol w:w="704"/>
        <w:gridCol w:w="136"/>
        <w:gridCol w:w="109"/>
        <w:gridCol w:w="109"/>
        <w:gridCol w:w="109"/>
        <w:gridCol w:w="269"/>
        <w:gridCol w:w="557"/>
        <w:gridCol w:w="150"/>
        <w:gridCol w:w="109"/>
        <w:gridCol w:w="109"/>
        <w:gridCol w:w="109"/>
        <w:gridCol w:w="196"/>
        <w:gridCol w:w="661"/>
        <w:gridCol w:w="159"/>
      </w:tblGrid>
      <w:tr>
        <w:trPr/>
        <w:tc>
          <w:tcPr>
            <w:tcW w:w="71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Beginning</w:t>
              <w:br/>
              <w:t>Balance, Prior to Adoption of the CECL 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Impact of Adopting the CECL 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Provision for</w:t>
              <w:br/>
              <w:t>Credit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Charge-Offs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Recoveries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Ending</w:t>
              <w:br/>
              <w:t>Balance</w:t>
            </w:r>
          </w:p>
        </w:tc>
      </w:tr>
      <w:tr>
        <w:trPr/>
        <w:tc>
          <w:tcPr>
            <w:tcW w:w="1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5,481</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(1,198)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1,125</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5,408</w:t>
            </w: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8,098</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3,941</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(2,165)</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9,874</w:t>
            </w: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3,782</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(1,973)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(56)</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1,753</w:t>
            </w: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2,935</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1,073</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940</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(943)</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w:t>
            </w: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4,015</w:t>
            </w: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6,078</w:t>
            </w: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(1,045)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1,818</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(1,702)</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w:t>
            </w: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5,151</w:t>
            </w: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w:t>
            </w: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26,385</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804</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1,660</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(2,645)</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12</w:t>
            </w: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26,216</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r>
        <w:trPr/>
        <w:tc>
          <w:tcPr>
            <w:tcW w:w="1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r>
    </w:tbl>
    <w:tbl>
      <w:tblPr>
        <w:tblW w:w="10025" w:type="dxa"/>
        <w:jc w:val="center"/>
        <w:tblInd w:w="0" w:type="dxa"/>
        <w:tblCellMar>
          <w:top w:w="28" w:type="dxa"/>
          <w:left w:w="28" w:type="dxa"/>
          <w:bottom w:w="28" w:type="dxa"/>
          <w:right w:w="28" w:type="dxa"/>
        </w:tblCellMar>
      </w:tblPr>
      <w:tblGrid>
        <w:gridCol w:w="1072"/>
        <w:gridCol w:w="945"/>
        <w:gridCol w:w="952"/>
        <w:gridCol w:w="109"/>
        <w:gridCol w:w="109"/>
        <w:gridCol w:w="109"/>
        <w:gridCol w:w="196"/>
        <w:gridCol w:w="646"/>
        <w:gridCol w:w="109"/>
        <w:gridCol w:w="109"/>
        <w:gridCol w:w="109"/>
        <w:gridCol w:w="109"/>
        <w:gridCol w:w="109"/>
        <w:gridCol w:w="109"/>
        <w:gridCol w:w="324"/>
        <w:gridCol w:w="695"/>
        <w:gridCol w:w="180"/>
        <w:gridCol w:w="109"/>
        <w:gridCol w:w="109"/>
        <w:gridCol w:w="109"/>
        <w:gridCol w:w="285"/>
        <w:gridCol w:w="636"/>
        <w:gridCol w:w="160"/>
        <w:gridCol w:w="109"/>
        <w:gridCol w:w="109"/>
        <w:gridCol w:w="109"/>
        <w:gridCol w:w="269"/>
        <w:gridCol w:w="557"/>
        <w:gridCol w:w="150"/>
        <w:gridCol w:w="109"/>
        <w:gridCol w:w="109"/>
        <w:gridCol w:w="109"/>
        <w:gridCol w:w="196"/>
        <w:gridCol w:w="646"/>
        <w:gridCol w:w="154"/>
      </w:tblGrid>
      <w:tr>
        <w:trPr/>
        <w:tc>
          <w:tcPr>
            <w:tcW w:w="107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Beginning</w:t>
              <w:br/>
              <w:t>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Provision for</w:t>
              <w:br/>
              <w:t>Credit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Charge-Offs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Recoveries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Ending</w:t>
              <w:br/>
              <w:t>Balance</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99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3" name="Frame2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mentioned in Note 1, the ACL is believed to adequately provide for expected credit losses on existing loans. A major consideration in the determination of the allowance for credit loss on the credit card portfolio is based on historical loss experience in that portfolio. The Company calculates the credit card ACL collectively, applying segmentation based on collateral positions: secured, partially secured, and unsecured.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tables present, by class and reserving methodology, the allocation of the ACL and the gross investment in loans. The ACL consists of specific and general components. The specific component relates to loans that are individually assessed for expected credit losses. The general component covers loans collectively assessed as they represent loans with similar risk characteristics. </w:t>
      </w:r>
    </w:p>
    <w:tbl>
      <w:tblPr>
        <w:tblW w:w="7342" w:type="dxa"/>
        <w:jc w:val="center"/>
        <w:tblInd w:w="0" w:type="dxa"/>
        <w:tblCellMar>
          <w:top w:w="28" w:type="dxa"/>
          <w:left w:w="28" w:type="dxa"/>
          <w:bottom w:w="28" w:type="dxa"/>
          <w:right w:w="28" w:type="dxa"/>
        </w:tblCellMar>
      </w:tblPr>
      <w:tblGrid>
        <w:gridCol w:w="725"/>
        <w:gridCol w:w="640"/>
        <w:gridCol w:w="645"/>
        <w:gridCol w:w="109"/>
        <w:gridCol w:w="109"/>
        <w:gridCol w:w="109"/>
        <w:gridCol w:w="226"/>
        <w:gridCol w:w="503"/>
        <w:gridCol w:w="127"/>
        <w:gridCol w:w="109"/>
        <w:gridCol w:w="109"/>
        <w:gridCol w:w="109"/>
        <w:gridCol w:w="196"/>
        <w:gridCol w:w="661"/>
        <w:gridCol w:w="109"/>
        <w:gridCol w:w="109"/>
        <w:gridCol w:w="109"/>
        <w:gridCol w:w="109"/>
        <w:gridCol w:w="196"/>
        <w:gridCol w:w="661"/>
        <w:gridCol w:w="109"/>
        <w:gridCol w:w="109"/>
        <w:gridCol w:w="109"/>
        <w:gridCol w:w="109"/>
        <w:gridCol w:w="196"/>
        <w:gridCol w:w="886"/>
        <w:gridCol w:w="154"/>
      </w:tblGrid>
      <w:tr>
        <w:trPr/>
        <w:tc>
          <w:tcPr>
            <w:tcW w:w="725"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Allowance for Credit Losses</w:t>
              <w:br/>
              <w:t>Ending Balance Evaluated</w:t>
              <w:br/>
              <w:t>for Impairment: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Outstanding Portfolio </w:t>
              <w:br/>
              <w:t>Loan Balances Evaluated</w:t>
              <w:br/>
              <w:t>for Impairment:</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Individually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Collectively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Individually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Collectively</w:t>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234</w:t>
            </w: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5,174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12,482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533,417</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9,874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659,626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1,753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248,692</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w:t>
            </w: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3,994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220,854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5,151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112,860</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1,578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255</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25,961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16,280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1,777,027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9"/>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480,447 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235,262 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219,516 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1,727,826 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4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24" name="Frame2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Past due loans, segregated by age and class of loans, as of March 31, 2023 and December 31, 2022 were as follows:</w:t>
      </w:r>
    </w:p>
    <w:tbl>
      <w:tblPr>
        <w:tblW w:w="11635" w:type="dxa"/>
        <w:jc w:val="center"/>
        <w:tblInd w:w="0" w:type="dxa"/>
        <w:tblCellMar>
          <w:top w:w="28" w:type="dxa"/>
          <w:left w:w="28" w:type="dxa"/>
          <w:bottom w:w="28" w:type="dxa"/>
          <w:right w:w="28" w:type="dxa"/>
        </w:tblCellMar>
      </w:tblPr>
      <w:tblGrid>
        <w:gridCol w:w="460"/>
        <w:gridCol w:w="389"/>
        <w:gridCol w:w="202"/>
        <w:gridCol w:w="109"/>
        <w:gridCol w:w="109"/>
        <w:gridCol w:w="109"/>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61"/>
        <w:gridCol w:w="109"/>
        <w:gridCol w:w="109"/>
        <w:gridCol w:w="109"/>
        <w:gridCol w:w="109"/>
        <w:gridCol w:w="196"/>
        <w:gridCol w:w="886"/>
        <w:gridCol w:w="109"/>
        <w:gridCol w:w="109"/>
        <w:gridCol w:w="109"/>
        <w:gridCol w:w="109"/>
        <w:gridCol w:w="196"/>
        <w:gridCol w:w="886"/>
        <w:gridCol w:w="109"/>
        <w:gridCol w:w="109"/>
        <w:gridCol w:w="109"/>
        <w:gridCol w:w="109"/>
        <w:gridCol w:w="196"/>
        <w:gridCol w:w="421"/>
        <w:gridCol w:w="109"/>
        <w:gridCol w:w="109"/>
        <w:gridCol w:w="109"/>
        <w:gridCol w:w="109"/>
        <w:gridCol w:w="196"/>
        <w:gridCol w:w="661"/>
        <w:gridCol w:w="154"/>
      </w:tblGrid>
      <w:tr>
        <w:trPr/>
        <w:tc>
          <w:tcPr>
            <w:tcW w:w="4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5"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Portfolio Loans 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Loans</w:t>
              <w:br/>
              <w:t>30-59 Days</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Loans</w:t>
              <w:br/>
              <w:t>60-89 Days</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Loans</w:t>
              <w:br/>
              <w:t>90 or More</w:t>
              <w:br/>
              <w:t>Days</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 Past</w:t>
              <w:br/>
              <w:t>Due Loans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Current</w:t>
              <w:br/>
              <w:t>Loans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Portfolio</w:t>
              <w:br/>
              <w:t>Loans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Accruing</w:t>
              <w:br/>
              <w:t>Loans 90 or</w:t>
              <w:br/>
              <w:t>More Days</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Nonaccrual</w:t>
              <w:br/>
              <w:t>Loans</w:t>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634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11,523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12,389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533,510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545,899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12,482</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586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659,626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660,218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592</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969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3,771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247,723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251,494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2,802</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642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219,848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221,258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11,487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11,487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101,373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112,860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1,578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1,578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13,330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14,735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29,649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1,763,658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1,793,307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16,280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Loans</w:t>
              <w:br/>
              <w:t>30-89 Days</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Loans</w:t>
              <w:br/>
              <w:t>90 or More</w:t>
              <w:br/>
              <w:t>Days</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 Past</w:t>
              <w:br/>
              <w:t>Due Loans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Current</w:t>
              <w:br/>
              <w:t>Loans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Portfolio</w:t>
              <w:br/>
              <w:t>Loans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Accruing</w:t>
              <w:br/>
              <w:t>Loans 90 or</w:t>
              <w:br/>
              <w:t>More Days</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Nonaccrual</w:t>
              <w:br/>
              <w:t>Loans</w:t>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were $1.2 million and $1.3 million of loans secured by one-to-four family residential properties in the process of foreclosure as of March 31, 2023 and December 31, 2022, respectively.</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presents the nonaccrual loans as of March 31, 2023 and December 31, 2022:</w:t>
      </w:r>
    </w:p>
    <w:tbl>
      <w:tblPr>
        <w:tblW w:w="10205" w:type="dxa"/>
        <w:jc w:val="left"/>
        <w:tblInd w:w="0" w:type="dxa"/>
        <w:tblCellMar>
          <w:top w:w="28" w:type="dxa"/>
          <w:left w:w="28" w:type="dxa"/>
          <w:bottom w:w="28" w:type="dxa"/>
          <w:right w:w="28" w:type="dxa"/>
        </w:tblCellMar>
      </w:tblPr>
      <w:tblGrid>
        <w:gridCol w:w="530"/>
        <w:gridCol w:w="466"/>
        <w:gridCol w:w="388"/>
        <w:gridCol w:w="109"/>
        <w:gridCol w:w="109"/>
        <w:gridCol w:w="109"/>
        <w:gridCol w:w="344"/>
        <w:gridCol w:w="1160"/>
        <w:gridCol w:w="191"/>
        <w:gridCol w:w="109"/>
        <w:gridCol w:w="109"/>
        <w:gridCol w:w="109"/>
        <w:gridCol w:w="421"/>
        <w:gridCol w:w="941"/>
        <w:gridCol w:w="235"/>
        <w:gridCol w:w="109"/>
        <w:gridCol w:w="109"/>
        <w:gridCol w:w="109"/>
        <w:gridCol w:w="240"/>
        <w:gridCol w:w="813"/>
        <w:gridCol w:w="134"/>
        <w:gridCol w:w="109"/>
        <w:gridCol w:w="109"/>
        <w:gridCol w:w="109"/>
        <w:gridCol w:w="398"/>
        <w:gridCol w:w="886"/>
        <w:gridCol w:w="224"/>
        <w:gridCol w:w="109"/>
        <w:gridCol w:w="109"/>
        <w:gridCol w:w="109"/>
        <w:gridCol w:w="252"/>
        <w:gridCol w:w="738"/>
        <w:gridCol w:w="209"/>
      </w:tblGrid>
      <w:tr>
        <w:trPr/>
        <w:tc>
          <w:tcPr>
            <w:tcW w:w="530"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1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Nonaccrual with No Allowance for Credit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Nonaccrual with an Allowance for Credit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 Nonaccrual 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Interest Recognized on Nonaccrual Loans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 Nonaccrual Loans</w:t>
            </w:r>
          </w:p>
        </w:tc>
      </w:tr>
      <w:tr>
        <w:trPr/>
        <w:tc>
          <w:tcPr>
            <w:tcW w:w="1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0"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12,248</w:t>
            </w: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234</w:t>
            </w:r>
            <w:r>
              <w:rPr>
                <w:color w:val="000000"/>
              </w:rPr>
              <w:t>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12,482</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w:t>
            </w: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4,288</w:t>
            </w: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592</w:t>
            </w: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592</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30</w:t>
            </w: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1,563</w:t>
            </w:r>
            <w:r>
              <w:rPr>
                <w:color w:val="000000"/>
              </w:rPr>
              <w:t>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2,802</w:t>
            </w: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2,802</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w:t>
            </w: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2,837</w:t>
            </w:r>
            <w:r>
              <w:rPr>
                <w:color w:val="000000"/>
              </w:rPr>
              <w:t>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383</w:t>
            </w: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w:t>
            </w:r>
            <w:r>
              <w:rPr>
                <w:color w:val="000000"/>
              </w:rPr>
              <w:t>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404</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w:t>
            </w: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705</w:t>
            </w:r>
            <w:r>
              <w:rPr>
                <w:color w:val="000000"/>
              </w:rPr>
              <w:t>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1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16,025</w:t>
            </w:r>
            <w:r>
              <w:rPr>
                <w:color w:val="000000"/>
              </w:rPr>
              <w:t> </w:t>
            </w:r>
          </w:p>
        </w:tc>
        <w:tc>
          <w:tcPr>
            <w:tcW w:w="19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255</w:t>
            </w:r>
            <w:r>
              <w:rPr>
                <w:color w:val="000000"/>
              </w:rPr>
              <w:t> </w:t>
            </w:r>
          </w:p>
        </w:tc>
        <w:tc>
          <w:tcPr>
            <w:tcW w:w="23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3"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16,280</w:t>
            </w:r>
            <w:r>
              <w:rPr>
                <w:color w:val="000000"/>
              </w:rPr>
              <w:t>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108</w:t>
            </w:r>
            <w:r>
              <w:rPr>
                <w:color w:val="000000"/>
              </w:rPr>
              <w:t> </w:t>
            </w:r>
          </w:p>
        </w:tc>
        <w:tc>
          <w:tcPr>
            <w:tcW w:w="22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9,393</w:t>
            </w:r>
            <w:r>
              <w:rPr>
                <w:color w:val="000000"/>
              </w:rPr>
              <w:t> </w:t>
            </w:r>
          </w:p>
        </w:tc>
        <w:tc>
          <w:tcPr>
            <w:tcW w:w="2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2023, collateral dependent loans individually evaluated for credit deterioration totaled $15.9 million in recorded investment, of which $12.3 million was represented by the residential real estate portfolio segment, $2.7 million was represented by the construction real estate portfolio segment,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25" name="Frame2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$592 thousand was represented by the commercial real estate portfolio segment, and $325 thousand was represented by the commercial and industrial portfolio segment. Of these loans, a specific reserve of $7 thousand was assessed for commercial and industrial loans.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Prior to the adoption of the CECL standard, loans were considered impaired when, based on current information, management believed the Company would not collect all principal and interest payments according to contractual terms. Generally, loans were reviewed for impairment when the risk grade for a loan was downgraded to a classified asset category. For loans that were classified as impaired, an allowance was established when the collateral value, if the loan was collateral dependent, or the discounted cash flows of the impaired loan was lower than the carrying value of the loan. Loans were generally charged-off in part or in full when management determined the loan to be uncollectible.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Impaired portfolio loans for the period ended December 31, 2022 were as follows:</w:t>
      </w:r>
    </w:p>
    <w:tbl>
      <w:tblPr>
        <w:tblW w:w="10205" w:type="dxa"/>
        <w:jc w:val="center"/>
        <w:tblInd w:w="0" w:type="dxa"/>
        <w:tblCellMar>
          <w:top w:w="28" w:type="dxa"/>
          <w:left w:w="28" w:type="dxa"/>
          <w:bottom w:w="28" w:type="dxa"/>
          <w:right w:w="28" w:type="dxa"/>
        </w:tblCellMar>
      </w:tblPr>
      <w:tblGrid>
        <w:gridCol w:w="686"/>
        <w:gridCol w:w="587"/>
        <w:gridCol w:w="595"/>
        <w:gridCol w:w="109"/>
        <w:gridCol w:w="109"/>
        <w:gridCol w:w="109"/>
        <w:gridCol w:w="196"/>
        <w:gridCol w:w="556"/>
        <w:gridCol w:w="109"/>
        <w:gridCol w:w="109"/>
        <w:gridCol w:w="109"/>
        <w:gridCol w:w="109"/>
        <w:gridCol w:w="196"/>
        <w:gridCol w:w="556"/>
        <w:gridCol w:w="109"/>
        <w:gridCol w:w="109"/>
        <w:gridCol w:w="109"/>
        <w:gridCol w:w="109"/>
        <w:gridCol w:w="218"/>
        <w:gridCol w:w="470"/>
        <w:gridCol w:w="123"/>
        <w:gridCol w:w="109"/>
        <w:gridCol w:w="109"/>
        <w:gridCol w:w="109"/>
        <w:gridCol w:w="196"/>
        <w:gridCol w:w="556"/>
        <w:gridCol w:w="109"/>
        <w:gridCol w:w="109"/>
        <w:gridCol w:w="109"/>
        <w:gridCol w:w="109"/>
        <w:gridCol w:w="206"/>
        <w:gridCol w:w="444"/>
        <w:gridCol w:w="116"/>
        <w:gridCol w:w="109"/>
        <w:gridCol w:w="109"/>
        <w:gridCol w:w="109"/>
        <w:gridCol w:w="196"/>
        <w:gridCol w:w="646"/>
        <w:gridCol w:w="109"/>
        <w:gridCol w:w="109"/>
        <w:gridCol w:w="109"/>
        <w:gridCol w:w="109"/>
        <w:gridCol w:w="237"/>
        <w:gridCol w:w="510"/>
        <w:gridCol w:w="190"/>
      </w:tblGrid>
      <w:tr>
        <w:trPr/>
        <w:tc>
          <w:tcPr>
            <w:tcW w:w="686"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Unpaid</w:t>
              <w:br/>
              <w:t>Contractual</w:t>
              <w:br/>
              <w:t>Principal</w:t>
              <w:br/>
              <w:t>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Recorded</w:t>
              <w:br/>
              <w:t>Investment</w:t>
              <w:br/>
              <w:t>With No</w:t>
              <w:br/>
              <w:t>Allowance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Recorded</w:t>
              <w:br/>
              <w:t>Investment</w:t>
              <w:br/>
              <w:t>With</w:t>
              <w:br/>
              <w:t>Allowance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Recorded</w:t>
              <w:br/>
              <w:t>Investment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Related</w:t>
              <w:br/>
              <w:t>Allowance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Average</w:t>
              <w:br/>
              <w:t>Recorded</w:t>
              <w:br/>
              <w:t>Investment</w:t>
              <w:br/>
              <w:t>Year to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Interest</w:t>
              <w:br/>
              <w:t>Recognized</w:t>
              <w:br/>
              <w:t>Year to Date</w:t>
            </w:r>
          </w:p>
        </w:tc>
      </w:tr>
      <w:tr>
        <w:trPr/>
        <w:tc>
          <w:tcPr>
            <w:tcW w:w="18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Arial;sans-serif" w:hAnsi="Arial;sans-serif"/>
          <w:b/>
          <w:i/>
          <w:color w:val="000000"/>
          <w:sz w:val="20"/>
          <w:u w:val="single"/>
        </w:rPr>
      </w:pPr>
      <w:r>
        <w:rPr>
          <w:rFonts w:ascii="Arial;sans-serif" w:hAnsi="Arial;sans-serif"/>
          <w:b/>
          <w:i/>
          <w:color w:val="000000"/>
          <w:sz w:val="20"/>
          <w:u w:val="single"/>
        </w:rPr>
        <w:t>Credit quality indicators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part of the ongoing monitoring of the credit quality of the Company’s loan portfolio, management tracks certain credit quality indicators including trends related to the risk grade of loans, the level of classified loans, net charge-offs, nonperforming loans, and general economic conditions in the Company’s market. From a credit risk standpoint the Company utilizes a risk grading matrix to assign a risk grade to each of its loans. The classifications of loans reflect a judgment about the risk of expected credit loss associated with each loan. Credit quality indicators are reviewed and adjusted regularly to account for the degree of risk and expected credit loss that the Company believes to be appropriate for each financial asset.</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description of the general characteristics of loans characterized as classified is as follows:</w:t>
      </w:r>
    </w:p>
    <w:p>
      <w:pPr>
        <w:pStyle w:val="TextBody"/>
        <w:spacing w:lineRule="auto" w:line="288" w:before="0" w:after="240"/>
        <w:rPr>
          <w:rFonts w:ascii="Arial;sans-serif" w:hAnsi="Arial;sans-serif"/>
          <w:b/>
          <w:i/>
          <w:color w:val="000000"/>
          <w:sz w:val="20"/>
        </w:rPr>
      </w:pPr>
      <w:r>
        <w:rPr>
          <w:rFonts w:ascii="Arial;sans-serif" w:hAnsi="Arial;sans-serif"/>
          <w:b/>
          <w:i/>
          <w:color w:val="000000"/>
          <w:sz w:val="20"/>
        </w:rPr>
        <w:t xml:space="preserve">Special mention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26" name="Frame2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spacing w:lineRule="auto" w:line="288" w:before="0" w:after="240"/>
        <w:ind w:left="0" w:right="0" w:firstLine="360"/>
        <w:rPr>
          <w:rFonts w:ascii="Arial;sans-serif" w:hAnsi="Arial;sans-serif"/>
          <w:b/>
          <w:i/>
          <w:color w:val="000000"/>
          <w:sz w:val="20"/>
        </w:rPr>
      </w:pPr>
      <w:r>
        <w:rPr>
          <w:rFonts w:ascii="Arial;sans-serif" w:hAnsi="Arial;sans-serif"/>
          <w:b/>
          <w:i/>
          <w:color w:val="000000"/>
          <w:sz w:val="20"/>
        </w:rPr>
        <w:t>Substandard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Borrowers may exhibit recent or unexpected unprofitable operations, an inadequate debt service coverage ratio, or marginal liquidity and capitalization. These loans require more intense supervision by Company management.</w:t>
      </w:r>
    </w:p>
    <w:p>
      <w:pPr>
        <w:pStyle w:val="TextBody"/>
        <w:spacing w:lineRule="auto" w:line="288" w:before="0" w:after="240"/>
        <w:rPr>
          <w:rFonts w:ascii="Arial;sans-serif" w:hAnsi="Arial;sans-serif"/>
          <w:b/>
          <w:i/>
          <w:color w:val="000000"/>
          <w:sz w:val="20"/>
        </w:rPr>
      </w:pPr>
      <w:r>
        <w:rPr>
          <w:rFonts w:ascii="Arial;sans-serif" w:hAnsi="Arial;sans-serif"/>
          <w:b/>
          <w:i/>
          <w:color w:val="000000"/>
          <w:sz w:val="20"/>
        </w:rPr>
        <w:t>Doubtful</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balances of classified loans based on the most recent credit quality indicator analysis. Classified loans include Special Mention, Substandard and Doubtful loans. Pass classified loans include loans graded exceptional, very good, good, satisfactory, and pass/watch. Credit card loans are ungraded as they are not individually graded:</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27" name="Frame2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tbl>
      <w:tblPr>
        <w:tblW w:w="12295" w:type="dxa"/>
        <w:jc w:val="left"/>
        <w:tblInd w:w="0" w:type="dxa"/>
        <w:tblCellMar>
          <w:top w:w="28" w:type="dxa"/>
          <w:left w:w="28" w:type="dxa"/>
          <w:bottom w:w="28" w:type="dxa"/>
          <w:right w:w="28" w:type="dxa"/>
        </w:tblCellMar>
      </w:tblPr>
      <w:tblGrid>
        <w:gridCol w:w="625"/>
        <w:gridCol w:w="353"/>
        <w:gridCol w:w="193"/>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62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 Loans by Origination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Residential –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527,981 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4,244 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13,674 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43,184 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92,992 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87,868 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154,886 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56,305 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110,664 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545,899 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Commercial –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98,157 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71,465 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170,222 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184,023 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123,278 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656,256 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99,554 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71,465 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170,222 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185,563 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124,303 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660,218 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Construction –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79,529 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84,783 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248,676 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34,522 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79,529 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84,783 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251,494 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87,834 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31,926 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198,337 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21,894 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50,676 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88,009 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221,258 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Ungraded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112,860 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112,860 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Portfolio loans receivable, 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175,561 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213,168 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388,684 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513,582 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115,411 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274,041 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112,860 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1,793,307 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582"/>
        <w:gridCol w:w="512"/>
        <w:gridCol w:w="405"/>
        <w:gridCol w:w="109"/>
        <w:gridCol w:w="109"/>
        <w:gridCol w:w="109"/>
        <w:gridCol w:w="196"/>
        <w:gridCol w:w="421"/>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205"/>
        <w:gridCol w:w="581"/>
        <w:gridCol w:w="115"/>
        <w:gridCol w:w="109"/>
        <w:gridCol w:w="109"/>
        <w:gridCol w:w="109"/>
        <w:gridCol w:w="196"/>
        <w:gridCol w:w="556"/>
        <w:gridCol w:w="156"/>
      </w:tblGrid>
      <w:tr>
        <w:trPr/>
        <w:tc>
          <w:tcPr>
            <w:tcW w:w="58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1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2,645 </w:t>
            </w:r>
          </w:p>
        </w:tc>
        <w:tc>
          <w:tcPr>
            <w:tcW w:w="1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40"/>
        <w:ind w:left="0" w:right="0" w:firstLine="360"/>
        <w:jc w:val="both"/>
        <w:rPr/>
      </w:pPr>
      <w:r>
        <w:rPr/>
      </w:r>
    </w:p>
    <w:p>
      <w:pPr>
        <w:pStyle w:val="TextBody"/>
        <w:spacing w:before="0" w:after="24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28" name="Frame2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balances of classified loans based on credit quality indicator as of December 31, 2022:</w:t>
      </w:r>
    </w:p>
    <w:tbl>
      <w:tblPr>
        <w:tblW w:w="10205" w:type="dxa"/>
        <w:jc w:val="center"/>
        <w:tblInd w:w="0" w:type="dxa"/>
        <w:tblCellMar>
          <w:top w:w="28" w:type="dxa"/>
          <w:left w:w="28" w:type="dxa"/>
          <w:bottom w:w="28" w:type="dxa"/>
          <w:right w:w="28" w:type="dxa"/>
        </w:tblCellMar>
      </w:tblPr>
      <w:tblGrid>
        <w:gridCol w:w="664"/>
        <w:gridCol w:w="523"/>
        <w:gridCol w:w="530"/>
        <w:gridCol w:w="109"/>
        <w:gridCol w:w="109"/>
        <w:gridCol w:w="109"/>
        <w:gridCol w:w="196"/>
        <w:gridCol w:w="871"/>
        <w:gridCol w:w="109"/>
        <w:gridCol w:w="109"/>
        <w:gridCol w:w="109"/>
        <w:gridCol w:w="109"/>
        <w:gridCol w:w="236"/>
        <w:gridCol w:w="780"/>
        <w:gridCol w:w="131"/>
        <w:gridCol w:w="109"/>
        <w:gridCol w:w="109"/>
        <w:gridCol w:w="109"/>
        <w:gridCol w:w="232"/>
        <w:gridCol w:w="764"/>
        <w:gridCol w:w="130"/>
        <w:gridCol w:w="109"/>
        <w:gridCol w:w="109"/>
        <w:gridCol w:w="109"/>
        <w:gridCol w:w="223"/>
        <w:gridCol w:w="463"/>
        <w:gridCol w:w="125"/>
        <w:gridCol w:w="109"/>
        <w:gridCol w:w="109"/>
        <w:gridCol w:w="109"/>
        <w:gridCol w:w="196"/>
        <w:gridCol w:w="736"/>
        <w:gridCol w:w="109"/>
        <w:gridCol w:w="109"/>
        <w:gridCol w:w="109"/>
        <w:gridCol w:w="109"/>
        <w:gridCol w:w="196"/>
        <w:gridCol w:w="871"/>
        <w:gridCol w:w="158"/>
      </w:tblGrid>
      <w:tr>
        <w:trPr/>
        <w:tc>
          <w:tcPr>
            <w:tcW w:w="664"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Pass</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Special Mention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Substandard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Doubtful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Ungraded</w:t>
            </w:r>
            <w:r>
              <w:rPr>
                <w:rFonts w:ascii="Arial;sans-serif" w:hAnsi="Arial;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484,735 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664,551 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238,099 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220,221 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128,434 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38,012 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1,737,219 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both"/>
        <w:rPr>
          <w:rFonts w:ascii="Arial;sans-serif" w:hAnsi="Arial;sans-serif"/>
          <w:b w:val="false"/>
          <w:color w:val="000000"/>
          <w:sz w:val="16"/>
        </w:rPr>
      </w:pPr>
      <w:r>
        <w:rPr>
          <w:rFonts w:ascii="Arial;sans-serif" w:hAnsi="Arial;sans-serif"/>
          <w:b w:val="false"/>
          <w:color w:val="000000"/>
          <w:sz w:val="16"/>
        </w:rPr>
        <w:t>________________________</w:t>
      </w:r>
    </w:p>
    <w:p>
      <w:pPr>
        <w:pStyle w:val="TextBody"/>
        <w:spacing w:lineRule="auto" w:line="288" w:before="0" w:after="0"/>
        <w:ind w:left="0" w:right="0" w:hanging="360"/>
        <w:jc w:val="both"/>
        <w:rPr/>
      </w:pPr>
      <w:r>
        <w:rPr>
          <w:rFonts w:ascii="Arial;sans-serif" w:hAnsi="Arial;sans-serif"/>
          <w:b w:val="false"/>
          <w:color w:val="000000"/>
          <w:sz w:val="10"/>
        </w:rPr>
        <w:t>(1)     </w:t>
      </w:r>
      <w:r>
        <w:rPr>
          <w:rFonts w:ascii="Arial;sans-serif" w:hAnsi="Arial;sans-serif"/>
          <w:b w:val="false"/>
          <w:color w:val="000000"/>
          <w:sz w:val="12"/>
        </w:rPr>
        <w:t>Pass includes loans graded exceptional, very good, good, satisfactory and pass/watch, in addition to credit cards and consumer credits that are not individually graded.</w:t>
      </w:r>
    </w:p>
    <w:p>
      <w:pPr>
        <w:pStyle w:val="TextBody"/>
        <w:spacing w:lineRule="auto" w:line="288" w:before="0" w:after="240"/>
        <w:jc w:val="both"/>
        <w:rPr/>
      </w:pPr>
      <w:r>
        <w:rPr>
          <w:rFonts w:ascii="Arial;sans-serif" w:hAnsi="Arial;sans-serif"/>
          <w:b w:val="false"/>
          <w:color w:val="000000"/>
          <w:sz w:val="10"/>
        </w:rPr>
        <w:t xml:space="preserve">(2) </w:t>
      </w:r>
      <w:r>
        <w:rPr>
          <w:rFonts w:ascii="Arial;sans-serif" w:hAnsi="Arial;sans-serif"/>
          <w:b w:val="false"/>
          <w:color w:val="000000"/>
          <w:sz w:val="12"/>
        </w:rPr>
        <w:t>Credit card loans are not individually graded.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Effective January 1, 2023, the Company adopted ASU 2022-02 - Financial Instruments - Credit Losses (Topic 326): Troubled Debt Restructurings and Vintage Disclosures. From time to time, the Company may elect to modify the contractual terms of loans to a borrower experiencing financial difficulties as a way to mitigate loss, proactively work with borrowers in financial difficulty, or to comply with regulations regarding the treatment of certain bankruptcy filing and discharge situations. These modifications typically include reductions in the interest rate, payment extensions, forgiveness of principal, forbearance or other actions. Under ASU 2022-02, modifications to a loan for a borrower experiencing financial difficulty that have occurred in the current reporting period, are disclosed along with the impact of the modifications. During the three months ended March 31, 2023 the Company did not have any modifications.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Prior to adoption of ASU 2022-02, the Company classified modified loans as troubled debt restructurings (“TDRs”) in accordance with ASC Subtopic 310. As of December 31, 2022, the Company held one defaulted TDR, with respect to which the Company had a recorded investment of $288 thousand classified as nonperforming.</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29" name="Frame2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Outstanding loan commitments were as follows:</w:t>
      </w:r>
    </w:p>
    <w:tbl>
      <w:tblPr>
        <w:tblW w:w="5543" w:type="dxa"/>
        <w:jc w:val="left"/>
        <w:tblInd w:w="0" w:type="dxa"/>
        <w:tblCellMar>
          <w:top w:w="28" w:type="dxa"/>
          <w:left w:w="28" w:type="dxa"/>
          <w:bottom w:w="28" w:type="dxa"/>
          <w:right w:w="28" w:type="dxa"/>
        </w:tblCellMar>
      </w:tblPr>
      <w:tblGrid>
        <w:gridCol w:w="725"/>
        <w:gridCol w:w="640"/>
        <w:gridCol w:w="645"/>
        <w:gridCol w:w="109"/>
        <w:gridCol w:w="109"/>
        <w:gridCol w:w="109"/>
        <w:gridCol w:w="234"/>
        <w:gridCol w:w="896"/>
        <w:gridCol w:w="130"/>
        <w:gridCol w:w="109"/>
        <w:gridCol w:w="109"/>
        <w:gridCol w:w="109"/>
        <w:gridCol w:w="292"/>
        <w:gridCol w:w="1098"/>
        <w:gridCol w:w="229"/>
      </w:tblGrid>
      <w:tr>
        <w:trPr/>
        <w:tc>
          <w:tcPr>
            <w:tcW w:w="725"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Unused lines of credit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20,413</w:t>
            </w: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14,336 </w:t>
            </w:r>
          </w:p>
        </w:tc>
        <w:tc>
          <w:tcPr>
            <w:tcW w:w="2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 Home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42,830</w:t>
            </w: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43,128 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30,360</w:t>
            </w: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36,609 </w:t>
            </w:r>
          </w:p>
        </w:tc>
        <w:tc>
          <w:tcPr>
            <w:tcW w:w="2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96,533</w:t>
            </w: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93,913 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44,548</w:t>
            </w: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45,747 </w:t>
            </w:r>
          </w:p>
        </w:tc>
        <w:tc>
          <w:tcPr>
            <w:tcW w:w="2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Credit card</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128,277</w:t>
            </w: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111,227 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283</w:t>
            </w: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363,244</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345,062 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Letters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5,105</w:t>
            </w:r>
            <w:r>
              <w:rPr>
                <w:color w:val="000000"/>
              </w:rPr>
              <w:t> </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5,105 </w:t>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jc w:val="both"/>
        <w:rPr/>
      </w:pPr>
      <w:r>
        <w:rPr>
          <w:rFonts w:ascii="Arial;sans-serif" w:hAnsi="Arial;sans-serif"/>
          <w:b w:val="false"/>
          <w:color w:val="000000"/>
          <w:sz w:val="20"/>
        </w:rPr>
        <w:br/>
      </w:r>
      <w:r>
        <w:rPr>
          <w:rFonts w:ascii="Arial;sans-serif" w:hAnsi="Arial;sans-serif"/>
          <w:b w:val="false"/>
          <w:color w:val="000000"/>
          <w:sz w:val="16"/>
        </w:rPr>
        <w:t>________________________</w:t>
      </w:r>
      <w:r>
        <w:rPr>
          <w:rFonts w:ascii="Arial;sans-serif" w:hAnsi="Arial;sans-serif"/>
          <w:b w:val="false"/>
          <w:color w:val="000000"/>
          <w:sz w:val="20"/>
        </w:rPr>
        <w:br/>
      </w:r>
      <w:r>
        <w:rPr>
          <w:rFonts w:ascii="Arial;sans-serif" w:hAnsi="Arial;sans-serif"/>
          <w:b w:val="false"/>
          <w:color w:val="000000"/>
          <w:sz w:val="8"/>
        </w:rPr>
        <w:t xml:space="preserve">(1) </w:t>
      </w:r>
      <w:r>
        <w:rPr>
          <w:color w:val="000000"/>
        </w:rPr>
        <w:t>    </w:t>
      </w:r>
      <w:r>
        <w:rPr>
          <w:rFonts w:ascii="Arial;sans-serif" w:hAnsi="Arial;sans-serif"/>
          <w:b w:val="false"/>
          <w:color w:val="000000"/>
          <w:sz w:val="12"/>
        </w:rPr>
        <w:t>Outstanding loan commitments in the credit card portfolio include $145.3 million and $106.9 million in secured and partially secured balances as of March 31, 2023 and December 31, 2022, respectively.</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maximum exposure to credit loss in the event of nonperformance by the customer is the contractual amount of the credit commitment. Loan commitments and lines of credit are generally made on the same terms, including with regard to collateral, as outstanding loans. Management is not aware of any accounting loss to be incurred by funding these loan commitments. The Company maintains an estimated reserve for unfunded commitments and certain off-balance sheet items such as unfunded lines of credit, which is reflected in other liabilities, with increases or decreases in the reserve being charged to or released from operating expense. Activity for this account is as follows for the periods presented:</w:t>
      </w:r>
    </w:p>
    <w:tbl>
      <w:tblPr>
        <w:tblW w:w="8829" w:type="dxa"/>
        <w:jc w:val="center"/>
        <w:tblInd w:w="0" w:type="dxa"/>
        <w:tblCellMar>
          <w:top w:w="28" w:type="dxa"/>
          <w:left w:w="28" w:type="dxa"/>
          <w:bottom w:w="28" w:type="dxa"/>
          <w:right w:w="28" w:type="dxa"/>
        </w:tblCellMar>
      </w:tblPr>
      <w:tblGrid>
        <w:gridCol w:w="1869"/>
        <w:gridCol w:w="1647"/>
        <w:gridCol w:w="1659"/>
        <w:gridCol w:w="109"/>
        <w:gridCol w:w="109"/>
        <w:gridCol w:w="109"/>
        <w:gridCol w:w="282"/>
        <w:gridCol w:w="821"/>
        <w:gridCol w:w="156"/>
        <w:gridCol w:w="109"/>
        <w:gridCol w:w="109"/>
        <w:gridCol w:w="109"/>
        <w:gridCol w:w="287"/>
        <w:gridCol w:w="814"/>
        <w:gridCol w:w="159"/>
        <w:gridCol w:w="109"/>
        <w:gridCol w:w="109"/>
        <w:gridCol w:w="109"/>
        <w:gridCol w:w="154"/>
      </w:tblGrid>
      <w:tr>
        <w:trPr/>
        <w:tc>
          <w:tcPr>
            <w:tcW w:w="1869"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 prior to adoption of the CECL standard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1,682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of adopting the CECL standard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(775)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Reversal of reserve for unfunded commitments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888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makes representations and warranties that loans sold to investors meet the investors’ program guidelines and that the information provided by the borrowers is accurate and complete. In the event of a default on a loan sold, the investor may have the right to make a claim for losses due to document deficiencies, program non-compliance, early payment default, and fraud or borrower misrepresentations.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0" name="Frame2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maintains a reserve for potential losses on mortgage loans sold, which is reflected in other liabilities, with changes being charged to or released from operating expense. Activity in this reserve is as follows for the periods presented:</w:t>
      </w:r>
    </w:p>
    <w:tbl>
      <w:tblPr>
        <w:tblW w:w="7074" w:type="dxa"/>
        <w:jc w:val="center"/>
        <w:tblInd w:w="0" w:type="dxa"/>
        <w:tblCellMar>
          <w:top w:w="28" w:type="dxa"/>
          <w:left w:w="28" w:type="dxa"/>
          <w:bottom w:w="28" w:type="dxa"/>
          <w:right w:w="28" w:type="dxa"/>
        </w:tblCellMar>
      </w:tblPr>
      <w:tblGrid>
        <w:gridCol w:w="1235"/>
        <w:gridCol w:w="1088"/>
        <w:gridCol w:w="1097"/>
        <w:gridCol w:w="109"/>
        <w:gridCol w:w="109"/>
        <w:gridCol w:w="109"/>
        <w:gridCol w:w="282"/>
        <w:gridCol w:w="821"/>
        <w:gridCol w:w="156"/>
        <w:gridCol w:w="109"/>
        <w:gridCol w:w="109"/>
        <w:gridCol w:w="109"/>
        <w:gridCol w:w="287"/>
        <w:gridCol w:w="814"/>
        <w:gridCol w:w="159"/>
        <w:gridCol w:w="109"/>
        <w:gridCol w:w="109"/>
        <w:gridCol w:w="109"/>
        <w:gridCol w:w="154"/>
      </w:tblGrid>
      <w:tr>
        <w:trPr/>
        <w:tc>
          <w:tcPr>
            <w:tcW w:w="1235"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1,174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mortgage loan put-back reserve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w:t>
            </w: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1,179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24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1" name="Frame3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429" w:type="dxa"/>
        <w:jc w:val="center"/>
        <w:tblInd w:w="0" w:type="dxa"/>
        <w:tblCellMar>
          <w:top w:w="28" w:type="dxa"/>
          <w:left w:w="28" w:type="dxa"/>
          <w:bottom w:w="28" w:type="dxa"/>
          <w:right w:w="28" w:type="dxa"/>
        </w:tblCellMar>
      </w:tblPr>
      <w:tblGrid>
        <w:gridCol w:w="1737"/>
        <w:gridCol w:w="1527"/>
        <w:gridCol w:w="2165"/>
      </w:tblGrid>
      <w:tr>
        <w:trPr/>
        <w:tc>
          <w:tcPr>
            <w:tcW w:w="1737"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542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Consolidated Financial Statements</w:t>
            </w:r>
          </w:p>
        </w:tc>
      </w:tr>
      <w:tr>
        <w:trPr/>
        <w:tc>
          <w:tcPr>
            <w:tcW w:w="542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6 - Derivative Financial Instruments</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part of its mortgage banking activities, the Company enters into interest rate lock commitments, which are commitments to originate loans whereby the interest rate on the loan is determined prior to funding and customers have locked into that interest rate. The Company then locks the loan and rate in with an investor and commits to deliver the loan if settlement occurs (Best Efforts).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to be derivatives. The market value of interest rate lock commitments and best efforts contracts are not readily ascertainable with precision because they are not actively traded in stand-alone markets. The Company determines the fair value of rate lock commitments by estimating the fair value of the underlying asset, which is impacted by current interest rates and takes into consideration the probability that the rate lock commitments will close or will be funded.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reports the commitment and fair value amounts on the outstanding derivatives:</w:t>
      </w:r>
    </w:p>
    <w:tbl>
      <w:tblPr>
        <w:tblW w:w="7195" w:type="dxa"/>
        <w:jc w:val="center"/>
        <w:tblInd w:w="0" w:type="dxa"/>
        <w:tblCellMar>
          <w:top w:w="28" w:type="dxa"/>
          <w:left w:w="28" w:type="dxa"/>
          <w:bottom w:w="28" w:type="dxa"/>
          <w:right w:w="28" w:type="dxa"/>
        </w:tblCellMar>
      </w:tblPr>
      <w:tblGrid>
        <w:gridCol w:w="1441"/>
        <w:gridCol w:w="1268"/>
        <w:gridCol w:w="1280"/>
        <w:gridCol w:w="109"/>
        <w:gridCol w:w="109"/>
        <w:gridCol w:w="109"/>
        <w:gridCol w:w="347"/>
        <w:gridCol w:w="720"/>
        <w:gridCol w:w="193"/>
        <w:gridCol w:w="349"/>
        <w:gridCol w:w="993"/>
        <w:gridCol w:w="277"/>
      </w:tblGrid>
      <w:tr>
        <w:trPr/>
        <w:tc>
          <w:tcPr>
            <w:tcW w:w="1441"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Notional amount of open forward sales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open forward delivery sales agreements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Notional amount of interest rate lock commitments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interest rate lock commitments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color w:val="000000"/>
          <w:sz w:val="20"/>
        </w:rPr>
      </w:pPr>
      <w:r>
        <w:rPr>
          <w:rFonts w:ascii="Arial;sans-serif" w:hAnsi="Arial;sans-serif"/>
          <w:b/>
          <w:color w:val="000000"/>
          <w:sz w:val="20"/>
        </w:rPr>
        <w:t>Note 7 - Leases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primary leasing activities relate to certain real estate leases entered into in support of the Company’s branch operations and back office operations. The Company leases four of its full service branches and three other locations for corporate/administration activities, operations, and loan production. All property leases under lease agreements have been designated as operating leases. The Company does not have leases designated as finance leases.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historical weighted average discount rate was 3.54% at March 31, 2023 and 1.94% at December 31, 2022.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2" name="Frame3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left"/>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7 - Leases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2023, the Company’s net lease ROU assets and related lease liabilities were $3.9 million and $4.1 million, respectively, compared to December 31, 2022 balances of $2.1 million of ROU assets and $2.4 million of lease liabilities, and have remaining terms ranging from one to six years, including extension options that the Company is reasonably certain will be exercised. As of March 31, 2023, the Company had not entered into any material leases that have not yet commenced. The Company’s lease information is summarized as follows:</w:t>
      </w:r>
    </w:p>
    <w:tbl>
      <w:tblPr>
        <w:tblW w:w="5977" w:type="dxa"/>
        <w:jc w:val="center"/>
        <w:tblInd w:w="0" w:type="dxa"/>
        <w:tblCellMar>
          <w:top w:w="28" w:type="dxa"/>
          <w:left w:w="28" w:type="dxa"/>
          <w:bottom w:w="28" w:type="dxa"/>
          <w:right w:w="28" w:type="dxa"/>
        </w:tblCellMar>
      </w:tblPr>
      <w:tblGrid>
        <w:gridCol w:w="883"/>
        <w:gridCol w:w="778"/>
        <w:gridCol w:w="784"/>
        <w:gridCol w:w="109"/>
        <w:gridCol w:w="109"/>
        <w:gridCol w:w="109"/>
        <w:gridCol w:w="282"/>
        <w:gridCol w:w="821"/>
        <w:gridCol w:w="156"/>
        <w:gridCol w:w="109"/>
        <w:gridCol w:w="109"/>
        <w:gridCol w:w="109"/>
        <w:gridCol w:w="349"/>
        <w:gridCol w:w="993"/>
        <w:gridCol w:w="277"/>
      </w:tblGrid>
      <w:tr>
        <w:trPr/>
        <w:tc>
          <w:tcPr>
            <w:tcW w:w="883"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Lease Right of Use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asset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7,208</w:t>
            </w: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5,171 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(3,340)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(3,074)</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lease asset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3,868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7,357</w:t>
            </w: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5,327 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(3,260)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(2,968)</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4,097</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rPr>
          <w:rFonts w:ascii="Arial;sans-serif" w:hAnsi="Arial;sans-serif"/>
          <w:b w:val="false"/>
          <w:color w:val="000000"/>
          <w:sz w:val="20"/>
        </w:rPr>
      </w:pPr>
      <w:r>
        <w:rPr>
          <w:rFonts w:ascii="Arial;sans-serif" w:hAnsi="Arial;sans-serif"/>
          <w:b w:val="false"/>
          <w:color w:val="000000"/>
          <w:sz w:val="20"/>
        </w:rPr>
        <w:t>Future minimum payments for operating leases with initial or remaining terms of one year or more are as follows:</w:t>
      </w:r>
    </w:p>
    <w:tbl>
      <w:tblPr>
        <w:tblW w:w="4871" w:type="dxa"/>
        <w:jc w:val="center"/>
        <w:tblInd w:w="0" w:type="dxa"/>
        <w:tblCellMar>
          <w:top w:w="28" w:type="dxa"/>
          <w:left w:w="28" w:type="dxa"/>
          <w:bottom w:w="28" w:type="dxa"/>
          <w:right w:w="28" w:type="dxa"/>
        </w:tblCellMar>
      </w:tblPr>
      <w:tblGrid>
        <w:gridCol w:w="1171"/>
        <w:gridCol w:w="1029"/>
        <w:gridCol w:w="1040"/>
        <w:gridCol w:w="109"/>
        <w:gridCol w:w="109"/>
        <w:gridCol w:w="109"/>
        <w:gridCol w:w="277"/>
        <w:gridCol w:w="809"/>
        <w:gridCol w:w="218"/>
      </w:tblGrid>
      <w:tr>
        <w:trPr/>
        <w:tc>
          <w:tcPr>
            <w:tcW w:w="117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Amounts due 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 and 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4,751</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of cash flows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net future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4,097</w:t>
            </w: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color w:val="000000"/>
          <w:sz w:val="20"/>
        </w:rPr>
      </w:pPr>
      <w:r>
        <w:rPr>
          <w:rFonts w:ascii="Arial;sans-serif" w:hAnsi="Arial;sans-serif"/>
          <w:b/>
          <w:color w:val="000000"/>
          <w:sz w:val="20"/>
        </w:rPr>
        <w:t>Note 8 - Fair Value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Level 1 - Inputs to the valuation method are quoted prices (unadjusted) for identical assets or liabilities in active markets. This also includes certain U.S. Treasury and other U.S. Government and government agency securities actively traded in over-the-counter markets;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3" name="Frame3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center"/>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Level 3 - Inputs to the valuation method are unobservable and significant to the fair value measurement.</w:t>
      </w:r>
    </w:p>
    <w:p>
      <w:pPr>
        <w:pStyle w:val="TextBody"/>
        <w:spacing w:lineRule="auto" w:line="288" w:before="0" w:after="240"/>
        <w:rPr>
          <w:rFonts w:ascii="Arial;sans-serif" w:hAnsi="Arial;sans-serif"/>
          <w:b/>
          <w:i/>
          <w:color w:val="000000"/>
          <w:sz w:val="20"/>
        </w:rPr>
      </w:pPr>
      <w:r>
        <w:rPr>
          <w:rFonts w:ascii="Arial;sans-serif" w:hAnsi="Arial;sans-serif"/>
          <w:b/>
          <w:i/>
          <w:color w:val="000000"/>
          <w:sz w:val="20"/>
        </w:rPr>
        <w:t>Fair value measurements on a recurring basis</w:t>
      </w:r>
    </w:p>
    <w:p>
      <w:pPr>
        <w:pStyle w:val="TextBody"/>
        <w:spacing w:lineRule="auto" w:line="288" w:before="0" w:after="240"/>
        <w:ind w:left="0" w:right="0" w:firstLine="360"/>
        <w:jc w:val="both"/>
        <w:rPr/>
      </w:pPr>
      <w:r>
        <w:rPr>
          <w:rFonts w:ascii="Arial;sans-serif" w:hAnsi="Arial;sans-serif"/>
          <w:b w:val="false"/>
          <w:i/>
          <w:color w:val="000000"/>
          <w:sz w:val="20"/>
        </w:rPr>
        <w:t>Investment securities available for sale</w:t>
      </w:r>
      <w:r>
        <w:rPr>
          <w:color w:val="000000"/>
        </w:rPr>
        <w:t xml:space="preserve"> </w:t>
      </w:r>
      <w:r>
        <w:rPr>
          <w:rFonts w:ascii="Arial;sans-serif" w:hAnsi="Arial;sans-serif"/>
          <w:b w:val="false"/>
          <w:color w:val="000000"/>
          <w:sz w:val="20"/>
        </w:rPr>
        <w:t xml:space="preserve">- The fair values of the Company's investment securities available for sale are provided by an independent pricing service. The fair values of the Company's securities are determined based on quoted prices for similar securities under Level 1 or Level 2 inputs. </w:t>
      </w:r>
    </w:p>
    <w:p>
      <w:pPr>
        <w:pStyle w:val="TextBody"/>
        <w:spacing w:lineRule="auto" w:line="288" w:before="0" w:after="240"/>
        <w:ind w:left="0" w:right="0" w:firstLine="360"/>
        <w:jc w:val="both"/>
        <w:rPr/>
      </w:pPr>
      <w:r>
        <w:rPr>
          <w:rFonts w:ascii="Arial;sans-serif" w:hAnsi="Arial;sans-serif"/>
          <w:b w:val="false"/>
          <w:i/>
          <w:color w:val="000000"/>
          <w:sz w:val="20"/>
        </w:rPr>
        <w:t>Loans held for sale</w:t>
      </w:r>
      <w:r>
        <w:rPr>
          <w:color w:val="000000"/>
        </w:rPr>
        <w:t xml:space="preserve"> </w:t>
      </w:r>
      <w:r>
        <w:rPr>
          <w:rFonts w:ascii="Arial;sans-serif" w:hAnsi="Arial;sans-serif"/>
          <w:b w:val="false"/>
          <w:color w:val="000000"/>
          <w:sz w:val="20"/>
        </w:rPr>
        <w:t xml:space="preserve">- The fair value of loans held for sale is determined using Level 2 inputs of quoted prices for a similar asset, adjusted for specific attributes of that loan. </w:t>
      </w:r>
    </w:p>
    <w:p>
      <w:pPr>
        <w:pStyle w:val="TextBody"/>
        <w:spacing w:lineRule="auto" w:line="288" w:before="0" w:after="240"/>
        <w:ind w:left="0" w:right="0" w:firstLine="360"/>
        <w:jc w:val="both"/>
        <w:rPr/>
      </w:pPr>
      <w:r>
        <w:rPr>
          <w:rFonts w:ascii="Arial;sans-serif" w:hAnsi="Arial;sans-serif"/>
          <w:b w:val="false"/>
          <w:i/>
          <w:color w:val="000000"/>
          <w:sz w:val="20"/>
        </w:rPr>
        <w:t>Derivative financial instruments</w:t>
      </w:r>
      <w:r>
        <w:rPr>
          <w:color w:val="000000"/>
        </w:rPr>
        <w:t xml:space="preserve"> </w:t>
      </w:r>
      <w:r>
        <w:rPr>
          <w:rFonts w:ascii="Arial;sans-serif" w:hAnsi="Arial;sans-serif"/>
          <w:b w:val="false"/>
          <w:color w:val="000000"/>
          <w:sz w:val="20"/>
        </w:rPr>
        <w:t>- Derivative instruments used to hedge residential mortgage loans held for sale and the related interest rate 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categorized its financial instruments measured at fair value on a recurring basis as of March 31, 2023 and December 31, 2022 as follows:</w:t>
      </w:r>
    </w:p>
    <w:tbl>
      <w:tblPr>
        <w:tblW w:w="8992" w:type="dxa"/>
        <w:jc w:val="center"/>
        <w:tblInd w:w="0" w:type="dxa"/>
        <w:tblCellMar>
          <w:top w:w="28" w:type="dxa"/>
          <w:left w:w="28" w:type="dxa"/>
          <w:bottom w:w="28" w:type="dxa"/>
          <w:right w:w="28" w:type="dxa"/>
        </w:tblCellMar>
      </w:tblPr>
      <w:tblGrid>
        <w:gridCol w:w="1061"/>
        <w:gridCol w:w="936"/>
        <w:gridCol w:w="943"/>
        <w:gridCol w:w="109"/>
        <w:gridCol w:w="109"/>
        <w:gridCol w:w="109"/>
        <w:gridCol w:w="196"/>
        <w:gridCol w:w="751"/>
        <w:gridCol w:w="109"/>
        <w:gridCol w:w="109"/>
        <w:gridCol w:w="109"/>
        <w:gridCol w:w="109"/>
        <w:gridCol w:w="225"/>
        <w:gridCol w:w="864"/>
        <w:gridCol w:w="125"/>
        <w:gridCol w:w="109"/>
        <w:gridCol w:w="109"/>
        <w:gridCol w:w="109"/>
        <w:gridCol w:w="246"/>
        <w:gridCol w:w="832"/>
        <w:gridCol w:w="137"/>
        <w:gridCol w:w="109"/>
        <w:gridCol w:w="109"/>
        <w:gridCol w:w="109"/>
        <w:gridCol w:w="326"/>
        <w:gridCol w:w="677"/>
        <w:gridCol w:w="256"/>
      </w:tblGrid>
      <w:tr>
        <w:trPr/>
        <w:tc>
          <w:tcPr>
            <w:tcW w:w="1061"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1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2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 Inputs</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202,317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4"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202,317</w:t>
            </w: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8,400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8,400</w:t>
            </w: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4,617</w:t>
            </w: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7,494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7,494</w:t>
            </w: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32,934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32,934</w:t>
            </w: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255,762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202,317</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53,445</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9,620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9,620</w:t>
            </w:r>
            <w:r>
              <w:rPr>
                <w:color w:val="000000"/>
              </w:rPr>
              <w:t>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199,449 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199,449 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53,032 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7,416 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8650"/>
                <wp:effectExtent l="0" t="0" r="0" b="0"/>
                <wp:wrapNone/>
                <wp:docPr id="34" name="Frame3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center"/>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spacing w:lineRule="auto" w:line="288" w:before="0" w:after="240"/>
        <w:ind w:left="0" w:right="0" w:firstLine="360"/>
        <w:rPr>
          <w:rFonts w:ascii="Arial;sans-serif" w:hAnsi="Arial;sans-serif"/>
          <w:b/>
          <w:i/>
          <w:color w:val="000000"/>
          <w:sz w:val="20"/>
        </w:rPr>
      </w:pPr>
      <w:r>
        <w:rPr>
          <w:rFonts w:ascii="Arial;sans-serif" w:hAnsi="Arial;sans-serif"/>
          <w:b/>
          <w:i/>
          <w:color w:val="000000"/>
          <w:sz w:val="20"/>
        </w:rPr>
        <w:t>Financial instruments recorded using FASB ASC 825-10</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reflects the difference between the fair value carrying amount of loans held for sale, measured at fair value under FASB ASC 825-10, and the aggregate unpaid principal amount the Company is contractually entitled to receive at maturity:</w:t>
      </w:r>
    </w:p>
    <w:tbl>
      <w:tblPr>
        <w:tblW w:w="6427" w:type="dxa"/>
        <w:jc w:val="center"/>
        <w:tblInd w:w="0" w:type="dxa"/>
        <w:tblCellMar>
          <w:top w:w="28" w:type="dxa"/>
          <w:left w:w="28" w:type="dxa"/>
          <w:bottom w:w="28" w:type="dxa"/>
          <w:right w:w="28" w:type="dxa"/>
        </w:tblCellMar>
      </w:tblPr>
      <w:tblGrid>
        <w:gridCol w:w="1049"/>
        <w:gridCol w:w="919"/>
        <w:gridCol w:w="927"/>
        <w:gridCol w:w="109"/>
        <w:gridCol w:w="109"/>
        <w:gridCol w:w="109"/>
        <w:gridCol w:w="282"/>
        <w:gridCol w:w="821"/>
        <w:gridCol w:w="156"/>
        <w:gridCol w:w="109"/>
        <w:gridCol w:w="109"/>
        <w:gridCol w:w="109"/>
        <w:gridCol w:w="349"/>
        <w:gridCol w:w="993"/>
        <w:gridCol w:w="277"/>
      </w:tblGrid>
      <w:tr>
        <w:trPr/>
        <w:tc>
          <w:tcPr>
            <w:tcW w:w="104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Fair Value of Loans Held for Sale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Aggregate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9,620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Contractual principal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8,685</w:t>
            </w: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6,808 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Difference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935</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elected to account for loans held for sale at fair value to eliminate the mismatch that would occur by recording changes in market value on derivative instruments used to hedge loans held for sale while carrying the loans at the lower of cost or market. As of March 31, 2023 and December 31, 2022, there were no held for sale loans which were classified as nonaccrual.</w:t>
      </w:r>
    </w:p>
    <w:p>
      <w:pPr>
        <w:pStyle w:val="TextBody"/>
        <w:spacing w:lineRule="auto" w:line="288" w:before="0" w:after="240"/>
        <w:rPr>
          <w:rFonts w:ascii="Arial;sans-serif" w:hAnsi="Arial;sans-serif"/>
          <w:b/>
          <w:i/>
          <w:color w:val="000000"/>
          <w:sz w:val="20"/>
        </w:rPr>
      </w:pPr>
      <w:r>
        <w:rPr>
          <w:rFonts w:ascii="Arial;sans-serif" w:hAnsi="Arial;sans-serif"/>
          <w:b/>
          <w:i/>
          <w:color w:val="000000"/>
          <w:sz w:val="20"/>
        </w:rPr>
        <w:t>Fair value measurements on a nonrecurring basis</w:t>
      </w:r>
    </w:p>
    <w:p>
      <w:pPr>
        <w:pStyle w:val="TextBody"/>
        <w:spacing w:lineRule="auto" w:line="288" w:before="0" w:after="240"/>
        <w:ind w:left="0" w:right="0" w:firstLine="360"/>
        <w:jc w:val="both"/>
        <w:rPr/>
      </w:pPr>
      <w:r>
        <w:rPr>
          <w:rFonts w:ascii="Arial;sans-serif" w:hAnsi="Arial;sans-serif"/>
          <w:b w:val="false"/>
          <w:i/>
          <w:color w:val="000000"/>
          <w:sz w:val="20"/>
        </w:rPr>
        <w:t>Individually evaluated loans</w:t>
      </w:r>
      <w:r>
        <w:rPr>
          <w:color w:val="000000"/>
        </w:rPr>
        <w:t xml:space="preserve"> </w:t>
      </w:r>
      <w:r>
        <w:rPr>
          <w:rFonts w:ascii="Arial;sans-serif" w:hAnsi="Arial;sans-serif"/>
          <w:b w:val="false"/>
          <w:color w:val="000000"/>
          <w:sz w:val="20"/>
        </w:rPr>
        <w:t>- The Company has measured expected credit losses based on the fair value of the loan's collateral and discounted cash flow analysis, where appropriate. Fair value of the collateral is generally determined based upon independent third-party appraisals of the properties, or discounted cash flows based upon the expected proceeds. These assets are included as Level 3 fair values. As of March 31, 2023 and December 31, 2022, the fair values consist of loan receivables of $16.3 million and $9.4 million, with specific reserves of $255 thousand and $372 thousand, respectively.</w:t>
      </w:r>
    </w:p>
    <w:p>
      <w:pPr>
        <w:pStyle w:val="TextBody"/>
        <w:spacing w:lineRule="auto" w:line="288" w:before="0" w:after="240"/>
        <w:ind w:left="0" w:right="0" w:firstLine="360"/>
        <w:jc w:val="both"/>
        <w:rPr/>
      </w:pPr>
      <w:r>
        <w:rPr>
          <w:rFonts w:ascii="Arial;sans-serif" w:hAnsi="Arial;sans-serif"/>
          <w:b w:val="false"/>
          <w:i/>
          <w:color w:val="000000"/>
          <w:sz w:val="20"/>
        </w:rPr>
        <w:t>Foreclosed real estate</w:t>
      </w:r>
      <w:r>
        <w:rPr>
          <w:color w:val="000000"/>
        </w:rPr>
        <w:t xml:space="preserve"> </w:t>
      </w:r>
      <w:r>
        <w:rPr>
          <w:rFonts w:ascii="Arial;sans-serif" w:hAnsi="Arial;sans-serif"/>
          <w:b w:val="false"/>
          <w:color w:val="000000"/>
          <w:sz w:val="20"/>
        </w:rPr>
        <w:t>- The Company's foreclosed real estate is measured at fair value less cost to sell. Fair value is determined based on offers and/or appraisals. Cost to sell the real estate is based on standard market factors. The Company categorizes its foreclosed real estate as Level 3. As of March 31, 2023 and December 31, 2022, there was no foreclosed real estate held by the Company.</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categorized its impaired loans as follows:</w:t>
      </w:r>
    </w:p>
    <w:tbl>
      <w:tblPr>
        <w:tblW w:w="7336" w:type="dxa"/>
        <w:jc w:val="left"/>
        <w:tblInd w:w="0" w:type="dxa"/>
        <w:tblCellMar>
          <w:top w:w="28" w:type="dxa"/>
          <w:left w:w="28" w:type="dxa"/>
          <w:bottom w:w="28" w:type="dxa"/>
          <w:right w:w="28" w:type="dxa"/>
        </w:tblCellMar>
      </w:tblPr>
      <w:tblGrid>
        <w:gridCol w:w="1218"/>
        <w:gridCol w:w="1075"/>
        <w:gridCol w:w="1081"/>
        <w:gridCol w:w="170"/>
        <w:gridCol w:w="170"/>
        <w:gridCol w:w="170"/>
        <w:gridCol w:w="305"/>
        <w:gridCol w:w="1031"/>
        <w:gridCol w:w="170"/>
        <w:gridCol w:w="109"/>
        <w:gridCol w:w="109"/>
        <w:gridCol w:w="109"/>
        <w:gridCol w:w="474"/>
        <w:gridCol w:w="474"/>
        <w:gridCol w:w="671"/>
      </w:tblGrid>
      <w:tr>
        <w:trPr/>
        <w:tc>
          <w:tcPr>
            <w:tcW w:w="1218"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539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Fair Value of Impaired Loans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Individually assessed and impaired loans</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Level 3 inputs</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sans-serif" w:hAnsi="Arial;sans-serif"/>
                <w:b/>
                <w:color w:val="000000"/>
                <w:sz w:val="16"/>
              </w:rPr>
              <w:t>16,050</w:t>
            </w: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9,021 </w:t>
            </w:r>
          </w:p>
        </w:tc>
        <w:tc>
          <w:tcPr>
            <w:tcW w:w="6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16,050</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9,021 </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8650"/>
                <wp:effectExtent l="0" t="0" r="0" b="0"/>
                <wp:wrapNone/>
                <wp:docPr id="35" name="Frame3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center"/>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information describing the unobservable inputs used in Level 3 fair value measurements at March 31, 2023 and December 31, 2022:</w:t>
      </w:r>
    </w:p>
    <w:tbl>
      <w:tblPr>
        <w:tblW w:w="10205" w:type="dxa"/>
        <w:jc w:val="center"/>
        <w:tblInd w:w="0" w:type="dxa"/>
        <w:tblCellMar>
          <w:top w:w="28" w:type="dxa"/>
          <w:left w:w="28" w:type="dxa"/>
          <w:bottom w:w="28" w:type="dxa"/>
          <w:right w:w="28" w:type="dxa"/>
        </w:tblCellMar>
      </w:tblPr>
      <w:tblGrid>
        <w:gridCol w:w="607"/>
        <w:gridCol w:w="532"/>
        <w:gridCol w:w="536"/>
        <w:gridCol w:w="770"/>
        <w:gridCol w:w="770"/>
        <w:gridCol w:w="772"/>
        <w:gridCol w:w="183"/>
        <w:gridCol w:w="183"/>
        <w:gridCol w:w="190"/>
        <w:gridCol w:w="1391"/>
        <w:gridCol w:w="1391"/>
        <w:gridCol w:w="1395"/>
        <w:gridCol w:w="109"/>
        <w:gridCol w:w="109"/>
        <w:gridCol w:w="109"/>
        <w:gridCol w:w="336"/>
        <w:gridCol w:w="336"/>
        <w:gridCol w:w="486"/>
      </w:tblGrid>
      <w:tr>
        <w:trPr/>
        <w:tc>
          <w:tcPr>
            <w:tcW w:w="607"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454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Unobservable Inputs</w:t>
            </w:r>
          </w:p>
        </w:tc>
        <w:tc>
          <w:tcPr>
            <w:tcW w:w="41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Valuation Technique</w:t>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Range of Inputs</w:t>
            </w:r>
          </w:p>
        </w:tc>
      </w:tr>
      <w:tr>
        <w:trPr/>
        <w:tc>
          <w:tcPr>
            <w:tcW w:w="1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2" w:type="dxa"/>
            <w:gridSpan w:val="3"/>
            <w:vMerge w:val="continue"/>
            <w:tcBorders/>
            <w:shd w:fill="auto" w:val="clear"/>
            <w:tcMar>
              <w:top w:w="0" w:type="dxa"/>
              <w:left w:w="0" w:type="dxa"/>
              <w:bottom w:w="0" w:type="dxa"/>
              <w:right w:w="0" w:type="dxa"/>
            </w:tcMar>
            <w:vAlign w:val="center"/>
          </w:tcPr>
          <w:p>
            <w:pPr>
              <w:pStyle w:val="Normal"/>
              <w:rPr/>
            </w:pPr>
            <w:r>
              <w:rPr/>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Individually evaluated loans</w:t>
            </w:r>
          </w:p>
        </w:tc>
        <w:tc>
          <w:tcPr>
            <w:tcW w:w="23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Appraised Value/Discounted Cash Flows</w:t>
            </w:r>
          </w:p>
        </w:tc>
        <w:tc>
          <w:tcPr>
            <w:tcW w:w="5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Discounts to appraisals or cash flows for estimated holding and/or selling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0 to 25%</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2312" w:type="dxa"/>
            <w:gridSpan w:val="3"/>
            <w:tcBorders/>
            <w:shd w:fill="auto" w:val="clear"/>
            <w:vAlign w:val="center"/>
          </w:tcPr>
          <w:p>
            <w:pPr>
              <w:pStyle w:val="TableContents"/>
              <w:spacing w:before="0" w:after="283"/>
              <w:rPr>
                <w:sz w:val="4"/>
                <w:szCs w:val="4"/>
              </w:rPr>
            </w:pPr>
            <w:r>
              <w:rPr>
                <w:sz w:val="4"/>
                <w:szCs w:val="4"/>
              </w:rPr>
            </w:r>
          </w:p>
        </w:tc>
        <w:tc>
          <w:tcPr>
            <w:tcW w:w="556" w:type="dxa"/>
            <w:gridSpan w:val="3"/>
            <w:tcBorders/>
            <w:shd w:fill="auto" w:val="clear"/>
            <w:vAlign w:val="center"/>
          </w:tcPr>
          <w:p>
            <w:pPr>
              <w:pStyle w:val="TableContents"/>
              <w:spacing w:before="0" w:after="283"/>
              <w:rPr>
                <w:sz w:val="4"/>
                <w:szCs w:val="4"/>
              </w:rPr>
            </w:pPr>
            <w:r>
              <w:rPr>
                <w:sz w:val="4"/>
                <w:szCs w:val="4"/>
              </w:rPr>
            </w:r>
          </w:p>
        </w:tc>
        <w:tc>
          <w:tcPr>
            <w:tcW w:w="4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rPr>
          <w:rFonts w:ascii="Arial;sans-serif" w:hAnsi="Arial;sans-serif"/>
          <w:b/>
          <w:i/>
          <w:color w:val="000000"/>
          <w:sz w:val="20"/>
        </w:rPr>
      </w:pPr>
      <w:r>
        <w:rPr>
          <w:rFonts w:ascii="Arial;sans-serif" w:hAnsi="Arial;sans-serif"/>
          <w:b/>
          <w:i/>
          <w:color w:val="000000"/>
          <w:sz w:val="20"/>
        </w:rPr>
        <w:t>Fair value of financial instruments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information used to determine fair value is highly subjective and judgmental in nature and, therefore, the results are imprecise.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cash and cash equivalents and investments in restricted stocks is the carrying amount. Restricted investments includes equity of the Federal Reserve and other banker’s banks.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noninterest-bearing deposits and securities sold under agreements to repurchase is the carrying amount.</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certificates of deposit in other financial institutions is estimated based on interest rates currently offered for deposits of similar remaining maturities.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8650"/>
                <wp:effectExtent l="0" t="0" r="0" b="0"/>
                <wp:wrapNone/>
                <wp:docPr id="36" name="Frame3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center"/>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borrowings is estimated by discounting the value of contractual cash flows using current market rates for borrowings with similar terms and remaining maturities.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table below presents the carrying amount, fair value, and placement in the fair value hierarchy of the Company’s financial instruments. </w:t>
      </w:r>
    </w:p>
    <w:tbl>
      <w:tblPr>
        <w:tblW w:w="10171" w:type="dxa"/>
        <w:jc w:val="left"/>
        <w:tblInd w:w="0" w:type="dxa"/>
        <w:tblCellMar>
          <w:top w:w="28" w:type="dxa"/>
          <w:left w:w="28" w:type="dxa"/>
          <w:bottom w:w="28" w:type="dxa"/>
          <w:right w:w="28" w:type="dxa"/>
        </w:tblCellMar>
      </w:tblPr>
      <w:tblGrid>
        <w:gridCol w:w="1436"/>
        <w:gridCol w:w="1265"/>
        <w:gridCol w:w="1273"/>
        <w:gridCol w:w="242"/>
        <w:gridCol w:w="1094"/>
        <w:gridCol w:w="134"/>
        <w:gridCol w:w="109"/>
        <w:gridCol w:w="109"/>
        <w:gridCol w:w="109"/>
        <w:gridCol w:w="196"/>
        <w:gridCol w:w="886"/>
        <w:gridCol w:w="109"/>
        <w:gridCol w:w="109"/>
        <w:gridCol w:w="109"/>
        <w:gridCol w:w="109"/>
        <w:gridCol w:w="222"/>
        <w:gridCol w:w="989"/>
        <w:gridCol w:w="123"/>
        <w:gridCol w:w="109"/>
        <w:gridCol w:w="109"/>
        <w:gridCol w:w="109"/>
        <w:gridCol w:w="196"/>
        <w:gridCol w:w="871"/>
        <w:gridCol w:w="154"/>
      </w:tblGrid>
      <w:tr>
        <w:trPr/>
        <w:tc>
          <w:tcPr>
            <w:tcW w:w="1436"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4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 Value</w:t>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Financial assets</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1</w:t>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14,477</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14,477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125,448</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125,448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462</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3</w:t>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Portfolio loans receivable, net </w:t>
            </w:r>
            <w:r>
              <w:rPr>
                <w:rFonts w:ascii="Arial;sans-serif" w:hAnsi="Arial;sans-serif"/>
                <w:b w:val="false"/>
                <w:color w:val="000000"/>
                <w:sz w:val="10"/>
              </w:rPr>
              <w:t>(1)</w:t>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1,761,930</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1,740,090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1,704,370 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1,659,283 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4,215</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Financial liabilities</w:t>
            </w:r>
          </w:p>
        </w:tc>
        <w:tc>
          <w:tcPr>
            <w:tcW w:w="1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1</w:t>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705,801</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705,801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674,313 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674,313 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3</w:t>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1,238,573</w:t>
            </w: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1,246,089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1,083,759 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1,090,553 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FHLB advances and other borrowed funds</w:t>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44,062</w:t>
            </w: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41,572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119,062 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w:t>
      </w:r>
    </w:p>
    <w:p>
      <w:pPr>
        <w:pStyle w:val="TextBody"/>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Includes SBA-PPP loans and portfolio loans.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8650"/>
                <wp:effectExtent l="0" t="0" r="0" b="0"/>
                <wp:wrapNone/>
                <wp:docPr id="37" name="Frame3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5894" w:type="dxa"/>
        <w:jc w:val="center"/>
        <w:tblInd w:w="0" w:type="dxa"/>
        <w:tblCellMar>
          <w:top w:w="28" w:type="dxa"/>
          <w:left w:w="28" w:type="dxa"/>
          <w:bottom w:w="28" w:type="dxa"/>
          <w:right w:w="28" w:type="dxa"/>
        </w:tblCellMar>
      </w:tblPr>
      <w:tblGrid>
        <w:gridCol w:w="1886"/>
        <w:gridCol w:w="1658"/>
        <w:gridCol w:w="2350"/>
      </w:tblGrid>
      <w:tr>
        <w:trPr/>
        <w:tc>
          <w:tcPr>
            <w:tcW w:w="1886"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Note 9 - Segments</w:t>
            </w:r>
          </w:p>
        </w:tc>
      </w:tr>
    </w:tbl>
    <w:p>
      <w:pPr>
        <w:pStyle w:val="TextBody"/>
        <w:spacing w:before="0" w:after="240"/>
        <w:ind w:left="0" w:right="0" w:firstLine="360"/>
        <w:jc w:val="both"/>
        <w:rPr/>
      </w:pPr>
      <w:r>
        <w:rPr/>
      </w:r>
    </w:p>
    <w:p>
      <w:pPr>
        <w:pStyle w:val="TextBody"/>
        <w:spacing w:lineRule="auto" w:line="288" w:before="0" w:after="240"/>
        <w:ind w:left="0" w:right="0" w:firstLine="360"/>
        <w:jc w:val="both"/>
        <w:rPr/>
      </w:pPr>
      <w:r>
        <w:rPr>
          <w:rFonts w:ascii="Arial;sans-serif" w:hAnsi="Arial;sans-serif"/>
          <w:b w:val="false"/>
          <w:color w:val="000000"/>
          <w:sz w:val="20"/>
        </w:rPr>
        <w:t>The Company’s reportable segments represent business units with discrete financial information whose results are regularly reviewed by management. The four segments include Commercial Banking, Capital Bank Home Loans (the Company’s mortgage loan division),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(the Company’s credit card division) and the Corporate Office. The following schedule presents financial information for each reportable segment at March 31, 2023 and March 31, 2022. </w:t>
      </w:r>
    </w:p>
    <w:tbl>
      <w:tblPr>
        <w:tblW w:w="10205" w:type="dxa"/>
        <w:jc w:val="center"/>
        <w:tblInd w:w="0" w:type="dxa"/>
        <w:tblCellMar>
          <w:top w:w="28" w:type="dxa"/>
          <w:left w:w="28" w:type="dxa"/>
          <w:bottom w:w="28" w:type="dxa"/>
          <w:right w:w="28" w:type="dxa"/>
        </w:tblCellMar>
      </w:tblPr>
      <w:tblGrid>
        <w:gridCol w:w="692"/>
        <w:gridCol w:w="366"/>
        <w:gridCol w:w="343"/>
        <w:gridCol w:w="125"/>
        <w:gridCol w:w="125"/>
        <w:gridCol w:w="125"/>
        <w:gridCol w:w="226"/>
        <w:gridCol w:w="1023"/>
        <w:gridCol w:w="125"/>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94"/>
        <w:gridCol w:w="109"/>
        <w:gridCol w:w="109"/>
        <w:gridCol w:w="109"/>
        <w:gridCol w:w="109"/>
        <w:gridCol w:w="196"/>
        <w:gridCol w:w="886"/>
        <w:gridCol w:w="161"/>
      </w:tblGrid>
      <w:tr>
        <w:trPr/>
        <w:tc>
          <w:tcPr>
            <w:tcW w:w="69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15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OpenSky</w:t>
            </w:r>
            <w:r>
              <w:rPr>
                <w:rFonts w:ascii="Arial;sans-serif" w:hAnsi="Arial;sans-serif"/>
                <w:b/>
                <w:color w:val="000000"/>
                <w:sz w:val="1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Corporate</w:t>
            </w:r>
            <w:r>
              <w:rPr>
                <w:rFonts w:ascii="Arial;sans-serif" w:hAnsi="Arial;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26,300</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43,416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8,739</w:t>
            </w: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8,929</w:t>
            </w: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17,561</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34,487</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(release of provision) for credit losses</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(161)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1,821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1,660</w:t>
            </w: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17,722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14,309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32,827</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income</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489</w:t>
            </w: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1,327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6,026</w:t>
            </w: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Noninterest expense</w:t>
            </w:r>
            <w:r>
              <w:rPr>
                <w:rFonts w:ascii="Arial;sans-serif" w:hAnsi="Arial;sans-serif"/>
                <w:b w:val="false"/>
                <w:color w:val="000000"/>
                <w:sz w:val="10"/>
              </w:rPr>
              <w:t>(1)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14,980</w:t>
            </w: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1,581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9,450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26,203</w:t>
            </w: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3,231</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9,069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12,650</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2,074,634</w:t>
            </w: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10,193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106,761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257,048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(203,350)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2,245,286</w:t>
            </w: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18,499 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34,402 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33,331 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income</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Noninterest expense</w:t>
            </w:r>
            <w:r>
              <w:rPr>
                <w:rFonts w:ascii="Arial;sans-serif" w:hAnsi="Arial;sans-serif"/>
                <w:b w:val="false"/>
                <w:color w:val="000000"/>
                <w:sz w:val="10"/>
              </w:rPr>
              <w:t>(1)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27,102 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before taxes</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13,565 </w:t>
            </w:r>
          </w:p>
        </w:tc>
        <w:tc>
          <w:tcPr>
            <w:tcW w:w="1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1,938,326 </w:t>
            </w:r>
          </w:p>
        </w:tc>
        <w:tc>
          <w:tcPr>
            <w:tcW w:w="12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122,756 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222,167 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(178,426)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2,122,453 </w:t>
            </w:r>
          </w:p>
        </w:tc>
        <w:tc>
          <w:tcPr>
            <w:tcW w:w="16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Arial;sans-serif" w:hAnsi="Arial;sans-serif"/>
          <w:b w:val="false"/>
          <w:color w:val="000000"/>
          <w:sz w:val="16"/>
        </w:rPr>
      </w:pPr>
      <w:r>
        <w:rPr>
          <w:rFonts w:ascii="Arial;sans-serif" w:hAnsi="Arial;sans-serif"/>
          <w:b w:val="false"/>
          <w:color w:val="000000"/>
          <w:sz w:val="16"/>
        </w:rPr>
        <w:t>________________________</w:t>
      </w:r>
    </w:p>
    <w:p>
      <w:pPr>
        <w:pStyle w:val="TextBody"/>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Noninterest expense includes $5.9 million and $7.6 million in data processing expense in OpenSky’s</w:t>
      </w:r>
      <w:r>
        <w:rPr>
          <w:rFonts w:ascii="Arial;sans-serif" w:hAnsi="Arial;sans-serif"/>
          <w:b w:val="false"/>
          <w:color w:val="000000"/>
          <w:sz w:val="9"/>
        </w:rPr>
        <w:t>®</w:t>
      </w:r>
      <w:r>
        <w:rPr>
          <w:color w:val="000000"/>
        </w:rPr>
        <w:t xml:space="preserve"> </w:t>
      </w:r>
      <w:r>
        <w:rPr>
          <w:rFonts w:ascii="Arial;sans-serif" w:hAnsi="Arial;sans-serif"/>
          <w:b w:val="false"/>
          <w:color w:val="000000"/>
          <w:sz w:val="14"/>
        </w:rPr>
        <w:t>segment for the three months ended March 31, 2023 and 2022, respectively.</w:t>
      </w:r>
    </w:p>
    <w:p>
      <w:pPr>
        <w:pStyle w:val="TextBody"/>
        <w:spacing w:lineRule="auto" w:line="288" w:before="0" w:after="240"/>
        <w:ind w:left="0" w:right="0" w:hanging="360"/>
        <w:jc w:val="both"/>
        <w:rPr/>
      </w:pPr>
      <w:r>
        <w:rPr>
          <w:rFonts w:ascii="Arial;sans-serif" w:hAnsi="Arial;sans-serif"/>
          <w:b w:val="false"/>
          <w:color w:val="000000"/>
          <w:sz w:val="9"/>
        </w:rPr>
        <w:t>(2)    </w:t>
      </w:r>
      <w:r>
        <w:rPr>
          <w:rFonts w:ascii="Arial;sans-serif" w:hAnsi="Arial;sans-serif"/>
          <w:b w:val="false"/>
          <w:color w:val="000000"/>
          <w:sz w:val="14"/>
        </w:rPr>
        <w:t>The Corporate segment invests idle cash in revenue producing assets including interest-bearing cash accounts, loan participations and other appropriate investments for the Company.</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8650"/>
                <wp:effectExtent l="0" t="0" r="0" b="0"/>
                <wp:wrapNone/>
                <wp:docPr id="38" name="Frame3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2022.</w:t>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PRIVATE SECURITIES LITIGATION REFORM ACT SAFE HARBOR STATEMENT</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“forecast,” “could,” “project,” “seek,” “should,” “will,” or “would,” or the negative of these words and phrases or similar words and phrases.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factors, among others, could cause our financial performance to differ materially from that expressed in such forward-looking statements:</w:t>
      </w:r>
    </w:p>
    <w:p>
      <w:pPr>
        <w:pStyle w:val="TextBody"/>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General Economic Conditions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economic conditions (including the interest rate environment, government economic and monetary policies, the strength of global financial markets and inflation/deflation) that impact the financial services industry as a whole and/or our business;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recent adverse developments in the banking industry highlighted by high-profile bank failures and the potential impact of such developments on customer confidence, liquidity, and regulatory responses to these developments;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the concentration of our business in the Washington, D.C. and Baltimore, Maryland metropolitan areas and the effect of changes in the economic, political and environmental conditions on these markets;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interest rate risk associated with our business, including sensitivity of our interest earning assets and interest-bearing liabilities to changes in interest rates, and the impact to our earnings from changes in interest rates;</w:t>
      </w:r>
    </w:p>
    <w:p>
      <w:pPr>
        <w:pStyle w:val="TextBody"/>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General Business Operations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our ability to prudently manage our growth and execute our strategy;</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our plans to grow our commercial real estate and commercial business loan portfolios which may carry material risks of non-payment or other unfavorable consequences;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adequacy of reserves, including our allowance for credit losses;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deterioration of our asset quality;</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risks associated with our residential mortgage banking business;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8650"/>
                <wp:effectExtent l="0" t="0" r="0" b="0"/>
                <wp:wrapNone/>
                <wp:docPr id="39" name="Frame3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risks associated with our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credit card division, including compliance with applicable consumer finance and fraud prevention regulations;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results of examinations of us by our regulators, including the possibility that our regulators may, among other things, require us to increase our allowance for credit losses or to write-down assets;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the effectiveness of our internal controls over financial reporting and our ability to remediate any future material weakness in our internal controls over financial reporting;</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changes in the value of collateral securing our loans;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our dependence on our management team and board of directors and changes in management and board composition;</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liquidity and operations risks associated with our business;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our ability to maintain important customer deposit relationships and our reputation;</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operational risks associated with our business;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strategic acquisitions we may undertake to achieve our goals;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the sufficiency of our capital, including sources of capital and the extent to which we may be required to raise additional capital to meet our goals;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fluctuations in the fair value of our investment securities that are beyond our control;</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potential exposure to fraud, negligence, computer theft and cyber-crime;</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the adequacy of our risk management framework;</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our dependence on our information technology and telecommunications systems and the potential for any systems failures or interruptions;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our dependence upon outside third parties for the processing and handling of our records and data;</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our ability to adapt to technological change;</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our engagement in derivative transactions;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volatility and direction of market interest rates;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increased competition in the financial services industry, particularly from regional and national institutions;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the transition away from USD London Interbank Offering Rate (“LIBOR”) and related uncertainty and costs regarding migration to potential alternative reference rates, including the Secured Overnight Financing Rate (“SOFR”);</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our involvement from time to time in legal proceedings, examinations and remedial actions by regulators;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changes in the laws, rules, regulations, interpretations or policies relating to financial institution, accounting, tax, trade, monetary and fiscal matters;</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the financial soundness of other financial institutions;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8650"/>
                <wp:effectExtent l="0" t="0" r="0" b="0"/>
                <wp:wrapNone/>
                <wp:docPr id="40" name="Frame3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further government intervention in the U.S. financial system;</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climate change, including the enhanced regulatory, compliance, credit and reputational risks and costs; and</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20"/>
        </w:rPr>
        <w:t>natural disasters and adverse weather, acts of terrorism, an outbreak of hostilities or other international or domestic calamities, and other matters beyond our control.</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and/or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2022 and those referenced herein and in other reports on file with the SEC.</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Critical Accounting Policies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accounting and reporting policies of the Company are in accordance with U.S.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deemed necessary. Management has discussed the Company’s critical accounting policies and estimates with the Audit Committee of the Board of Directors of the Company.</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accounting policies are fundamental to understanding the Company’s consolidated financial position and consolidated results of operations. Accordingly, the Company’s significant accounting policies are discussed in detail in Note 1 “Nature of Business and Basis of Presentation” in the “Notes to the Consolidated Financial Statements” contained in Item 8 "Financial Statements and Supplementary Data" of the Company’s 2022 Form 10-K.</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critical accounting and reporting policies include the Company’s accounting for the ACL. The Company provides additional information on its ACL in Note 1 “Significant Accounting Policies” within Part I, Item 1 of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color w:val="000000"/>
          <w:sz w:val="20"/>
        </w:rPr>
      </w:pPr>
      <w:r>
        <w:rPr>
          <w:rFonts w:ascii="Arial;sans-serif" w:hAnsi="Arial;sans-serif"/>
          <w:b/>
          <w:color w:val="000000"/>
          <w:sz w:val="20"/>
        </w:rPr>
        <w:t>Overview</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Capital Bancorp, Inc., a bank holding company and a Maryland corporation incorporated in 1998, operating primarily through our wholly owned subsidiary, Capital Bank, N.A., a commercial-focused community bank based in Washington D.C. and Baltimore metropolitan areas. The Bank is headquartered in Rockville, Maryland and received its charter in 1999 and began operations in 1999. We serve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8650"/>
                <wp:effectExtent l="0" t="0" r="0" b="0"/>
                <wp:wrapNone/>
                <wp:docPr id="41" name="Frame4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businesses, not-for-profit associations and entrepreneurs throughout the Washington, D.C. and Baltimore, Maryland metropolitan areas through four commercial bank branches, one mortgage office, and two loan production offices.</w:t>
      </w:r>
    </w:p>
    <w:p>
      <w:pPr>
        <w:pStyle w:val="TextBody"/>
        <w:spacing w:lineRule="auto" w:line="288" w:before="0" w:after="240"/>
        <w:ind w:left="0" w:right="0" w:firstLine="360"/>
        <w:jc w:val="both"/>
        <w:rPr/>
      </w:pPr>
      <w:r>
        <w:rPr>
          <w:rFonts w:ascii="Arial;sans-serif" w:hAnsi="Arial;sans-serif"/>
          <w:b w:val="false"/>
          <w:color w:val="000000"/>
          <w:sz w:val="20"/>
        </w:rPr>
        <w:t>The Company currently operates three divisions: Commercial Banking, Capital Bank Home Loans, and OpenSky</w:t>
      </w:r>
      <w:r>
        <w:rPr>
          <w:rFonts w:ascii="Arial;sans-serif" w:hAnsi="Arial;sans-serif"/>
          <w:b w:val="false"/>
          <w:color w:val="000000"/>
          <w:sz w:val="13"/>
        </w:rPr>
        <w:t>®</w:t>
      </w:r>
      <w:r>
        <w:rPr>
          <w:rFonts w:ascii="Arial;sans-serif" w:hAnsi="Arial;sans-serif"/>
          <w:b w:val="false"/>
          <w:color w:val="000000"/>
          <w:sz w:val="20"/>
        </w:rPr>
        <w:t>. 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Commercial Banking division accounts for the majority of the Bank’s total assets. Our commercial bankers endeavor to provide quality service, customized solutions and tailored advice to commercial clients in our operating markets, primarily in the Washington, D.C. and Baltimore metropolitan areas.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Capital Bank Home Loan (“CBHL”) division originates conventional and government-guaranteed residential mortgage loans on a nationwide basis primarily for sale into the secondary market and, in certain circumstances, for the Bank’s loan portfolio.</w:t>
      </w:r>
    </w:p>
    <w:p>
      <w:pPr>
        <w:pStyle w:val="TextBody"/>
        <w:spacing w:lineRule="auto" w:line="288" w:before="0" w:after="240"/>
        <w:ind w:left="0" w:right="0" w:firstLine="360"/>
        <w:jc w:val="both"/>
        <w:rPr/>
      </w:pPr>
      <w:r>
        <w:rPr>
          <w:rFonts w:ascii="Arial;sans-serif" w:hAnsi="Arial;sans-serif"/>
          <w:b w:val="false"/>
          <w:color w:val="000000"/>
          <w:sz w:val="20"/>
        </w:rPr>
        <w:t>Our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division provides secured, partially secured and unsecured credit cards on a nationwide basis to under-banked populations and those looking to rebuild their credit scores. OpenSky</w:t>
      </w:r>
      <w:r>
        <w:rPr>
          <w:rFonts w:ascii="Arial;sans-serif" w:hAnsi="Arial;sans-serif"/>
          <w:b w:val="false"/>
          <w:color w:val="000000"/>
          <w:sz w:val="13"/>
        </w:rPr>
        <w:t xml:space="preserve">® </w:t>
      </w:r>
      <w:r>
        <w:rPr>
          <w:rFonts w:ascii="Arial;sans-serif" w:hAnsi="Arial;sans-serif"/>
          <w:b w:val="false"/>
          <w:color w:val="000000"/>
          <w:sz w:val="20"/>
        </w:rPr>
        <w:t>cards operate on a digital and mobile enabled platform with almost all marketing and application procedures conducted through website and mobile applications. For the secured credit card, a deposit equal to the full credit limit of the card is made, upon account opening, into a noninterest-bearing demand account with the Bank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also offers certain existing customers an unsecured line supplementary to their secured line of credit.</w:t>
      </w:r>
    </w:p>
    <w:p>
      <w:pPr>
        <w:pStyle w:val="TextBody"/>
        <w:spacing w:lineRule="auto" w:line="288" w:before="0" w:after="240"/>
        <w:ind w:left="0" w:right="0" w:firstLine="360"/>
        <w:jc w:val="both"/>
        <w:rPr>
          <w:rFonts w:ascii="Arial;sans-serif" w:hAnsi="Arial;sans-serif"/>
          <w:b w:val="false"/>
          <w:color w:val="000000"/>
          <w:sz w:val="20"/>
          <w:u w:val="single"/>
        </w:rPr>
      </w:pPr>
      <w:r>
        <w:rPr>
          <w:rFonts w:ascii="Arial;sans-serif" w:hAnsi="Arial;sans-serif"/>
          <w:b w:val="false"/>
          <w:color w:val="000000"/>
          <w:sz w:val="20"/>
          <w:u w:val="single"/>
        </w:rPr>
        <w:t>Capital</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2023, the Bank was in compliance with all applicable regulatory capital requirements to which it was subject, and the Bank was classified as “well capitalized” for purposes of the prompt corrective action regulations. There are no conditions or events since that notification that management believes would change the Bank’s classification. We closely monitor our capital position and intend to take appropriate steps to ensure our level of capital remains strong.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8650"/>
                <wp:effectExtent l="0" t="0" r="0" b="0"/>
                <wp:wrapNone/>
                <wp:docPr id="42" name="Frame4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 xml:space="preserve">Results of Operations </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Net Income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principal components of net income for the periods indicated.</w:t>
      </w:r>
    </w:p>
    <w:tbl>
      <w:tblPr>
        <w:tblW w:w="7026" w:type="dxa"/>
        <w:jc w:val="center"/>
        <w:tblInd w:w="0" w:type="dxa"/>
        <w:tblCellMar>
          <w:top w:w="28" w:type="dxa"/>
          <w:left w:w="28" w:type="dxa"/>
          <w:bottom w:w="28" w:type="dxa"/>
          <w:right w:w="28" w:type="dxa"/>
        </w:tblCellMar>
      </w:tblPr>
      <w:tblGrid>
        <w:gridCol w:w="1115"/>
        <w:gridCol w:w="984"/>
        <w:gridCol w:w="991"/>
        <w:gridCol w:w="211"/>
        <w:gridCol w:w="736"/>
        <w:gridCol w:w="109"/>
        <w:gridCol w:w="109"/>
        <w:gridCol w:w="109"/>
        <w:gridCol w:w="109"/>
        <w:gridCol w:w="211"/>
        <w:gridCol w:w="721"/>
        <w:gridCol w:w="109"/>
        <w:gridCol w:w="109"/>
        <w:gridCol w:w="109"/>
        <w:gridCol w:w="109"/>
        <w:gridCol w:w="307"/>
        <w:gridCol w:w="309"/>
        <w:gridCol w:w="569"/>
      </w:tblGrid>
      <w:tr>
        <w:trPr/>
        <w:tc>
          <w:tcPr>
            <w:tcW w:w="1115"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424"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43,416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8,929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733.7 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interest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34,487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1,660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Net interest income after provision</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32,827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6,026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26,203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 before income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12,650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2,915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9,735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Net income for the three months ended March 31, 2023 was $9.7 million, compared to net income of $10.2 million for the same period in 2022, a 4.7% decrease. Net interest income increased $1.2 million, or 3.5%, to $34.5 million when comparing the three months ended March 31, 2023 to the three months ended March 31, 2022, primarily due to higher yields on portfolio loans offset by significant increases in the cost of funding. For the quarter ended March 31, 2023, noninterest income was $6.0 million, a decrease of $2.3 million, or 27.3%, from $8.3 million in the prior year quarter. Credit card fees declined by $1.7 million as the number of active customer accounts declined year over year, which resulted in lower interchange and other income recognized compared to the prior year quarter. The significant increases in market interest rates have negatively impacted home loan sales and home loan refinances, which resulted in a $634 thousand decrease in mortgage banking revenue compared to the three months ended March 31, 2022.</w:t>
      </w:r>
    </w:p>
    <w:p>
      <w:pPr>
        <w:pStyle w:val="TextBody"/>
        <w:spacing w:lineRule="auto" w:line="288" w:before="0" w:after="240"/>
        <w:ind w:left="0" w:right="0" w:firstLine="360"/>
        <w:jc w:val="both"/>
        <w:rPr/>
      </w:pPr>
      <w:r>
        <w:rPr>
          <w:rFonts w:ascii="Arial;sans-serif" w:hAnsi="Arial;sans-serif"/>
          <w:b w:val="false"/>
          <w:color w:val="000000"/>
          <w:sz w:val="20"/>
        </w:rPr>
        <w:t>Noninterest expense was $26.2 million for the three months ended March 31, 2023, as compared to $27.1 million for the three months ended March 31, 2022, a decrease of $899 thousand, or 3.3%. The decrease was primarily driven by lower data processing expenses and advertising expenses of $1.7 million and $1.1 million, respectively, attributable to data processing contract renegotiations completed during the three months ended March 31, 2022 and lower marketing costs for the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Commercial Bank segments, offset by increases in salaries and employee benefits of $2.2 million, or 21.8%.</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Net Interest Income and Net Margin Analysis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Net interest income is the difference between interest income on interest earning assets and the cost of funds supporting those assets. Interest earning assets are composed primarily of loans, loans held for sale, investment securities, and interest-bearing deposits with banks. The cost of funds represents interest expense on deposits and borrowings, which consist of federal funds purchased, advances from the FHLB, and subordinated notes. Noninterest-bearing deposits and capital also provide sources of funding.</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analyze our ability to maximize income generated from interest earning assets and control the interest expenses of our liabilities, measured as net interest income, through our net interest margin and net interest spread. Net interest margin is a ratio calculated as net interest income annualized divided by average interest earning assets for the same period. Net interest spread is the difference between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28650"/>
                <wp:effectExtent l="0" t="0" r="0" b="0"/>
                <wp:wrapNone/>
                <wp:docPr id="43" name="Frame4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average interest rates earned on interest earning assets and average interest rates paid on interest-bearing liabilities.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Changes in market interest rates and the interest rates we earn on interest earning assets or pay on interest-bearing liabilities, as well as in the volume and mix of interest earning assets, interest-bearing and noninterest-bearing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net interest income and net interest margin.</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average balances and weighted average rates of the major categories of the Company’s assets, liabilities, and stockholders’ equity for the three months ended March 31, 2023 and 2022. Weighted average yields are derived by dividing annualized income by the average balance of the related assets, and weighted average rates are derived by dividing annualized expense by the average balance of the related liabilities, for the periods shown. Average outstanding balances are derived by utilizing average daily balances for the time period shown. The weighted average yields and rates include amortization of fees, costs, premiums and discounts, which are considered adjustments to yield/rates. Weighted average yields on tax-exempt securities are not calculated on a fully taxable equivalent basis.</w:t>
      </w:r>
    </w:p>
    <w:p>
      <w:pPr>
        <w:pStyle w:val="TextBody"/>
        <w:spacing w:before="0" w:after="24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8650"/>
                <wp:effectExtent l="0" t="0" r="0" b="0"/>
                <wp:wrapNone/>
                <wp:docPr id="44" name="Frame4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AVERAGE BALANCE SHEET AND NET INTEREST ANALYSIS</w:t>
      </w:r>
    </w:p>
    <w:tbl>
      <w:tblPr>
        <w:tblW w:w="10205" w:type="dxa"/>
        <w:jc w:val="left"/>
        <w:tblInd w:w="0" w:type="dxa"/>
        <w:tblCellMar>
          <w:top w:w="28" w:type="dxa"/>
          <w:left w:w="28" w:type="dxa"/>
          <w:bottom w:w="28" w:type="dxa"/>
          <w:right w:w="28" w:type="dxa"/>
        </w:tblCellMar>
      </w:tblPr>
      <w:tblGrid>
        <w:gridCol w:w="988"/>
        <w:gridCol w:w="590"/>
        <w:gridCol w:w="458"/>
        <w:gridCol w:w="196"/>
        <w:gridCol w:w="886"/>
        <w:gridCol w:w="109"/>
        <w:gridCol w:w="109"/>
        <w:gridCol w:w="109"/>
        <w:gridCol w:w="109"/>
        <w:gridCol w:w="228"/>
        <w:gridCol w:w="770"/>
        <w:gridCol w:w="126"/>
        <w:gridCol w:w="109"/>
        <w:gridCol w:w="109"/>
        <w:gridCol w:w="109"/>
        <w:gridCol w:w="240"/>
        <w:gridCol w:w="241"/>
        <w:gridCol w:w="415"/>
        <w:gridCol w:w="109"/>
        <w:gridCol w:w="109"/>
        <w:gridCol w:w="109"/>
        <w:gridCol w:w="196"/>
        <w:gridCol w:w="871"/>
        <w:gridCol w:w="109"/>
        <w:gridCol w:w="109"/>
        <w:gridCol w:w="109"/>
        <w:gridCol w:w="109"/>
        <w:gridCol w:w="229"/>
        <w:gridCol w:w="758"/>
        <w:gridCol w:w="127"/>
        <w:gridCol w:w="109"/>
        <w:gridCol w:w="109"/>
        <w:gridCol w:w="109"/>
        <w:gridCol w:w="278"/>
        <w:gridCol w:w="278"/>
        <w:gridCol w:w="477"/>
      </w:tblGrid>
      <w:tr>
        <w:trPr/>
        <w:tc>
          <w:tcPr>
            <w:tcW w:w="98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r>
      <w:tr>
        <w:trPr/>
        <w:tc>
          <w:tcPr>
            <w:tcW w:w="2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9"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7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 xml:space="preserve">Outstanding </w:t>
              <w:br/>
              <w:t>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Interest Income/ </w:t>
              <w:br/>
              <w:t>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6"/>
              </w:rPr>
              <w:t xml:space="preserve">Average </w:t>
              <w:br/>
              <w:t xml:space="preserve">Yield/ </w:t>
              <w:br/>
              <w:t>Rate</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 xml:space="preserve">Outstanding </w:t>
              <w:br/>
              <w:t>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Interest Income/ </w:t>
              <w:br/>
              <w:t>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6"/>
              </w:rPr>
              <w:t xml:space="preserve">Average </w:t>
              <w:br/>
              <w:t xml:space="preserve">Yield/ </w:t>
              <w:br/>
              <w:t>Rate</w:t>
            </w:r>
            <w:r>
              <w:rPr>
                <w:rFonts w:ascii="Arial;sans-serif" w:hAnsi="Arial;sans-serif"/>
                <w:b/>
                <w:color w:val="000000"/>
                <w:sz w:val="10"/>
              </w:rPr>
              <w:t>(1)</w:t>
            </w:r>
          </w:p>
        </w:tc>
      </w:tr>
      <w:tr>
        <w:trPr/>
        <w:tc>
          <w:tcPr>
            <w:tcW w:w="2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in thousands)</w:t>
            </w:r>
          </w:p>
        </w:tc>
        <w:tc>
          <w:tcPr>
            <w:tcW w:w="8169" w:type="dxa"/>
            <w:gridSpan w:val="3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62,566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0"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615</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3.99</w:t>
            </w:r>
            <w:r>
              <w:rPr>
                <w:color w:val="000000"/>
              </w:rPr>
              <w:t> </w:t>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4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Federal funds sold</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3.62</w:t>
            </w:r>
            <w:r>
              <w:rPr>
                <w:color w:val="000000"/>
              </w:rPr>
              <w:t>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Investment securities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274,685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1,377</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2.03</w:t>
            </w:r>
            <w:r>
              <w:rPr>
                <w:color w:val="000000"/>
              </w:rPr>
              <w:t>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7,346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130</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7.17</w:t>
            </w:r>
            <w:r>
              <w:rPr>
                <w:color w:val="000000"/>
              </w:rPr>
              <w:t>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Loans held for sale</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4,695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77</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6.65</w:t>
            </w:r>
            <w:r>
              <w:rPr>
                <w:color w:val="000000"/>
              </w:rPr>
              <w:t>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SBA-PPP loans receivable</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2,099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1.50</w:t>
            </w:r>
            <w:r>
              <w:rPr>
                <w:color w:val="000000"/>
              </w:rPr>
              <w:t>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Portfolio loans receivable</w:t>
            </w:r>
            <w:r>
              <w:rPr>
                <w:rFonts w:ascii="Arial;sans-serif" w:hAnsi="Arial;sans-serif"/>
                <w:b w:val="false"/>
                <w:color w:val="000000"/>
                <w:sz w:val="10"/>
              </w:rPr>
              <w:t>(2)</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1,750,539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41,191</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9.54</w:t>
            </w:r>
            <w:r>
              <w:rPr>
                <w:color w:val="000000"/>
              </w:rPr>
              <w:t>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31,712 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2,103,984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43,416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8.37</w:t>
            </w:r>
            <w:r>
              <w:rPr>
                <w:color w:val="000000"/>
              </w:rPr>
              <w:t>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34,402 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40,265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2,144,249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2,057,201 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186,184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0"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70</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0.15</w:t>
            </w:r>
            <w:r>
              <w:rPr>
                <w:color w:val="000000"/>
              </w:rPr>
              <w:t> </w:t>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4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Savings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0.05</w:t>
            </w:r>
            <w:r>
              <w:rPr>
                <w:color w:val="000000"/>
              </w:rPr>
              <w:t>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Money market accounts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604,864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4,587</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3.08</w:t>
            </w:r>
            <w:r>
              <w:rPr>
                <w:color w:val="000000"/>
              </w:rPr>
              <w:t>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0.23 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Time deposits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319,449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3,096</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3.93</w:t>
            </w:r>
            <w:r>
              <w:rPr>
                <w:color w:val="000000"/>
              </w:rPr>
              <w:t>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Borrowed funds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118,379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1,175</w:t>
            </w: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4.02</w:t>
            </w:r>
            <w:r>
              <w:rPr>
                <w:color w:val="000000"/>
              </w:rPr>
              <w:t>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4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1,235,378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8,929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22,355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654,025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782,747 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232,491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2,144,249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2,057,201 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spread</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5.44</w:t>
            </w:r>
            <w:r>
              <w:rPr>
                <w:color w:val="000000"/>
              </w:rPr>
              <w:t> </w:t>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4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0"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34,487</w:t>
            </w: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33,331 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Net interest margin </w:t>
            </w:r>
            <w:r>
              <w:rPr>
                <w:rFonts w:ascii="Arial;sans-serif" w:hAnsi="Arial;sans-serif"/>
                <w:b w:val="false"/>
                <w:color w:val="000000"/>
                <w:sz w:val="10"/>
              </w:rPr>
              <w:t>(3)</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6.65</w:t>
            </w:r>
            <w:r>
              <w:rPr>
                <w:color w:val="000000"/>
              </w:rPr>
              <w:t> </w:t>
            </w:r>
          </w:p>
        </w:tc>
        <w:tc>
          <w:tcPr>
            <w:tcW w:w="415"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47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r>
      <w:tr>
        <w:trPr/>
        <w:tc>
          <w:tcPr>
            <w:tcW w:w="203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jc w:val="both"/>
        <w:rPr/>
      </w:pPr>
      <w:r>
        <w:rPr>
          <w:rFonts w:ascii="Times New Roman;sans-serif" w:hAnsi="Times New Roman;sans-serif"/>
          <w:b w:val="false"/>
          <w:color w:val="000000"/>
          <w:sz w:val="8"/>
        </w:rPr>
        <w:t>(1)</w:t>
      </w:r>
      <w:r>
        <w:rPr>
          <w:rFonts w:ascii="Arial;sans-serif" w:hAnsi="Arial;sans-serif"/>
          <w:b w:val="false"/>
          <w:color w:val="000000"/>
          <w:sz w:val="12"/>
        </w:rPr>
        <w:t>Annualized.</w:t>
      </w:r>
    </w:p>
    <w:p>
      <w:pPr>
        <w:pStyle w:val="TextBody"/>
        <w:spacing w:lineRule="auto" w:line="288" w:before="0" w:after="0"/>
        <w:ind w:left="0" w:right="0" w:hanging="360"/>
        <w:jc w:val="both"/>
        <w:rPr/>
      </w:pPr>
      <w:r>
        <w:rPr>
          <w:rFonts w:ascii="Times New Roman;sans-serif" w:hAnsi="Times New Roman;sans-serif"/>
          <w:b w:val="false"/>
          <w:color w:val="000000"/>
          <w:sz w:val="8"/>
        </w:rPr>
        <w:t>(2)</w:t>
      </w:r>
      <w:r>
        <w:rPr>
          <w:rFonts w:ascii="Arial;sans-serif" w:hAnsi="Arial;sans-serif"/>
          <w:b w:val="false"/>
          <w:color w:val="000000"/>
          <w:sz w:val="12"/>
        </w:rPr>
        <w:t>Includes nonaccrual loans.</w:t>
      </w:r>
    </w:p>
    <w:p>
      <w:pPr>
        <w:pStyle w:val="TextBody"/>
        <w:spacing w:lineRule="auto" w:line="288" w:before="0" w:after="0"/>
        <w:ind w:left="0" w:right="0" w:hanging="360"/>
        <w:jc w:val="both"/>
        <w:rPr/>
      </w:pPr>
      <w:r>
        <w:rPr>
          <w:rFonts w:ascii="Times New Roman;sans-serif" w:hAnsi="Times New Roman;sans-serif"/>
          <w:b w:val="false"/>
          <w:color w:val="000000"/>
          <w:sz w:val="8"/>
        </w:rPr>
        <w:t>(3)</w:t>
      </w:r>
      <w:r>
        <w:rPr>
          <w:rFonts w:ascii="Arial;sans-serif" w:hAnsi="Arial;sans-serif"/>
          <w:b w:val="false"/>
          <w:color w:val="000000"/>
          <w:sz w:val="12"/>
        </w:rPr>
        <w:t>For the three months ended March 31, 2023 and 2022, SBA-PPP loans and credit card loans collectively accounted for 283 and 297 basis points of the reported net interest margin, respectively.</w:t>
      </w:r>
    </w:p>
    <w:p>
      <w:pPr>
        <w:pStyle w:val="TextBody"/>
        <w:spacing w:before="0" w:after="0"/>
        <w:ind w:left="0" w:right="0" w:hanging="360"/>
        <w:jc w:val="both"/>
        <w:rPr/>
      </w:pPr>
      <w:r>
        <w:rPr/>
      </w:r>
    </w:p>
    <w:p>
      <w:pPr>
        <w:pStyle w:val="TextBody"/>
        <w:spacing w:before="0" w:after="0"/>
        <w:ind w:left="0" w:right="0" w:hanging="360"/>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net interest margin decreased 14 basis points to 6.65% for the three months ended March 31, 2023 from the same period in 2022 as the increase in the costs of deposits and borrowed funds outpaced the increase in portfolio loan yields, including credit cards. Net interest margin, excluding credit card and SBA-PPP loans remained flat at 3.81% for the first quarter of 2023 compared to 3.82% for the same period in 2022. For the three months ended March 31, 2023, average interest earning assets increased $113.6 million, or 5.7%, to $2.1 billion as compared to the same period in 2022, and the average yield on interest earning assets increased 136 basis points. Compared to the same period in the prior year, average interest-bearing liabilities increased $189.1 million, or 18.1%, while the average cost of interest-bearing liabilities increased 251 basis points to 2.93% from 0.42%.</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8650"/>
                <wp:effectExtent l="0" t="0" r="0" b="0"/>
                <wp:wrapNone/>
                <wp:docPr id="45" name="Frame4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rate/volume table below presents the composition of the change in net interest income for the periods indicated, as allocated between the change in net interest income due to changes in the volume of average earning assets and interest-bearing liabilities, and the changes in net interest income due to changes in interest rates. </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RATE/VOLUME ANALYSIS OF NET INTEREST INCOME</w:t>
      </w:r>
    </w:p>
    <w:tbl>
      <w:tblPr>
        <w:tblW w:w="7865" w:type="dxa"/>
        <w:jc w:val="center"/>
        <w:tblInd w:w="0" w:type="dxa"/>
        <w:tblCellMar>
          <w:top w:w="28" w:type="dxa"/>
          <w:left w:w="28" w:type="dxa"/>
          <w:bottom w:w="28" w:type="dxa"/>
          <w:right w:w="28" w:type="dxa"/>
        </w:tblCellMar>
      </w:tblPr>
      <w:tblGrid>
        <w:gridCol w:w="1131"/>
        <w:gridCol w:w="998"/>
        <w:gridCol w:w="1005"/>
        <w:gridCol w:w="196"/>
        <w:gridCol w:w="631"/>
        <w:gridCol w:w="109"/>
        <w:gridCol w:w="109"/>
        <w:gridCol w:w="109"/>
        <w:gridCol w:w="109"/>
        <w:gridCol w:w="196"/>
        <w:gridCol w:w="556"/>
        <w:gridCol w:w="109"/>
        <w:gridCol w:w="109"/>
        <w:gridCol w:w="109"/>
        <w:gridCol w:w="109"/>
        <w:gridCol w:w="324"/>
        <w:gridCol w:w="920"/>
        <w:gridCol w:w="180"/>
        <w:gridCol w:w="109"/>
        <w:gridCol w:w="109"/>
        <w:gridCol w:w="109"/>
        <w:gridCol w:w="109"/>
        <w:gridCol w:w="109"/>
        <w:gridCol w:w="311"/>
      </w:tblGrid>
      <w:tr>
        <w:trPr/>
        <w:tc>
          <w:tcPr>
            <w:tcW w:w="1131"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8" w:type="dxa"/>
            <w:gridSpan w:val="4"/>
            <w:tcBorders/>
            <w:shd w:fill="auto" w:val="clea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15"/>
            <w:tcBorders/>
            <w:shd w:fill="auto" w:val="clear"/>
            <w:tcMar>
              <w:top w:w="0" w:type="dxa"/>
              <w:left w:w="0" w:type="dxa"/>
              <w:bottom w:w="0" w:type="dxa"/>
              <w:right w:w="0" w:type="dxa"/>
            </w:tcMar>
            <w:vAlign w:val="center"/>
          </w:tcPr>
          <w:p>
            <w:pPr>
              <w:pStyle w:val="TableContents"/>
              <w:spacing w:lineRule="auto" w:line="240" w:before="0" w:after="60"/>
              <w:jc w:val="center"/>
              <w:rPr>
                <w:rFonts w:ascii="Arial;sans-serif" w:hAnsi="Arial;sans-serif"/>
                <w:b/>
                <w:color w:val="000000"/>
                <w:sz w:val="16"/>
              </w:rPr>
            </w:pPr>
            <w:r>
              <w:rPr>
                <w:rFonts w:ascii="Arial;sans-serif" w:hAnsi="Arial;sans-serif"/>
                <w:b/>
                <w:color w:val="000000"/>
                <w:sz w:val="16"/>
              </w:rPr>
              <w:t>Compared to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8" w:type="dxa"/>
            <w:gridSpan w:val="4"/>
            <w:tcBorders/>
            <w:shd w:fill="auto" w:val="clea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8" w:type="dxa"/>
            <w:gridSpan w:val="4"/>
            <w:tcBorders/>
            <w:shd w:fill="auto" w:val="clea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60"/>
              <w:jc w:val="center"/>
              <w:rPr>
                <w:rFonts w:ascii="Arial;sans-serif" w:hAnsi="Arial;sans-serif"/>
                <w:b/>
                <w:color w:val="000000"/>
                <w:sz w:val="16"/>
              </w:rPr>
            </w:pPr>
            <w:r>
              <w:rPr>
                <w:rFonts w:ascii="Arial;sans-serif" w:hAnsi="Arial;sans-serif"/>
                <w:b/>
                <w:color w:val="000000"/>
                <w:sz w:val="16"/>
              </w:rPr>
              <w:t>Change Due To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60"/>
              <w:jc w:val="center"/>
              <w:rPr>
                <w:rFonts w:ascii="Arial;sans-serif" w:hAnsi="Arial;sans-serif"/>
                <w:b/>
                <w:color w:val="000000"/>
                <w:sz w:val="16"/>
              </w:rPr>
            </w:pPr>
            <w:r>
              <w:rPr>
                <w:rFonts w:ascii="Arial;sans-serif" w:hAnsi="Arial;sans-serif"/>
                <w:b/>
                <w:color w:val="000000"/>
                <w:sz w:val="16"/>
              </w:rPr>
              <w:t>Interest 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gridSpan w:val="2"/>
            <w:tcBorders/>
            <w:shd w:fill="auto" w:val="clea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60"/>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60"/>
              <w:jc w:val="center"/>
              <w:rPr>
                <w:rFonts w:ascii="Arial;sans-serif" w:hAnsi="Arial;sans-serif"/>
                <w:b/>
                <w:color w:val="000000"/>
                <w:sz w:val="16"/>
              </w:rPr>
            </w:pPr>
            <w:r>
              <w:rPr>
                <w:rFonts w:ascii="Arial;sans-serif" w:hAnsi="Arial;sans-serif"/>
                <w:b/>
                <w:color w:val="000000"/>
                <w:sz w:val="16"/>
              </w:rPr>
              <w:t>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Interest Income: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Federal funds sold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Investment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Restricted stock</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Loans held for sale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ind w:left="0" w:right="0" w:hanging="180"/>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SBA-PPP loans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excluding credit card loans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loans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interest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Interest Expense:</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Savings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Money market accounts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Time deposits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Borrowed funds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45"/>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When comparing the three months ended March 31, 2023 to the same period in 2022, the greatest positive impact to total interest income was the increased market interest rates affecting some interest earning assets. The year-over-year rate change on SBA-PPP loans is a result of the change in the magnitude of loans forgiven by the SBA in each period. During the three months ended March 31, 2022, $40.2 million of SBA-PPP loans were forgiven by the SBA which accelerated the recognition of $1.8 million of deferred fee income. In comparison, during the three months ended March 31, 2023, $130 thousand of SBA-PPP loan principal was forgiven and $2 thousand of income was recognized. The loan portfolio continued to experience growth through the three months ended March 31, 2023, which contributed an additional $8.2 million in interest income. On a stand alone basis, the credit card portfolio contributed an additional increase of $1.3 million when comparing the three months ended March 31, 2023 to the three months ended March 31, 2022, despite a decrease in active customer accounts and corresponding credit card loan balances, due to rising interest rates and late charges which impacted the rate calculation. </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Provision for Credit Losses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provision for credit losses represents the amount of expense charged to current earnings to fund the ACL. The amount for credit losses is based on many factors which reflect management’s assessment of the risk in the loan portfolio. Those factors include historical losses, forecasted cash flows, economic conditions and trends, the value and adequacy of collateral, volume and mix of the portfolio, performance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8650"/>
                <wp:effectExtent l="0" t="0" r="0" b="0"/>
                <wp:wrapNone/>
                <wp:docPr id="46" name="Frame4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of the portfolio, and internal loan processes of the Company and Bank. For a description of the factors taken into account by our management in determining the ACL, see Note 1 to the Consolidated Financial Statements.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March 31, 2023, the provision for credit losses was $1.7 million, an increase of $708 thousand from the prior year to date period primarily due to portfolio loan growth and an increase in credit card losses. Net charge-offs for the three months ended March 31, 2023 were $2.6 million, or 0.61% of average portfolio loans on an annualized basis, compared to $881 thousand, or 0.24% of average portfolio loans on an annualized basis, for the same period in 2022.</w:t>
      </w:r>
    </w:p>
    <w:p>
      <w:pPr>
        <w:pStyle w:val="TextBody"/>
        <w:spacing w:lineRule="auto" w:line="288" w:before="0" w:after="240"/>
        <w:ind w:left="0" w:right="0" w:firstLine="360"/>
        <w:jc w:val="both"/>
        <w:rPr/>
      </w:pPr>
      <w:r>
        <w:rPr>
          <w:rFonts w:ascii="Arial;sans-serif" w:hAnsi="Arial;sans-serif"/>
          <w:b w:val="false"/>
          <w:color w:val="000000"/>
          <w:sz w:val="20"/>
        </w:rPr>
        <w:t>Although the majority of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credit cards are secured, losses may occur due to fraud, when the account exceeds its established limit or if a cardholder ceases to maintain the account in good standing. Identity fraud, payment fraud and funding fraud can result in losses. Customers can exceed established credit limits as a consequence of certain VISA membership policies that allow cardholders to incur certain charges even if they exceed their card limits, which include, but are not limited to, rental car charges, gas stations and hotel deposits. Finally, losses to our credit card portfolio may arise if cardholders cease to maintain the account in good standing with timely payments. The majority of the $2.6 million in net charge-offs during the three months ended March 31, 2023 was related to the credit card portfolio with $1.1 million related to partially secured cards and $563 thousand related to unsecured cards. In addition, charge-offs of commercial real estate loans amounted to $943 thousand during the same period.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ACL as a percent of portfolio loans was 1.47% at March 31, 2023. The ACL at December 31, 2022, prior to the adoption of CECL, represented 1.53% of portfolio loans. The maintenance of a high-quality loan portfolio, with an adequate allowance for expected credit losses, will continue to be a primary management objective for the Company. See additional discussion regarding the Company’s ACL and reserve for unfunded commitments credit exposures at March 31, 2023 in “Financial Condition - Allowance for Credit Losses.”</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Noninterest Income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primary sources of recurring noninterest income are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8650"/>
                <wp:effectExtent l="0" t="0" r="0" b="0"/>
                <wp:wrapNone/>
                <wp:docPr id="47" name="Frame4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for the periods indicated, the major categories of noninterest income:</w:t>
      </w:r>
    </w:p>
    <w:tbl>
      <w:tblPr>
        <w:tblW w:w="7453" w:type="dxa"/>
        <w:jc w:val="center"/>
        <w:tblInd w:w="0" w:type="dxa"/>
        <w:tblCellMar>
          <w:top w:w="28" w:type="dxa"/>
          <w:left w:w="28" w:type="dxa"/>
          <w:bottom w:w="28" w:type="dxa"/>
          <w:right w:w="28" w:type="dxa"/>
        </w:tblCellMar>
      </w:tblPr>
      <w:tblGrid>
        <w:gridCol w:w="1127"/>
        <w:gridCol w:w="992"/>
        <w:gridCol w:w="1001"/>
        <w:gridCol w:w="211"/>
        <w:gridCol w:w="631"/>
        <w:gridCol w:w="109"/>
        <w:gridCol w:w="109"/>
        <w:gridCol w:w="109"/>
        <w:gridCol w:w="109"/>
        <w:gridCol w:w="211"/>
        <w:gridCol w:w="616"/>
        <w:gridCol w:w="109"/>
        <w:gridCol w:w="109"/>
        <w:gridCol w:w="109"/>
        <w:gridCol w:w="109"/>
        <w:gridCol w:w="291"/>
        <w:gridCol w:w="294"/>
        <w:gridCol w:w="508"/>
        <w:gridCol w:w="109"/>
        <w:gridCol w:w="109"/>
        <w:gridCol w:w="109"/>
        <w:gridCol w:w="109"/>
        <w:gridCol w:w="109"/>
        <w:gridCol w:w="154"/>
      </w:tblGrid>
      <w:tr>
        <w:trPr/>
        <w:tc>
          <w:tcPr>
            <w:tcW w:w="1127"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214"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charges on deposit accounts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229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card fees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4,210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banking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1,155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432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6,026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pPr>
      <w:r>
        <w:rPr>
          <w:rFonts w:ascii="Arial;sans-serif" w:hAnsi="Arial;sans-serif"/>
          <w:b w:val="false"/>
          <w:color w:val="000000"/>
          <w:sz w:val="20"/>
        </w:rPr>
        <w:t>For the three months ended March 31, 2023, OpenSky's</w:t>
      </w:r>
      <w:r>
        <w:rPr>
          <w:rFonts w:ascii="Arial;sans-serif" w:hAnsi="Arial;sans-serif"/>
          <w:b/>
          <w:color w:val="000000"/>
          <w:sz w:val="13"/>
        </w:rPr>
        <w:t xml:space="preserve">® </w:t>
      </w:r>
      <w:r>
        <w:rPr>
          <w:rFonts w:ascii="Arial;sans-serif" w:hAnsi="Arial;sans-serif"/>
          <w:b w:val="false"/>
          <w:color w:val="000000"/>
          <w:sz w:val="20"/>
        </w:rPr>
        <w:t>credit card accounts decreased by 7 thousand, net, compared to a 30 thousand, net decrease for the same period in 2022. Aggressive marketing and product strategies by competitors offering unsecured subprime credit cards has adversely impacted our ability to maintain and grow the number of active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accounts. The net decrease in active accounts adversely impacted noninterest income and contributed to decreased credit card fees, representing lower interchange and other fees of $1.7 million during the three months ended March 31, 2023 when compared to the same period in 2022.</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Bank’s Capital Bank Home Loan division experienced a decline of 63.5% in mortgage originations during the three months ended March 31, 2023 when compared to the year earlier. A rising interest rate environment continues to dampen home loan sales and home loan refinances which resulted in origination volumes decreasing $70.1 million, to $40.3 million, in the first quarter of 2023, when compared to $110.4 million in the first quarter of 2022. Gain on sale margins increased from 2.77% for the three months ended March 31, 2022, to 3.02% for the three months ended March 31, 2023. Historically-low housing inventory, shortages in new home building materials, and increasing interest rates are likely to continue suppressing origination volumes.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Mortgage loans sold are subject to repurchase in circumstances where documentation is deficient or the underlying loan becomes delinquent or pays off within a specified period following loan funding and sale. The Bank has established a reserve under GAAP for possible repurchases. The reserve was $1.2 million at March 31, 2023 and December 31, 2022. The Bank did not repurchase any loans during the three months ended March 31, 2023 or the three months ended March 31, 2022. The Bank does not originate “sub-prime” mortgage loans and has no exposure to this market segment. </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Noninterest Expense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Generally, noninterest expense is comprised of all employee expenses and costs associated with operating our facilities, obtaining and retaining customer relationships and providing bank services, with the largest component being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8650"/>
                <wp:effectExtent l="0" t="0" r="0" b="0"/>
                <wp:wrapNone/>
                <wp:docPr id="48" name="Frame4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for the periods indicated, the major categories of noninterest expense:</w:t>
      </w:r>
    </w:p>
    <w:tbl>
      <w:tblPr>
        <w:tblW w:w="7610" w:type="dxa"/>
        <w:jc w:val="center"/>
        <w:tblInd w:w="0" w:type="dxa"/>
        <w:tblCellMar>
          <w:top w:w="28" w:type="dxa"/>
          <w:left w:w="28" w:type="dxa"/>
          <w:bottom w:w="28" w:type="dxa"/>
          <w:right w:w="28" w:type="dxa"/>
        </w:tblCellMar>
      </w:tblPr>
      <w:tblGrid>
        <w:gridCol w:w="1040"/>
        <w:gridCol w:w="915"/>
        <w:gridCol w:w="924"/>
        <w:gridCol w:w="211"/>
        <w:gridCol w:w="736"/>
        <w:gridCol w:w="109"/>
        <w:gridCol w:w="109"/>
        <w:gridCol w:w="109"/>
        <w:gridCol w:w="109"/>
        <w:gridCol w:w="211"/>
        <w:gridCol w:w="721"/>
        <w:gridCol w:w="109"/>
        <w:gridCol w:w="109"/>
        <w:gridCol w:w="109"/>
        <w:gridCol w:w="109"/>
        <w:gridCol w:w="306"/>
        <w:gridCol w:w="310"/>
        <w:gridCol w:w="508"/>
        <w:gridCol w:w="109"/>
        <w:gridCol w:w="109"/>
        <w:gridCol w:w="109"/>
        <w:gridCol w:w="109"/>
        <w:gridCol w:w="109"/>
        <w:gridCol w:w="311"/>
      </w:tblGrid>
      <w:tr>
        <w:trPr/>
        <w:tc>
          <w:tcPr>
            <w:tcW w:w="1040"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8" w:type="dxa"/>
            <w:gridSpan w:val="4"/>
            <w:tcBorders/>
            <w:shd w:fill="auto" w:val="clea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424"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gridSpan w:val="2"/>
            <w:tcBorders/>
            <w:shd w:fill="auto" w:val="clea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Salaries and employee benefits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12,554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Occupancy and equipment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1,213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Professional services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2,374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Data processing</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6,530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Advertising</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Loan processing</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real estate expense,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2,660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Arial;sans-serif" w:hAnsi="Arial;sans-serif"/>
                <w:b w:val="false"/>
                <w:color w:val="000000"/>
                <w:sz w:val="18"/>
              </w:rPr>
            </w:pPr>
            <w:r>
              <w:rPr>
                <w:rFonts w:ascii="Arial;sans-serif" w:hAnsi="Arial;sans-serif"/>
                <w:b w:val="false"/>
                <w:color w:val="000000"/>
                <w:sz w:val="18"/>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26,203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pPr>
      <w:r>
        <w:rPr>
          <w:rFonts w:ascii="Arial;sans-serif" w:hAnsi="Arial;sans-serif"/>
          <w:b w:val="false"/>
          <w:color w:val="000000"/>
          <w:sz w:val="20"/>
        </w:rPr>
        <w:t>Noninterest expense was $26.2 million for the three months ended March 31, 2023, as compared to $27.1 million for the three months ended March 31, 2022, a decrease of $0.9 million, or 3.3%. Data processing expenses decreased $1.7 million, which was attributable to data processing contract renegotiations completed in the first quarter of 2022. Advertising expenses declined $1.1 million due to lower marketing costs for the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and Commercial Bank segments during the three months ended March 31, 2023, while salaries and employee benefits increased by $2.2 million, or 21.8%, due in part to growth in headcount in the Commercial Bank segment during the three months ended March 31, 2023. </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Income Tax Expense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amount of income tax expense we incur is influenced by our pre-tax income and our nondeductible expenses. Deferred tax assets and liabilities are reflected at enacted tax rates in effect for the period in which the deferred tax assets and liabilities are expected to be realized or settled. A valuation allowance is established when necessary to reduce deferred tax assets to the amount expected to be realized.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Income tax expense was $2.9 million for the three months ended March 31, 2023 compared to $3.4 million for the same period of 2022. Our effective tax rates decreased from 24.7% to 23.0% primarily attributable to the application of differing state income tax rates.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8650"/>
                <wp:effectExtent l="0" t="0" r="0" b="0"/>
                <wp:wrapNone/>
                <wp:docPr id="49" name="Frame4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Financial Condition</w:t>
      </w:r>
    </w:p>
    <w:p>
      <w:pPr>
        <w:pStyle w:val="TextBody"/>
        <w:spacing w:lineRule="auto" w:line="288" w:before="0" w:after="240"/>
        <w:rPr>
          <w:rFonts w:ascii="Arial;sans-serif" w:hAnsi="Arial;sans-serif"/>
          <w:b w:val="false"/>
          <w:color w:val="000000"/>
          <w:sz w:val="20"/>
        </w:rPr>
      </w:pPr>
      <w:r>
        <w:rPr>
          <w:rFonts w:ascii="Arial;sans-serif" w:hAnsi="Arial;sans-serif"/>
          <w:b w:val="false"/>
          <w:color w:val="000000"/>
          <w:sz w:val="20"/>
        </w:rPr>
        <w:t>The following table summarizes the Company’s financial condition at the dates indicated.</w:t>
      </w:r>
    </w:p>
    <w:tbl>
      <w:tblPr>
        <w:tblW w:w="10205" w:type="dxa"/>
        <w:jc w:val="center"/>
        <w:tblInd w:w="0" w:type="dxa"/>
        <w:tblCellMar>
          <w:top w:w="28" w:type="dxa"/>
          <w:left w:w="28" w:type="dxa"/>
          <w:bottom w:w="28" w:type="dxa"/>
          <w:right w:w="28" w:type="dxa"/>
        </w:tblCellMar>
      </w:tblPr>
      <w:tblGrid>
        <w:gridCol w:w="1501"/>
        <w:gridCol w:w="1292"/>
        <w:gridCol w:w="1288"/>
        <w:gridCol w:w="211"/>
        <w:gridCol w:w="976"/>
        <w:gridCol w:w="271"/>
        <w:gridCol w:w="109"/>
        <w:gridCol w:w="109"/>
        <w:gridCol w:w="109"/>
        <w:gridCol w:w="211"/>
        <w:gridCol w:w="976"/>
        <w:gridCol w:w="271"/>
        <w:gridCol w:w="109"/>
        <w:gridCol w:w="109"/>
        <w:gridCol w:w="109"/>
        <w:gridCol w:w="211"/>
        <w:gridCol w:w="826"/>
        <w:gridCol w:w="109"/>
        <w:gridCol w:w="109"/>
        <w:gridCol w:w="109"/>
        <w:gridCol w:w="109"/>
        <w:gridCol w:w="255"/>
        <w:gridCol w:w="256"/>
        <w:gridCol w:w="570"/>
      </w:tblGrid>
      <w:tr>
        <w:trPr/>
        <w:tc>
          <w:tcPr>
            <w:tcW w:w="1501"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r>
      <w:tr>
        <w:trPr/>
        <w:tc>
          <w:tcPr>
            <w:tcW w:w="4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r>
      <w:tr>
        <w:trPr/>
        <w:tc>
          <w:tcPr>
            <w:tcW w:w="4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081"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2,245,286 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2,122,453 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available for sale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255,762 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5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loans receivable, net of deferred fees and costs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1,786,109 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1,526,256 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5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1,944,374 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1,862,722 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5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44,062 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34,062 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5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5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to total assets at end of period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5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number of basic shares outstanding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5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number of diluted shares outstanding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5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Total assets at March 31, 2023 increased $122.8 million from the balance at March 31, 2022. Net portfolio loans, which exclude mortgage loans held for sale and SBA-PPP loans, totaled $1.8 billion as of March 31, 2023, an increase of $259.9 million, or 17.0%, from $1.5 billion at March 31, 2022. Increases in portfolio loans receivable were offset by decreases in SBA-PPP loans of $49.0 million as well as a reduction in the loans held for sale portfolio of $7.4 million when comparing the period end balances at March 31, 2023 to March 31, 2022. </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Investment Securities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uses its securities portfolio to provide a source of liquidity, provide an appropriate return on funds invested, manage interest rate risk, meet collateral requirements and meet regulatory capital requirements.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As of March 31, 2023, all securities were classified as available for sale.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To supplement interest income earned on our loan portfolio, the Company invests in high-quality mortgage-backed securities, government agency bonds, asset-backed securities and high-quality municipal and corporate bonds.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summarize the contractual maturities, without consideration of call features or pre-refunding dates, and weighted-average yields of investment securities at March 31, 2023 and the amortized cost and carrying value of those securities as of the indicated dates. The weighted average yields were calculated by multiplying the book value of each individual security by its yield, dividing that figure by the portfolio total, and then summing the value of these results to arrive at the weighted average yield. Yields on tax-exempt investments are not calculated on a fully tax equivalent basis.</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8650"/>
                <wp:effectExtent l="0" t="0" r="0" b="0"/>
                <wp:wrapNone/>
                <wp:docPr id="50" name="Frame4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INVESTMENT MATURITIES</w:t>
      </w:r>
    </w:p>
    <w:tbl>
      <w:tblPr>
        <w:tblW w:w="13813" w:type="dxa"/>
        <w:jc w:val="center"/>
        <w:tblInd w:w="0" w:type="dxa"/>
        <w:tblCellMar>
          <w:top w:w="28" w:type="dxa"/>
          <w:left w:w="28" w:type="dxa"/>
          <w:bottom w:w="28" w:type="dxa"/>
          <w:right w:w="28" w:type="dxa"/>
        </w:tblCellMar>
      </w:tblPr>
      <w:tblGrid>
        <w:gridCol w:w="688"/>
        <w:gridCol w:w="305"/>
        <w:gridCol w:w="193"/>
        <w:gridCol w:w="109"/>
        <w:gridCol w:w="109"/>
        <w:gridCol w:w="109"/>
        <w:gridCol w:w="181"/>
        <w:gridCol w:w="571"/>
        <w:gridCol w:w="109"/>
        <w:gridCol w:w="109"/>
        <w:gridCol w:w="109"/>
        <w:gridCol w:w="109"/>
        <w:gridCol w:w="263"/>
        <w:gridCol w:w="158"/>
        <w:gridCol w:w="330"/>
        <w:gridCol w:w="109"/>
        <w:gridCol w:w="109"/>
        <w:gridCol w:w="109"/>
        <w:gridCol w:w="181"/>
        <w:gridCol w:w="571"/>
        <w:gridCol w:w="109"/>
        <w:gridCol w:w="109"/>
        <w:gridCol w:w="109"/>
        <w:gridCol w:w="109"/>
        <w:gridCol w:w="241"/>
        <w:gridCol w:w="180"/>
        <w:gridCol w:w="286"/>
        <w:gridCol w:w="109"/>
        <w:gridCol w:w="109"/>
        <w:gridCol w:w="109"/>
        <w:gridCol w:w="181"/>
        <w:gridCol w:w="571"/>
        <w:gridCol w:w="109"/>
        <w:gridCol w:w="109"/>
        <w:gridCol w:w="109"/>
        <w:gridCol w:w="109"/>
        <w:gridCol w:w="238"/>
        <w:gridCol w:w="183"/>
        <w:gridCol w:w="280"/>
        <w:gridCol w:w="109"/>
        <w:gridCol w:w="109"/>
        <w:gridCol w:w="109"/>
        <w:gridCol w:w="181"/>
        <w:gridCol w:w="571"/>
        <w:gridCol w:w="109"/>
        <w:gridCol w:w="109"/>
        <w:gridCol w:w="109"/>
        <w:gridCol w:w="109"/>
        <w:gridCol w:w="263"/>
        <w:gridCol w:w="158"/>
        <w:gridCol w:w="330"/>
        <w:gridCol w:w="109"/>
        <w:gridCol w:w="109"/>
        <w:gridCol w:w="109"/>
        <w:gridCol w:w="181"/>
        <w:gridCol w:w="646"/>
        <w:gridCol w:w="109"/>
        <w:gridCol w:w="109"/>
        <w:gridCol w:w="109"/>
        <w:gridCol w:w="109"/>
        <w:gridCol w:w="181"/>
        <w:gridCol w:w="646"/>
        <w:gridCol w:w="109"/>
        <w:gridCol w:w="327"/>
        <w:gridCol w:w="421"/>
        <w:gridCol w:w="383"/>
      </w:tblGrid>
      <w:tr>
        <w:trPr/>
        <w:tc>
          <w:tcPr>
            <w:tcW w:w="68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One Year 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More Than One Year Through Five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More Than Five Years Through Ten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More Than Ten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Book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Book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Book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Book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Book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Available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 Treasuries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4.40 </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63,496 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2.90 </w:t>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Municipal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Asset-backed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Portfolio Loans Receivable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primary source of income is derived from interest earned on loans. Our portfolio loans consist of loans secured by real estate as well as commercial business loans, credit card loans, substantially all of which are secured by corresponding deposits at the Bank and, to a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lending activities, outside of credit cards, are principally directed to our market area consisting of the Washington, D.C. and Baltimore, Maryland metropolitan areas. Refer to Note 5 to Unaudited Consolidated Financial Statements for additional discussion of each major classification of portfolio loans receivable.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repayment of loans is a source of additional liquidity for the Company. The following table details contractual maturities of our portfolio loans, along with an analysis of loans maturing after one year categorized by rate characteristic. Loans with adjustable interest rates are shown as maturing in the period during which the contract is due. The table does not reflect the effects of possible prepayments.</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28650"/>
                <wp:effectExtent l="0" t="0" r="0" b="0"/>
                <wp:wrapNone/>
                <wp:docPr id="51" name="Frame5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tbl>
      <w:tblPr>
        <w:tblW w:w="10205" w:type="dxa"/>
        <w:jc w:val="center"/>
        <w:tblInd w:w="0" w:type="dxa"/>
        <w:tblCellMar>
          <w:top w:w="28" w:type="dxa"/>
          <w:left w:w="28" w:type="dxa"/>
          <w:bottom w:w="28" w:type="dxa"/>
          <w:right w:w="28" w:type="dxa"/>
        </w:tblCellMar>
      </w:tblPr>
      <w:tblGrid>
        <w:gridCol w:w="464"/>
        <w:gridCol w:w="409"/>
        <w:gridCol w:w="327"/>
        <w:gridCol w:w="203"/>
        <w:gridCol w:w="764"/>
        <w:gridCol w:w="113"/>
        <w:gridCol w:w="113"/>
        <w:gridCol w:w="113"/>
        <w:gridCol w:w="113"/>
        <w:gridCol w:w="113"/>
        <w:gridCol w:w="109"/>
        <w:gridCol w:w="196"/>
        <w:gridCol w:w="736"/>
        <w:gridCol w:w="109"/>
        <w:gridCol w:w="109"/>
        <w:gridCol w:w="109"/>
        <w:gridCol w:w="109"/>
        <w:gridCol w:w="860"/>
        <w:gridCol w:w="389"/>
        <w:gridCol w:w="196"/>
        <w:gridCol w:w="736"/>
        <w:gridCol w:w="109"/>
        <w:gridCol w:w="217"/>
        <w:gridCol w:w="189"/>
        <w:gridCol w:w="189"/>
        <w:gridCol w:w="190"/>
        <w:gridCol w:w="109"/>
        <w:gridCol w:w="196"/>
        <w:gridCol w:w="736"/>
        <w:gridCol w:w="109"/>
        <w:gridCol w:w="109"/>
        <w:gridCol w:w="109"/>
        <w:gridCol w:w="109"/>
        <w:gridCol w:w="109"/>
        <w:gridCol w:w="109"/>
        <w:gridCol w:w="196"/>
        <w:gridCol w:w="871"/>
        <w:gridCol w:w="159"/>
      </w:tblGrid>
      <w:tr>
        <w:trPr/>
        <w:tc>
          <w:tcPr>
            <w:tcW w:w="464"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9" w:type="dxa"/>
            <w:gridSpan w:val="1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As of March 31, 2023</w:t>
            </w:r>
          </w:p>
        </w:tc>
        <w:tc>
          <w:tcPr>
            <w:tcW w:w="3706" w:type="dxa"/>
            <w:gridSpan w:val="16"/>
            <w:tcBorders/>
            <w:shd w:fill="auto" w:val="clear"/>
          </w:tcPr>
          <w:p>
            <w:pPr>
              <w:pStyle w:val="TableContents"/>
              <w:spacing w:before="0" w:after="283"/>
              <w:rPr>
                <w:sz w:val="4"/>
                <w:szCs w:val="4"/>
              </w:rPr>
            </w:pPr>
            <w:r>
              <w:rPr>
                <w:sz w:val="4"/>
                <w:szCs w:val="4"/>
              </w:rPr>
            </w:r>
          </w:p>
        </w:tc>
      </w:tr>
      <w:tr>
        <w:trPr/>
        <w:tc>
          <w:tcPr>
            <w:tcW w:w="1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One Year </w:t>
              <w:br/>
              <w:t>or Less</w:t>
            </w:r>
          </w:p>
        </w:tc>
        <w:tc>
          <w:tcPr>
            <w:tcW w:w="113" w:type="dxa"/>
            <w:tcBorders/>
            <w:shd w:fill="auto" w:val="clear"/>
            <w:vAlign w:val="center"/>
          </w:tcPr>
          <w:p>
            <w:pPr>
              <w:pStyle w:val="TableContents"/>
              <w:spacing w:before="0" w:after="283"/>
              <w:rPr>
                <w:sz w:val="4"/>
                <w:szCs w:val="4"/>
              </w:rPr>
            </w:pPr>
            <w:r>
              <w:rPr>
                <w:sz w:val="4"/>
                <w:szCs w:val="4"/>
              </w:rPr>
            </w:r>
          </w:p>
        </w:tc>
        <w:tc>
          <w:tcPr>
            <w:tcW w:w="1150" w:type="dxa"/>
            <w:gridSpan w:val="4"/>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One to </w:t>
              <w:br/>
              <w:t>Five Years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Over </w:t>
              <w:br/>
              <w:t>Five Years to Fifteen Years</w:t>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785" w:type="dxa"/>
            <w:gridSpan w:val="4"/>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After Fifteen Years</w:t>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8"/>
            <w:tcBorders/>
            <w:shd w:fill="auto" w:val="clear"/>
          </w:tcPr>
          <w:p>
            <w:pPr>
              <w:pStyle w:val="TableContents"/>
              <w:spacing w:before="0" w:after="283"/>
              <w:rPr>
                <w:sz w:val="4"/>
                <w:szCs w:val="4"/>
              </w:rPr>
            </w:pPr>
            <w:r>
              <w:rPr>
                <w:sz w:val="4"/>
                <w:szCs w:val="4"/>
              </w:rPr>
            </w:r>
          </w:p>
        </w:tc>
      </w:tr>
      <w:tr>
        <w:trPr/>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5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0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595" w:type="dxa"/>
            <w:gridSpan w:val="3"/>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124,963 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545,899 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96,190 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660,218 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208,879 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251,494 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72,215 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221,258 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112,860 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112,860 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615,772 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1,793,307 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2" w:type="dxa"/>
            <w:gridSpan w:val="10"/>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above maturing after one year categorized by rate characteristic:</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Predetermined Interest Rates</w:t>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785" w:type="dxa"/>
            <w:gridSpan w:val="4"/>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Floating or Variable Rates</w:t>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771" w:type="dxa"/>
            <w:gridSpan w:val="8"/>
            <w:tcBorders/>
            <w:shd w:fill="auto" w:val="clea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420,936 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378,965 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564,029 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42,616 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149,043 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595" w:type="dxa"/>
            <w:gridSpan w:val="3"/>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1,177,537 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addition to the portfolio loans shown above, gross SBA-PPP loans receivable, which totaled $2.1 million at March 31, 2023, mature in the one to five year time-frame and carry a fixed rate of interest.</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Nonperforming Assets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the interest accrual is discontinued, all unpaid accrued interest is reversed from income. Loans are returned to accrual status when all the principal and interest amounts contractually due are brought current and future payments are, in management’s opinion, reasonably assured.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are generally charged-off in part or in full when management determines the loan to be uncollectible. Factors for charge-off that may be considered include: repayments deemed to be extended out beyond reasonable time frames, client bankruptcy and lack of assets, and/or collateral deficiencies. Consumer credit card balances are moved into the charge off queue after they become more than 90 days past due and are charged off not later than 120 days after they become past due. Otherwise, loans that are past due for 180 days or more are charged off unless the loan is well secured and in the process of collection.</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believes its approach to lending and the management of nonperforming assets has resulted in sound asset quality and timely resolution of problem assets. The Company has established underwriting guidelines to be followed by our bankers, and routinely monitors our delinquency levels for any negative or adverse trends. There can be no assurance, however, that our loan portfolio will not become subject to increasing pressures from deteriorating borrower credit.</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From a credit risk standpoint, we grade watchlist and problem loans into one of five credit quality indicators: pass/watch, special mention, substandard, doubtful or loss. The classifications of loans reflect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8650"/>
                <wp:effectExtent l="0" t="0" r="0" b="0"/>
                <wp:wrapNone/>
                <wp:docPr id="52" name="Frame5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judgment about the risks of default and loss associated with each loan. Credit ratings are reviewed regularly and adjusted regularly to reflect the degree of risk and loss that our management believes to be appropriate for each credit. Our lending policy requires the routine monitoring of past due reports, daily overdraft reports, monthly maturing loans, monthly risk rating reports and internal loan review reports. The lending and credit management of the Bank meet periodically to review loans rated pass/watch. The focus of each meeting is to identify and promptly determine any necessary required action with this loan population, which consists of loans that, although considered satisfactory and performing to terms, may exhibit special risk features that warrant management’s attention.</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adapt and enhance the monitoring of the loan portfolio. The loan portfolio analysis process is intended to contribute to the identification of weaknesses before they become more severe.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special mention loan has potential weaknesses deserving of management’s attention. If uncorrected, such weaknesses may, at a future date, impair the repayment prospects for the asset or in our credit position.</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March 31, 2023, the recorded investment in individually assessed loans was $16.2 million, all nonaccrual, and required a specific reserve of $254 thousand. At December 31, 2022, prior to the adoption of CECL, the Company carried a recorded investment in impaired loans of $9.4 million, $458 thousand of which required a specific reserve of $372 thousand. Of the $16.2 million of individually assessed loans at March 31, 2023, $8.2 million related to a well-collateralized multi unit residential real estate loan.</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Effective January 1, 2023, the Company adopted ASU 2022-02 - Financial Instruments - Credit Losses (Topic 326): Troubled Debt Restructurings and Vintage Disclosures. The Company may elect to modify the contractual terms of loans to a borrower experiencing financial difficulties as a way to mitigate loss, proactively work with borrowers in financial difficulty, or to comply with regulations regarding the treatment of certain bankruptcy filing and discharge situations. For the three months ended March 31, 2023, there were no modifications to debtors experiencing financial difficulty which would require further disclosure under ASU 2022-02.</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Prior to adoption of ASU 2022-02, the Company modified loans as troubled debt restructings (“TDRs”) in accodrance with ASC Subtopic 310. At December 31, 2022, the Company had one loan amounting to $288 thousand that was considered to be a TDR.</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Allowance for Credit Losses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discussed in Note 1 to the Consolidated Financial Statements, we maintain an ACL that represents management’s estimate of expected credit losses and risks inherent in our loan portfolio. The balance of the ACL is based on internally assigned risk classifications of loans, historical loss rates, changes in the nature of our loan portfolio, overall portfolio quality, industry concentrations, delinquency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28650"/>
                <wp:effectExtent l="0" t="0" r="0" b="0"/>
                <wp:wrapNone/>
                <wp:docPr id="53" name="Frame5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trends, current economic factors and the estimated impact of current economic conditions on certain historical loss rates.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major consideration in the determination of the allowance for credit loss on the credit card portfolio is based on historical loss experience in that portfolio. The Company calculates the credit card ACL collectively, applying segmentation based on collateral positions: secured, partially secured, and unsecured.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key ratios for the ACL and nonaccrual loans for the periods indicated:</w:t>
      </w:r>
    </w:p>
    <w:tbl>
      <w:tblPr>
        <w:tblW w:w="10205" w:type="dxa"/>
        <w:jc w:val="left"/>
        <w:tblInd w:w="0" w:type="dxa"/>
        <w:tblCellMar>
          <w:top w:w="28" w:type="dxa"/>
          <w:left w:w="28" w:type="dxa"/>
          <w:bottom w:w="28" w:type="dxa"/>
          <w:right w:w="28" w:type="dxa"/>
        </w:tblCellMar>
      </w:tblPr>
      <w:tblGrid>
        <w:gridCol w:w="430"/>
        <w:gridCol w:w="378"/>
        <w:gridCol w:w="306"/>
        <w:gridCol w:w="109"/>
        <w:gridCol w:w="109"/>
        <w:gridCol w:w="109"/>
        <w:gridCol w:w="368"/>
        <w:gridCol w:w="179"/>
        <w:gridCol w:w="422"/>
        <w:gridCol w:w="179"/>
        <w:gridCol w:w="179"/>
        <w:gridCol w:w="179"/>
        <w:gridCol w:w="406"/>
        <w:gridCol w:w="278"/>
        <w:gridCol w:w="422"/>
        <w:gridCol w:w="109"/>
        <w:gridCol w:w="109"/>
        <w:gridCol w:w="109"/>
        <w:gridCol w:w="289"/>
        <w:gridCol w:w="203"/>
        <w:gridCol w:w="357"/>
        <w:gridCol w:w="150"/>
        <w:gridCol w:w="150"/>
        <w:gridCol w:w="150"/>
        <w:gridCol w:w="301"/>
        <w:gridCol w:w="301"/>
        <w:gridCol w:w="458"/>
        <w:gridCol w:w="109"/>
        <w:gridCol w:w="109"/>
        <w:gridCol w:w="109"/>
        <w:gridCol w:w="346"/>
        <w:gridCol w:w="242"/>
        <w:gridCol w:w="389"/>
        <w:gridCol w:w="165"/>
        <w:gridCol w:w="165"/>
        <w:gridCol w:w="165"/>
        <w:gridCol w:w="349"/>
        <w:gridCol w:w="314"/>
        <w:gridCol w:w="398"/>
        <w:gridCol w:w="109"/>
        <w:gridCol w:w="109"/>
        <w:gridCol w:w="109"/>
        <w:gridCol w:w="109"/>
        <w:gridCol w:w="170"/>
      </w:tblGrid>
      <w:tr>
        <w:trPr/>
        <w:tc>
          <w:tcPr>
            <w:tcW w:w="43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6152" w:type="dxa"/>
            <w:gridSpan w:val="29"/>
            <w:tcBorders/>
            <w:shd w:fill="auto" w:val="clear"/>
          </w:tcPr>
          <w:p>
            <w:pPr>
              <w:pStyle w:val="TableContents"/>
              <w:spacing w:before="0" w:after="283"/>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9"/>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Allowance for credit losses to period end portfolio loans</w:t>
            </w:r>
            <w:r>
              <w:rPr>
                <w:color w:val="000000"/>
              </w:rPr>
              <w:t xml:space="preserve">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Nonaccrual loans to total portfolio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9"/>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6"/>
              </w:rPr>
              <w:t>Allowance for credit losses to nonaccrual loans</w:t>
            </w:r>
            <w:r>
              <w:rPr>
                <w:color w:val="000000"/>
              </w:rPr>
              <w:t xml:space="preserve"> </w:t>
            </w:r>
            <w:r>
              <w:rPr>
                <w:rFonts w:ascii="Arial;sans-serif" w:hAnsi="Arial;sans-serif"/>
                <w:b/>
                <w:color w:val="000000"/>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0.99 </w:t>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0.88 </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3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0.24 </w:t>
            </w:r>
          </w:p>
        </w:tc>
        <w:tc>
          <w:tcPr>
            <w:tcW w:w="4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3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0.70 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4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3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0.32 </w:t>
            </w:r>
          </w:p>
        </w:tc>
        <w:tc>
          <w:tcPr>
            <w:tcW w:w="4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3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0.95 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0.88 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4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4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0.91 </w:t>
            </w:r>
          </w:p>
        </w:tc>
        <w:tc>
          <w:tcPr>
            <w:tcW w:w="3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0.56 </w:t>
            </w:r>
          </w:p>
        </w:tc>
        <w:tc>
          <w:tcPr>
            <w:tcW w:w="4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3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3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9" w:type="dxa"/>
            <w:gridSpan w:val="3"/>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spacing w:lineRule="auto" w:line="288" w:before="0" w:after="0"/>
        <w:ind w:left="0" w:right="0" w:hanging="360"/>
        <w:rPr/>
      </w:pPr>
      <w:r>
        <w:rPr>
          <w:rFonts w:ascii="Times New Roman;sans-serif" w:hAnsi="Times New Roman;sans-serif"/>
          <w:b w:val="false"/>
          <w:color w:val="000000"/>
          <w:sz w:val="10"/>
        </w:rPr>
        <w:t>(1)</w:t>
      </w:r>
      <w:r>
        <w:rPr>
          <w:rFonts w:ascii="Arial;sans-serif" w:hAnsi="Arial;sans-serif"/>
          <w:b w:val="false"/>
          <w:color w:val="000000"/>
          <w:sz w:val="13"/>
        </w:rPr>
        <w:t>Allowance calculation excludes SBA-PPP loans.</w:t>
      </w:r>
    </w:p>
    <w:p>
      <w:pPr>
        <w:pStyle w:val="TextBody"/>
        <w:spacing w:before="0" w:after="0"/>
        <w:ind w:left="0" w:right="0" w:firstLine="360"/>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Total charge-offs for the quarters ended March 31, 2023 and March 31, 2022 were primarily due to credit card charge-offs resulting both from the aging of the portfolio and the shift from an almost exclusively secured card portfolio to a portfolio that also includes partially secured and unsecured exposures. Commercial real estate loans experienced charge-offs for the quarter ended March 31, 2023 of $943 thousand. There were no charge-offs for the commercial loan portfolio for the quarter ended March 31, 2022. The following tables present a summary of the net charge-off (recovery) of loans as a percentage of average loans for the periods indicated:</w:t>
      </w:r>
    </w:p>
    <w:tbl>
      <w:tblPr>
        <w:tblW w:w="10205" w:type="dxa"/>
        <w:jc w:val="center"/>
        <w:tblInd w:w="0" w:type="dxa"/>
        <w:tblCellMar>
          <w:top w:w="28" w:type="dxa"/>
          <w:left w:w="28" w:type="dxa"/>
          <w:bottom w:w="28" w:type="dxa"/>
          <w:right w:w="28" w:type="dxa"/>
        </w:tblCellMar>
      </w:tblPr>
      <w:tblGrid>
        <w:gridCol w:w="413"/>
        <w:gridCol w:w="363"/>
        <w:gridCol w:w="287"/>
        <w:gridCol w:w="109"/>
        <w:gridCol w:w="109"/>
        <w:gridCol w:w="109"/>
        <w:gridCol w:w="243"/>
        <w:gridCol w:w="689"/>
        <w:gridCol w:w="136"/>
        <w:gridCol w:w="109"/>
        <w:gridCol w:w="109"/>
        <w:gridCol w:w="109"/>
        <w:gridCol w:w="196"/>
        <w:gridCol w:w="875"/>
        <w:gridCol w:w="109"/>
        <w:gridCol w:w="109"/>
        <w:gridCol w:w="109"/>
        <w:gridCol w:w="109"/>
        <w:gridCol w:w="300"/>
        <w:gridCol w:w="205"/>
        <w:gridCol w:w="483"/>
        <w:gridCol w:w="109"/>
        <w:gridCol w:w="109"/>
        <w:gridCol w:w="109"/>
        <w:gridCol w:w="287"/>
        <w:gridCol w:w="619"/>
        <w:gridCol w:w="161"/>
        <w:gridCol w:w="109"/>
        <w:gridCol w:w="109"/>
        <w:gridCol w:w="109"/>
        <w:gridCol w:w="196"/>
        <w:gridCol w:w="875"/>
        <w:gridCol w:w="109"/>
        <w:gridCol w:w="109"/>
        <w:gridCol w:w="109"/>
        <w:gridCol w:w="109"/>
        <w:gridCol w:w="300"/>
        <w:gridCol w:w="205"/>
        <w:gridCol w:w="483"/>
        <w:gridCol w:w="109"/>
        <w:gridCol w:w="109"/>
        <w:gridCol w:w="109"/>
        <w:gridCol w:w="109"/>
        <w:gridCol w:w="109"/>
        <w:gridCol w:w="164"/>
      </w:tblGrid>
      <w:tr>
        <w:trPr/>
        <w:tc>
          <w:tcPr>
            <w:tcW w:w="41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8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Net Charge-offs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 of average portfolio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Net Charge-offs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Percent of average portfolio loans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4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0.71 </w:t>
            </w:r>
          </w:p>
        </w:tc>
        <w:tc>
          <w:tcPr>
            <w:tcW w:w="4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the loan portfolio and ACL review processes continue to evolve, there may be changes to elements of the allowance and this may influence the overall level of the allowance maintained. Historically, the Bank has enjoyed a high-quality loan portfolio with relatively low levels of net charge-offs and low delinquency rates. The maintenance of a high-quality portfolio will continue to be a high priority.</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28650"/>
                <wp:effectExtent l="0" t="0" r="0" b="0"/>
                <wp:wrapNone/>
                <wp:docPr id="54" name="Frame5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Although we believe we have established our ACL in accordance with GAAP and that the ACL is currently adequate to provide for known and inherent losses in the portfolio at all times shown above, future provisions for credit losses will be subject to ongoing evaluations of the risks in our loan portfolio.</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the allocation of the ACL among loan categories as of the dates indicated. The total allowance is available to absorb losses from any loan category.</w:t>
      </w:r>
    </w:p>
    <w:tbl>
      <w:tblPr>
        <w:tblW w:w="7780" w:type="dxa"/>
        <w:jc w:val="left"/>
        <w:tblInd w:w="0" w:type="dxa"/>
        <w:tblCellMar>
          <w:top w:w="28" w:type="dxa"/>
          <w:left w:w="28" w:type="dxa"/>
          <w:bottom w:w="28" w:type="dxa"/>
          <w:right w:w="28" w:type="dxa"/>
        </w:tblCellMar>
      </w:tblPr>
      <w:tblGrid>
        <w:gridCol w:w="1015"/>
        <w:gridCol w:w="893"/>
        <w:gridCol w:w="822"/>
        <w:gridCol w:w="211"/>
        <w:gridCol w:w="736"/>
        <w:gridCol w:w="109"/>
        <w:gridCol w:w="109"/>
        <w:gridCol w:w="109"/>
        <w:gridCol w:w="109"/>
        <w:gridCol w:w="246"/>
        <w:gridCol w:w="235"/>
        <w:gridCol w:w="483"/>
        <w:gridCol w:w="109"/>
        <w:gridCol w:w="109"/>
        <w:gridCol w:w="109"/>
        <w:gridCol w:w="211"/>
        <w:gridCol w:w="721"/>
        <w:gridCol w:w="109"/>
        <w:gridCol w:w="109"/>
        <w:gridCol w:w="109"/>
        <w:gridCol w:w="109"/>
        <w:gridCol w:w="239"/>
        <w:gridCol w:w="227"/>
        <w:gridCol w:w="542"/>
      </w:tblGrid>
      <w:tr>
        <w:trPr/>
        <w:tc>
          <w:tcPr>
            <w:tcW w:w="1015"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6"/>
              </w:rPr>
              <w:t xml:space="preserve">Percent </w:t>
            </w:r>
            <w:r>
              <w:rPr>
                <w:rFonts w:ascii="Arial;sans-serif" w:hAnsi="Arial;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6"/>
              </w:rPr>
              <w:t xml:space="preserve">Percent </w:t>
            </w:r>
            <w:r>
              <w:rPr>
                <w:rFonts w:ascii="Arial;sans-serif" w:hAnsi="Arial;sans-serif"/>
                <w:b/>
                <w:color w:val="000000"/>
                <w:sz w:val="10"/>
              </w:rPr>
              <w:t>(1)</w:t>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5050"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Residential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5,408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20</w:t>
            </w:r>
            <w:r>
              <w:rPr>
                <w:color w:val="000000"/>
              </w:rPr>
              <w:t>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Commercial</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9,874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38</w:t>
            </w: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Construction</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1,753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7</w:t>
            </w:r>
            <w:r>
              <w:rPr>
                <w:color w:val="000000"/>
              </w:rPr>
              <w:t> </w:t>
            </w:r>
          </w:p>
        </w:tc>
        <w:tc>
          <w:tcPr>
            <w:tcW w:w="4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4,015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w:t>
            </w: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card</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5,151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20</w:t>
            </w:r>
            <w:r>
              <w:rPr>
                <w:color w:val="000000"/>
              </w:rPr>
              <w:t> </w:t>
            </w:r>
          </w:p>
        </w:tc>
        <w:tc>
          <w:tcPr>
            <w:tcW w:w="4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consumer</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 for credit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26,216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100</w:t>
            </w:r>
            <w:r>
              <w:rPr>
                <w:color w:val="000000"/>
              </w:rPr>
              <w:t>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240"/>
        <w:jc w:val="both"/>
        <w:rPr/>
      </w:pPr>
      <w:r>
        <w:rPr>
          <w:rFonts w:ascii="Times New Roman;sans-serif" w:hAnsi="Times New Roman;sans-serif"/>
          <w:b w:val="false"/>
          <w:color w:val="000000"/>
          <w:sz w:val="10"/>
        </w:rPr>
        <w:t>(1)</w:t>
      </w:r>
      <w:r>
        <w:rPr>
          <w:rFonts w:ascii="Arial;sans-serif" w:hAnsi="Arial;sans-serif"/>
          <w:b w:val="false"/>
          <w:color w:val="000000"/>
          <w:sz w:val="12"/>
        </w:rPr>
        <w:t>Loan category as a percentage of total portfolio loans which excludes SBA-PPP loans.</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 xml:space="preserve">Total Liabilities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Total liabilities at March 31, 2023 increased $111.1 million from December 31, 2022, primarily driven by an increase to our deposit portfolio as noted below.</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Deposits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Deposits are a major source of funding for the Company. We offer a variety of deposit products including interest-bearing demand, savings, money market and time accounts, all of which we actively market at competitive pricing. We generate deposits from our customers on a relationship basis and through the efforts of our commercial lending officers and our business banking officers. Our credit card customers are a significant source of low cost deposits. As of March 31, 2023 and December 31, 2022, our credit card customers accounted for $184.8 million and $187.4 million, or 26.2% and 27.8%, respectively, of our total noninterest-bearing deposit balances.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average balances and average rates paid on deposits for the periods indicated:</w:t>
      </w:r>
    </w:p>
    <w:tbl>
      <w:tblPr>
        <w:tblW w:w="10205" w:type="dxa"/>
        <w:jc w:val="center"/>
        <w:tblInd w:w="0" w:type="dxa"/>
        <w:tblCellMar>
          <w:top w:w="28" w:type="dxa"/>
          <w:left w:w="28" w:type="dxa"/>
          <w:bottom w:w="28" w:type="dxa"/>
          <w:right w:w="28" w:type="dxa"/>
        </w:tblCellMar>
      </w:tblPr>
      <w:tblGrid>
        <w:gridCol w:w="1068"/>
        <w:gridCol w:w="843"/>
        <w:gridCol w:w="850"/>
        <w:gridCol w:w="347"/>
        <w:gridCol w:w="1634"/>
        <w:gridCol w:w="179"/>
        <w:gridCol w:w="179"/>
        <w:gridCol w:w="179"/>
        <w:gridCol w:w="179"/>
        <w:gridCol w:w="263"/>
        <w:gridCol w:w="263"/>
        <w:gridCol w:w="464"/>
        <w:gridCol w:w="109"/>
        <w:gridCol w:w="109"/>
        <w:gridCol w:w="109"/>
        <w:gridCol w:w="314"/>
        <w:gridCol w:w="1455"/>
        <w:gridCol w:w="162"/>
        <w:gridCol w:w="162"/>
        <w:gridCol w:w="162"/>
        <w:gridCol w:w="162"/>
        <w:gridCol w:w="255"/>
        <w:gridCol w:w="256"/>
        <w:gridCol w:w="502"/>
      </w:tblGrid>
      <w:tr>
        <w:trPr/>
        <w:tc>
          <w:tcPr>
            <w:tcW w:w="1068"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r>
      <w:tr>
        <w:trPr/>
        <w:tc>
          <w:tcPr>
            <w:tcW w:w="2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 the For the 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 the Three Months Ended December 31, 2022</w:t>
            </w:r>
          </w:p>
        </w:tc>
      </w:tr>
      <w:tr>
        <w:trPr/>
        <w:tc>
          <w:tcPr>
            <w:tcW w:w="2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Balance</w:t>
            </w:r>
          </w:p>
        </w:tc>
        <w:tc>
          <w:tcPr>
            <w:tcW w:w="5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Balance</w:t>
            </w:r>
          </w:p>
        </w:tc>
        <w:tc>
          <w:tcPr>
            <w:tcW w:w="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Rate</w:t>
            </w:r>
          </w:p>
        </w:tc>
      </w:tr>
      <w:tr>
        <w:trPr/>
        <w:tc>
          <w:tcPr>
            <w:tcW w:w="276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2"/>
              </w:rPr>
            </w:pPr>
            <w:r>
              <w:rPr>
                <w:rFonts w:ascii="Arial;sans-serif" w:hAnsi="Arial;sans-serif"/>
                <w:b w:val="false"/>
                <w:color w:val="000000"/>
                <w:sz w:val="12"/>
              </w:rPr>
              <w:t>(in thousands)</w:t>
            </w:r>
          </w:p>
        </w:tc>
        <w:tc>
          <w:tcPr>
            <w:tcW w:w="7444"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accounts</w:t>
            </w:r>
          </w:p>
        </w:tc>
        <w:tc>
          <w:tcPr>
            <w:tcW w:w="3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34"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186,184</w:t>
            </w: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0.15</w:t>
            </w:r>
            <w:r>
              <w:rPr>
                <w:color w:val="000000"/>
              </w:rPr>
              <w:t> </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218,518 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502"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27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1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6,502</w:t>
            </w: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0.05</w:t>
            </w:r>
            <w:r>
              <w:rPr>
                <w:color w:val="000000"/>
              </w:rPr>
              <w:t> </w:t>
            </w:r>
          </w:p>
        </w:tc>
        <w:tc>
          <w:tcPr>
            <w:tcW w:w="4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5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Money market accounts</w:t>
            </w:r>
          </w:p>
        </w:tc>
        <w:tc>
          <w:tcPr>
            <w:tcW w:w="1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604,864</w:t>
            </w: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3.08</w:t>
            </w:r>
            <w:r>
              <w:rPr>
                <w:color w:val="000000"/>
              </w:rPr>
              <w:t> </w:t>
            </w:r>
          </w:p>
        </w:tc>
        <w:tc>
          <w:tcPr>
            <w:tcW w:w="4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552,185 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50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1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319,449</w:t>
            </w: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3.93</w:t>
            </w:r>
            <w:r>
              <w:rPr>
                <w:color w:val="000000"/>
              </w:rPr>
              <w:t> </w:t>
            </w:r>
          </w:p>
        </w:tc>
        <w:tc>
          <w:tcPr>
            <w:tcW w:w="4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177,346 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50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19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1,116,999</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2.82</w:t>
            </w:r>
            <w:r>
              <w:rPr>
                <w:color w:val="000000"/>
              </w:rPr>
              <w:t>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956,310 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accounts</w:t>
            </w:r>
          </w:p>
        </w:tc>
        <w:tc>
          <w:tcPr>
            <w:tcW w:w="19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654,025</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735,416 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deposits</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1,771,024</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1.78</w:t>
            </w:r>
            <w:r>
              <w:rPr>
                <w:color w:val="000000"/>
              </w:rPr>
              <w:t> </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1,691,726 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240"/>
        <w:ind w:left="0" w:right="0" w:firstLine="360"/>
        <w:rPr>
          <w:rFonts w:ascii="Arial;sans-serif" w:hAnsi="Arial;sans-serif"/>
          <w:b w:val="false"/>
          <w:color w:val="000000"/>
          <w:sz w:val="20"/>
        </w:rPr>
      </w:pPr>
      <w:r>
        <w:rPr>
          <w:rFonts w:ascii="Arial;sans-serif" w:hAnsi="Arial;sans-serif"/>
          <w:b w:val="false"/>
          <w:color w:val="000000"/>
          <w:sz w:val="20"/>
        </w:rPr>
        <w:t xml:space="preserve">Deposit costs increased 73 basis points during the three months ended March 31, 2023 owing in large part to a series of interest rate increases implemented by the Federal Reserve beginning in early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28650"/>
                <wp:effectExtent l="0" t="0" r="0" b="0"/>
                <wp:wrapNone/>
                <wp:docPr id="55" name="Frame5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rPr>
          <w:rFonts w:ascii="Arial;sans-serif" w:hAnsi="Arial;sans-serif"/>
          <w:b w:val="false"/>
          <w:color w:val="000000"/>
          <w:sz w:val="20"/>
        </w:rPr>
      </w:pPr>
      <w:r>
        <w:rPr>
          <w:rFonts w:ascii="Arial;sans-serif" w:hAnsi="Arial;sans-serif"/>
          <w:b w:val="false"/>
          <w:color w:val="000000"/>
          <w:sz w:val="20"/>
        </w:rPr>
        <w:t>2022. Average noninterest-bearing deposit balances decreased $127.9 million when compared to December 31, 2022, largely due to the decision by some depositors to move balances from noninterest-bearing deposit accounts to interest-bearing deposit accounts.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presents the maturities of our certificates of deposit as of March 31, 2023. </w:t>
      </w:r>
    </w:p>
    <w:tbl>
      <w:tblPr>
        <w:tblW w:w="8612" w:type="dxa"/>
        <w:jc w:val="center"/>
        <w:tblInd w:w="0" w:type="dxa"/>
        <w:tblCellMar>
          <w:top w:w="28" w:type="dxa"/>
          <w:left w:w="28" w:type="dxa"/>
          <w:bottom w:w="28" w:type="dxa"/>
          <w:right w:w="28" w:type="dxa"/>
        </w:tblCellMar>
      </w:tblPr>
      <w:tblGrid>
        <w:gridCol w:w="627"/>
        <w:gridCol w:w="554"/>
        <w:gridCol w:w="558"/>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627"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w:t>
              <w:br/>
              <w:t xml:space="preserve">Months or </w:t>
              <w:br/>
              <w:t>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Over</w:t>
              <w:br/>
              <w:t>Three</w:t>
              <w:br/>
              <w:t>Through</w:t>
              <w:br/>
              <w:t>Six</w:t>
              <w:br/>
              <w:t>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Over Six</w:t>
              <w:br/>
              <w:t>Through</w:t>
              <w:br/>
              <w:t>Twelve</w:t>
              <w:br/>
              <w:t>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Over</w:t>
              <w:br/>
              <w:t>Twelve</w:t>
              <w:br/>
              <w:t>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6873" w:type="dxa"/>
            <w:gridSpan w:val="27"/>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$250,000 or more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than $250,000</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380,966 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2023 and December 31, 2022, based on the methodologies and assumptions used for the Bank’s regulatory reporting requirements, approximately $844.4 million or 43.43% and $784.6 million or 44.6%, respectively, of the deposit portfolio was uninsured. Uninsured deposits are comprised of the portion of account balances that are in excess of FDIC insurance limits.</w:t>
      </w:r>
    </w:p>
    <w:p>
      <w:pPr>
        <w:pStyle w:val="TextBody"/>
        <w:spacing w:lineRule="auto" w:line="288" w:before="0" w:after="240"/>
        <w:ind w:left="0" w:right="0" w:firstLine="360"/>
        <w:jc w:val="both"/>
        <w:rPr/>
      </w:pPr>
      <w:r>
        <w:rPr>
          <w:rFonts w:ascii="Arial;sans-serif" w:hAnsi="Arial;sans-serif"/>
          <w:b w:val="false"/>
          <w:color w:val="000000"/>
          <w:sz w:val="20"/>
        </w:rPr>
        <w:t>Deposits securing our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card lines of credit and deposits from title companies represent the largest concentrations in the deposit portfolio. As of March 31, 2023, these deposits represented 10% and 14% of deposits, respectively. As of December 31, 2022, these concentrations were 11% and 13% of deposits.</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Borrowings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utilize short-term and long-term borrowings to supplement deposits to fund our lending and investment activities, each of which is discussed below. Despite the uncertain market conditions during the first quarter following the closures of Silicon Valley Bank and Signature bank, our total borrowings decreased during the three months ended March 31, 2023 to $44.1 million from $119.1 million at December 31, 2022 as our deposits increased during the quarter.</w:t>
      </w:r>
    </w:p>
    <w:p>
      <w:pPr>
        <w:pStyle w:val="TextBody"/>
        <w:spacing w:lineRule="auto" w:line="288" w:before="0" w:after="240"/>
        <w:ind w:left="0" w:right="0" w:firstLine="360"/>
        <w:jc w:val="both"/>
        <w:rPr/>
      </w:pPr>
      <w:r>
        <w:rPr>
          <w:rFonts w:ascii="Arial;sans-serif" w:hAnsi="Arial;sans-serif"/>
          <w:b w:val="false"/>
          <w:i/>
          <w:color w:val="000000"/>
          <w:sz w:val="20"/>
        </w:rPr>
        <w:t>FHLB Advances</w:t>
      </w:r>
      <w:r>
        <w:rPr>
          <w:rFonts w:ascii="Arial;sans-serif" w:hAnsi="Arial;sans-serif"/>
          <w:b w:val="false"/>
          <w:color w:val="000000"/>
          <w:sz w:val="20"/>
        </w:rPr>
        <w:t>. The FHLB allows us to borrow up to 25% of our assets on a blanket floating lien status collateralized by certain securities and loans. As of March 31, 2023, approximately $517.5 million in real estate loans were pledged as collateral to the FHLB and our total borrowing capacity from the FHLB was $363.3 million. As of March 31, 2023, no investment securities were pledged with the FHLB. We utilize these borrowings to meet liquidity needs and to fund certain fixed rate loans in our portfolio. As of March 31, 2023, we had $32.0 million in outstanding advances and $331.3 million in available borrowing capacity from the FHLB.</w:t>
      </w:r>
    </w:p>
    <w:p>
      <w:pPr>
        <w:pStyle w:val="TextBody"/>
        <w:spacing w:lineRule="auto" w:line="288" w:before="0" w:after="240"/>
        <w:ind w:left="0" w:right="0" w:firstLine="360"/>
        <w:jc w:val="both"/>
        <w:rPr/>
      </w:pPr>
      <w:r>
        <w:rPr>
          <w:rFonts w:ascii="Arial;sans-serif" w:hAnsi="Arial;sans-serif"/>
          <w:b w:val="false"/>
          <w:i/>
          <w:color w:val="000000"/>
          <w:sz w:val="20"/>
        </w:rPr>
        <w:t>Other Borrowed Funds.</w:t>
      </w:r>
      <w:r>
        <w:rPr>
          <w:color w:val="000000"/>
        </w:rPr>
        <w:t xml:space="preserve"> </w:t>
      </w:r>
      <w:r>
        <w:rPr>
          <w:rFonts w:ascii="Arial;sans-serif" w:hAnsi="Arial;sans-serif"/>
          <w:b w:val="false"/>
          <w:color w:val="000000"/>
          <w:sz w:val="20"/>
        </w:rPr>
        <w:t>The Company has also issued junior subordinated debentures and other subordinated notes. At March 31, 2023, these other borrowings amounted to $12.1 million, consisting of Floating Rate Junior Subordinated Deferrable Interest Debentures and subordinated notes.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March 31, 2023, our Floating Rate Junior Subordinated Deferrable Interest Debentures amounted to $2.1 million. The Floating Rate Junior Subordinated Deferrable Interest Debentures (the “Floating Rate Debentures”) were issued in June of 2006, mature on June 15, 2036, and may be redeemed prior to that date under certain circumstances. The principal amount of the Floating Rate Debentures has not changed since issuance, and they accrue interest at a floating rate equal to the three-month LIBOR plus 1.87%, payable quarterly. As of March 31, 2023, the rate for the Floating Rate Debentures was 6.74%.</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November 30, 2020, the Company issued $10.0 million in subordinated notes due in 2030 (the “Notes”). The Notes have a ten year term and have a fixed rate of 5.00% for the first five years; thereafter,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8650"/>
                <wp:effectExtent l="0" t="0" r="0" b="0"/>
                <wp:wrapNone/>
                <wp:docPr id="56" name="Frame5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rate resets quarterly to a benchmark rate, which is expected to be the three-month SOFR, plus 490 basis points. The Notes may be redeemed in part or in whole, upon the occurrence of certain events. </w:t>
      </w:r>
    </w:p>
    <w:p>
      <w:pPr>
        <w:pStyle w:val="TextBody"/>
        <w:spacing w:lineRule="auto" w:line="288" w:before="0" w:after="240"/>
        <w:ind w:left="0" w:right="0" w:firstLine="360"/>
        <w:jc w:val="both"/>
        <w:rPr/>
      </w:pPr>
      <w:r>
        <w:rPr>
          <w:rFonts w:ascii="Arial;sans-serif" w:hAnsi="Arial;sans-serif"/>
          <w:b w:val="false"/>
          <w:i/>
          <w:color w:val="000000"/>
          <w:sz w:val="20"/>
        </w:rPr>
        <w:t>Federal Reserve Bank of Richmond.</w:t>
      </w:r>
      <w:r>
        <w:rPr>
          <w:color w:val="000000"/>
        </w:rPr>
        <w:t xml:space="preserve"> </w:t>
      </w:r>
      <w:r>
        <w:rPr>
          <w:rFonts w:ascii="Arial;sans-serif" w:hAnsi="Arial;sans-serif"/>
          <w:b w:val="false"/>
          <w:color w:val="000000"/>
          <w:sz w:val="20"/>
        </w:rPr>
        <w:t>The Federal Reserve Bank of Richmond has an available borrower in custody arrangement which allows us to borrow on a collateralized basis. The Company’s borrowing capacity under the Federal Reserve’s discount window program was $21.9 million as of March 31, 2023. Certain commercial loans are pledged under this arrangement. During the first quarter of 2023, we established a line of credit under the Federal Reserve Bank’s Bank Term Funding Program. We have pledged $150.0 million of U.S. Treasuries securities to the Federal Reserve Bank which gives rise to $150.0 million of borrowing capacity. We maintain these borrowing arrangements to meet liquidity needs pursuant to our contingency funding plan. There were no outstanding balances on these lines at March 31, 2023.</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also has available lines of credit of $76.0 million with other correspondent banks at March 31, 2023, as well as access to certificate of deposit funding through financial intermediaries. There were no outstanding balances on the lines of credit from correspondent banks at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Liquidity</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addresses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has established a risk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that can be used to meet liquidity needs in situations of stress;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2023, we had $331.3 million of available borrowing capacity from the FHLB, $21.9 million of available borrowing capacity from the Federal Reserve Bank of Richmond Borrower in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8650"/>
                <wp:effectExtent l="0" t="0" r="0" b="0"/>
                <wp:wrapNone/>
                <wp:docPr id="57" name="Frame5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Custody program and available lines of credit of $76.0 million with other correspondent banks. At March 31, 2023, the Company also had $150.0 million available through the Federal Reserve's Bank Term Funding Program (“BTFP’), which provides funding collateralized by designated investment securities. The BTFP was established in March 2023 to make additional funding available to banks to ensure they could meet the needs of depositors and to eliminate the need for banks to sell securities in times of stress. There were no borrowings outstanding under this facility at the end of the current period. Cash and cash equivalents were $140.4 million at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Capital Resources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Stockholders’ equity increased $10.5 million for the period ended March 31, 2023 compared to December 31, 2022 largely due to net income of $9.7 million for the three months ended March 31, 2023. Shares repurchased during the three months ended March 31, 2023 as part of the Company’s stock repurchase program totaled 146,937 shares at a weighted average price of $18.48, for a total cost of $2.7 million including commissions.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uses several indicators of capital strength. The most commonly used measure is average common equity to average assets (computed as average equity divided by average total assets), which was 10.84% at March 31, 2023 and 10.22% at December 31, 2022.</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condition.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Quantitative measures established by regulation to ensure capital adequacy require the Bank to maintain minimum ratios of common equity Tier 1, Tier 1, and total capital as a percentage of assets and off-balance sheet exposures, adjusted for risk weights ranging from 0% to 1250%. The Bank is also required to maintain capital at a minimum level based on quarterly average assets, which is known as the leverage ratio.</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is currently exempt from the consolidated capital requirements.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ability of the Company to continue to grow is dependent on its earnings and those of the Bank,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commercial real estate loans. See "Risks Related to the Regulation of Our Industry” in Part I, Item 1A - Risk Factors in the Annual Report on Form 10-K for the year ended December 31, 2022.</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28650"/>
                <wp:effectExtent l="0" t="0" r="0" b="0"/>
                <wp:wrapNone/>
                <wp:docPr id="58" name="Frame5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2023,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regulatory capital ratios for the Company and the Bank as of the dates indicated.</w:t>
      </w:r>
    </w:p>
    <w:tbl>
      <w:tblPr>
        <w:tblW w:w="10205" w:type="dxa"/>
        <w:jc w:val="center"/>
        <w:tblInd w:w="0" w:type="dxa"/>
        <w:tblCellMar>
          <w:top w:w="28" w:type="dxa"/>
          <w:left w:w="28" w:type="dxa"/>
          <w:bottom w:w="28" w:type="dxa"/>
          <w:right w:w="28" w:type="dxa"/>
        </w:tblCellMar>
      </w:tblPr>
      <w:tblGrid>
        <w:gridCol w:w="956"/>
        <w:gridCol w:w="633"/>
        <w:gridCol w:w="637"/>
        <w:gridCol w:w="109"/>
        <w:gridCol w:w="109"/>
        <w:gridCol w:w="109"/>
        <w:gridCol w:w="196"/>
        <w:gridCol w:w="751"/>
        <w:gridCol w:w="109"/>
        <w:gridCol w:w="109"/>
        <w:gridCol w:w="109"/>
        <w:gridCol w:w="109"/>
        <w:gridCol w:w="285"/>
        <w:gridCol w:w="286"/>
        <w:gridCol w:w="278"/>
        <w:gridCol w:w="109"/>
        <w:gridCol w:w="109"/>
        <w:gridCol w:w="109"/>
        <w:gridCol w:w="196"/>
        <w:gridCol w:w="661"/>
        <w:gridCol w:w="109"/>
        <w:gridCol w:w="109"/>
        <w:gridCol w:w="109"/>
        <w:gridCol w:w="109"/>
        <w:gridCol w:w="240"/>
        <w:gridCol w:w="241"/>
        <w:gridCol w:w="278"/>
        <w:gridCol w:w="109"/>
        <w:gridCol w:w="109"/>
        <w:gridCol w:w="109"/>
        <w:gridCol w:w="196"/>
        <w:gridCol w:w="751"/>
        <w:gridCol w:w="109"/>
        <w:gridCol w:w="109"/>
        <w:gridCol w:w="109"/>
        <w:gridCol w:w="109"/>
        <w:gridCol w:w="284"/>
        <w:gridCol w:w="287"/>
        <w:gridCol w:w="278"/>
        <w:gridCol w:w="109"/>
        <w:gridCol w:w="109"/>
        <w:gridCol w:w="109"/>
        <w:gridCol w:w="155"/>
      </w:tblGrid>
      <w:tr>
        <w:trPr/>
        <w:tc>
          <w:tcPr>
            <w:tcW w:w="95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Actual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Minimum Capital</w:t>
              <w:br/>
              <w:t>Adequacy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To Be Well</w:t>
              <w:br/>
              <w:t>Capitalized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22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The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248,475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11.47</w:t>
            </w:r>
            <w:r>
              <w:rPr>
                <w:color w:val="000000"/>
              </w:rPr>
              <w:t> </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86,651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4.00</w:t>
            </w:r>
            <w:r>
              <w:rPr>
                <w:color w:val="000000"/>
              </w:rPr>
              <w:t> </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248,475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14.90</w:t>
            </w: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100,081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6.00</w:t>
            </w: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248,475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14.90</w:t>
            </w:r>
            <w:r>
              <w:rPr>
                <w:color w:val="000000"/>
              </w:rPr>
              <w:t>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75,061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4.50</w:t>
            </w:r>
            <w:r>
              <w:rPr>
                <w:color w:val="000000"/>
              </w:rPr>
              <w:t>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269,403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16.15</w:t>
            </w: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133,442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The Bank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206,551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9.78</w:t>
            </w:r>
            <w:r>
              <w:rPr>
                <w:color w:val="000000"/>
              </w:rPr>
              <w:t> </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84,505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4.00</w:t>
            </w:r>
            <w:r>
              <w:rPr>
                <w:color w:val="000000"/>
              </w:rPr>
              <w:t> </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105,631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5.00</w:t>
            </w:r>
            <w:r>
              <w:rPr>
                <w:color w:val="000000"/>
              </w:rPr>
              <w:t> </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206,551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12.80</w:t>
            </w: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96,820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6.00</w:t>
            </w: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129,093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206,551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12.80</w:t>
            </w:r>
            <w:r>
              <w:rPr>
                <w:color w:val="000000"/>
              </w:rPr>
              <w:t>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72,615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4.50</w:t>
            </w:r>
            <w:r>
              <w:rPr>
                <w:color w:val="000000"/>
              </w:rPr>
              <w:t>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104,888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6.50</w:t>
            </w:r>
            <w:r>
              <w:rPr>
                <w:color w:val="000000"/>
              </w:rPr>
              <w:t>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226,802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14.06</w:t>
            </w: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129,093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161,367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5"/>
              </w:rPr>
              <w:t>10.00</w:t>
            </w: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The Company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242,829 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11.24 </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86,442 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4.00 </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242,829 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15.13 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240,767 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15.00 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72,237 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262,217 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16.33 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The Bank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9.47 </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4.00 </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5.00 </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12.95 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12.95 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69,431 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6.50 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219,234 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14.21 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154,290 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color w:val="000000"/>
          <w:sz w:val="20"/>
        </w:rPr>
      </w:pPr>
      <w:r>
        <w:rPr>
          <w:rFonts w:ascii="Arial;sans-serif" w:hAnsi="Arial;sans-serif"/>
          <w:b/>
          <w:color w:val="000000"/>
          <w:sz w:val="20"/>
        </w:rPr>
        <w:t>Contractual Obligations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contractual obligations to make future payments on debt agreements. Our liquidity monitoring and management consider both present and future demands for and sources of liquidity. </w:t>
      </w:r>
    </w:p>
    <w:p>
      <w:pPr>
        <w:pStyle w:val="TextBody"/>
        <w:spacing w:lineRule="auto" w:line="288" w:before="0" w:after="240"/>
        <w:rPr>
          <w:rFonts w:ascii="Arial;sans-serif" w:hAnsi="Arial;sans-serif"/>
          <w:b w:val="false"/>
          <w:i/>
          <w:color w:val="000000"/>
          <w:sz w:val="20"/>
        </w:rPr>
      </w:pPr>
      <w:r>
        <w:rPr>
          <w:rFonts w:ascii="Arial;sans-serif" w:hAnsi="Arial;sans-serif"/>
          <w:b w:val="false"/>
          <w:i/>
          <w:color w:val="000000"/>
          <w:sz w:val="20"/>
        </w:rPr>
        <w:t>Off-Balance Sheet Items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 reserve for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8650"/>
                <wp:effectExtent l="0" t="0" r="0" b="0"/>
                <wp:wrapNone/>
                <wp:docPr id="59" name="Frame5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unfunded commitments and certain off-balance sheet credit risks, which is recorded in other liabilities on the consolidated balance sheet.</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tbl>
      <w:tblPr>
        <w:tblW w:w="7375" w:type="dxa"/>
        <w:jc w:val="center"/>
        <w:tblInd w:w="0" w:type="dxa"/>
        <w:tblCellMar>
          <w:top w:w="28" w:type="dxa"/>
          <w:left w:w="28" w:type="dxa"/>
          <w:bottom w:w="28" w:type="dxa"/>
          <w:right w:w="28" w:type="dxa"/>
        </w:tblCellMar>
      </w:tblPr>
      <w:tblGrid>
        <w:gridCol w:w="1170"/>
        <w:gridCol w:w="1029"/>
        <w:gridCol w:w="1040"/>
        <w:gridCol w:w="313"/>
        <w:gridCol w:w="1250"/>
        <w:gridCol w:w="162"/>
        <w:gridCol w:w="109"/>
        <w:gridCol w:w="109"/>
        <w:gridCol w:w="109"/>
        <w:gridCol w:w="369"/>
        <w:gridCol w:w="1446"/>
        <w:gridCol w:w="269"/>
      </w:tblGrid>
      <w:tr>
        <w:trPr/>
        <w:tc>
          <w:tcPr>
            <w:tcW w:w="1170"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4136"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Unfunded lines of credit</w:t>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0"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363,244</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345,063 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4"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Letters of credit</w:t>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0"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5,105</w:t>
            </w: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 to fund other investments</w:t>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0"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3,874</w:t>
            </w: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4,365 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credit extension commitments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372,223</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354,533 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customer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We believe the credit risk associated with issuing letters of credit is substantially the same as the risk involved in extending loan facilities to our customers.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commitment to fund other investments reflects an obligation to make an investment in a Small Business Investment Company.</w:t>
      </w:r>
    </w:p>
    <w:p>
      <w:pPr>
        <w:pStyle w:val="TextBody"/>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 xml:space="preserve">Impact of Inflation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8650"/>
                <wp:effectExtent l="0" t="0" r="0" b="0"/>
                <wp:wrapNone/>
                <wp:docPr id="60" name="Frame5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Unlike many industrial companies, substantially all of the Company’s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most other operating expenses are sensitive to changes in levels of inflation.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8650"/>
                <wp:effectExtent l="0" t="0" r="0" b="0"/>
                <wp:wrapNone/>
                <wp:docPr id="61" name="Frame6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Item 3. QUANTITATIVE AND QUALITATIVE DISCLOSURES ABOUT MARKET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Arial;sans-serif" w:hAnsi="Arial;sans-serif"/>
          <w:b/>
          <w:color w:val="000000"/>
          <w:sz w:val="20"/>
        </w:rPr>
      </w:pPr>
      <w:r>
        <w:rPr>
          <w:rFonts w:ascii="Arial;sans-serif" w:hAnsi="Arial;sans-serif"/>
          <w:b/>
          <w:color w:val="000000"/>
          <w:sz w:val="20"/>
        </w:rPr>
        <w:t>Interest Rate Sensitivity and Market Risk</w:t>
      </w:r>
    </w:p>
    <w:p>
      <w:pPr>
        <w:pStyle w:val="TextBody"/>
        <w:spacing w:lineRule="auto" w:line="288" w:before="0" w:after="240"/>
        <w:ind w:left="0" w:right="0" w:firstLine="360"/>
        <w:jc w:val="both"/>
        <w:rPr/>
      </w:pPr>
      <w:r>
        <w:rPr>
          <w:rFonts w:ascii="Arial;sans-serif" w:hAnsi="Arial;sans-serif"/>
          <w:b w:val="false"/>
          <w:color w:val="000000"/>
          <w:sz w:val="20"/>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sans-serif" w:hAnsi="Arial;sans-serif"/>
          <w:b/>
          <w:color w:val="000000"/>
          <w:sz w:val="20"/>
        </w:rPr>
        <w:t xml:space="preserve">. </w:t>
      </w:r>
      <w:r>
        <w:rPr>
          <w:rFonts w:ascii="Arial;sans-serif" w:hAnsi="Arial;sans-serif"/>
          <w:b w:val="false"/>
          <w:color w:val="000000"/>
          <w:sz w:val="20"/>
        </w:rPr>
        <w:t>We endeavor to manage our sensitivity position within our established guidelines.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8650"/>
                <wp:effectExtent l="0" t="0" r="0" b="0"/>
                <wp:wrapNone/>
                <wp:docPr id="62" name="Frame6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INTEREST SENSITIVITY GAP</w:t>
      </w:r>
    </w:p>
    <w:tbl>
      <w:tblPr>
        <w:tblW w:w="10235" w:type="dxa"/>
        <w:jc w:val="left"/>
        <w:tblInd w:w="0" w:type="dxa"/>
        <w:tblCellMar>
          <w:top w:w="28" w:type="dxa"/>
          <w:left w:w="28" w:type="dxa"/>
          <w:bottom w:w="28" w:type="dxa"/>
          <w:right w:w="28" w:type="dxa"/>
        </w:tblCellMar>
      </w:tblPr>
      <w:tblGrid>
        <w:gridCol w:w="650"/>
        <w:gridCol w:w="433"/>
        <w:gridCol w:w="193"/>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200"/>
        <w:gridCol w:w="753"/>
        <w:gridCol w:w="263"/>
        <w:gridCol w:w="109"/>
        <w:gridCol w:w="109"/>
        <w:gridCol w:w="109"/>
        <w:gridCol w:w="196"/>
        <w:gridCol w:w="871"/>
        <w:gridCol w:w="154"/>
      </w:tblGrid>
      <w:tr>
        <w:trPr/>
        <w:tc>
          <w:tcPr>
            <w:tcW w:w="65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March 31, 2023</w:t>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Within One Month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After One Month Through Three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After Three Through Twelve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Within One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Greater Than One Year or Non-Sensitive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8959" w:type="dxa"/>
            <w:gridSpan w:val="3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 xml:space="preserve">Loans </w:t>
            </w:r>
            <w:r>
              <w:rPr>
                <w:rFonts w:ascii="Arial;sans-serif" w:hAnsi="Arial;sans-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368,358 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405,382 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241,372 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1,015,112 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756,438 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1,771,550 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Securities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33,381 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34,960 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92,348 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167,629 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259,977 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125,448 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125,448 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14,477 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Federal funds sold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earning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527,649 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429,389 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276,332 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1,233,370 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938,544 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2,171,914 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115,232 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153,643 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703,912 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857,555 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Time deposits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110,943 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135,413 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282,399 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98,568 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380,967 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deposits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250,645 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436,042 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802,480 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FHLB Advances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22,000 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borrowed funds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58,847 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250,645 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446,042 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836,542 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Period gap</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468,802 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292,839 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787,328 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102,002 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889,330 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Cumulative gap</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468,802 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761,641 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787,328 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787,328 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889,330 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Ratio of cumulative gap to total earning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40.95 </w:t>
            </w:r>
          </w:p>
        </w:tc>
        <w:tc>
          <w:tcPr>
            <w:tcW w:w="2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jc w:val="both"/>
        <w:rPr/>
      </w:pPr>
      <w:r>
        <w:rPr>
          <w:rFonts w:ascii="Times New Roman;sans-serif" w:hAnsi="Times New Roman;sans-serif"/>
          <w:b w:val="false"/>
          <w:color w:val="000000"/>
          <w:sz w:val="8"/>
        </w:rPr>
        <w:t>(1)</w:t>
      </w:r>
      <w:r>
        <w:rPr>
          <w:rFonts w:ascii="Arial;sans-serif" w:hAnsi="Arial;sans-serif"/>
          <w:b w:val="false"/>
          <w:color w:val="000000"/>
          <w:sz w:val="12"/>
        </w:rPr>
        <w:t>Includes loans held for sale and loans made under the SBA-PPP loan program.</w:t>
      </w:r>
    </w:p>
    <w:p>
      <w:pPr>
        <w:pStyle w:val="TextBody"/>
        <w:spacing w:before="0" w:after="24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8650"/>
                <wp:effectExtent l="0" t="0" r="0" b="0"/>
                <wp:wrapNone/>
                <wp:docPr id="63" name="Frame6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the results of our EAR analysis in simulating the change in net interest income and fair value of equity over a 12-month horizon as of March 31, 2023:</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IMPACT ON NET INTEREST INCOME UNDER A STATIC BALANCE SHEET, PARALLEL INTEREST RATE SHOCK</w:t>
      </w:r>
    </w:p>
    <w:tbl>
      <w:tblPr>
        <w:tblW w:w="9443" w:type="dxa"/>
        <w:jc w:val="center"/>
        <w:tblInd w:w="0" w:type="dxa"/>
        <w:tblCellMar>
          <w:top w:w="28" w:type="dxa"/>
          <w:left w:w="28" w:type="dxa"/>
          <w:bottom w:w="28" w:type="dxa"/>
          <w:right w:w="28" w:type="dxa"/>
        </w:tblCellMar>
      </w:tblPr>
      <w:tblGrid>
        <w:gridCol w:w="510"/>
        <w:gridCol w:w="449"/>
        <w:gridCol w:w="450"/>
        <w:gridCol w:w="109"/>
        <w:gridCol w:w="109"/>
        <w:gridCol w:w="109"/>
        <w:gridCol w:w="224"/>
        <w:gridCol w:w="226"/>
        <w:gridCol w:w="421"/>
        <w:gridCol w:w="109"/>
        <w:gridCol w:w="109"/>
        <w:gridCol w:w="109"/>
        <w:gridCol w:w="224"/>
        <w:gridCol w:w="226"/>
        <w:gridCol w:w="421"/>
        <w:gridCol w:w="109"/>
        <w:gridCol w:w="109"/>
        <w:gridCol w:w="109"/>
        <w:gridCol w:w="224"/>
        <w:gridCol w:w="226"/>
        <w:gridCol w:w="421"/>
        <w:gridCol w:w="109"/>
        <w:gridCol w:w="109"/>
        <w:gridCol w:w="109"/>
        <w:gridCol w:w="188"/>
        <w:gridCol w:w="188"/>
        <w:gridCol w:w="256"/>
        <w:gridCol w:w="109"/>
        <w:gridCol w:w="109"/>
        <w:gridCol w:w="109"/>
        <w:gridCol w:w="188"/>
        <w:gridCol w:w="188"/>
        <w:gridCol w:w="438"/>
        <w:gridCol w:w="109"/>
        <w:gridCol w:w="109"/>
        <w:gridCol w:w="109"/>
        <w:gridCol w:w="188"/>
        <w:gridCol w:w="188"/>
        <w:gridCol w:w="438"/>
        <w:gridCol w:w="109"/>
        <w:gridCol w:w="109"/>
        <w:gridCol w:w="109"/>
        <w:gridCol w:w="188"/>
        <w:gridCol w:w="188"/>
        <w:gridCol w:w="496"/>
      </w:tblGrid>
      <w:tr>
        <w:trPr/>
        <w:tc>
          <w:tcPr>
            <w:tcW w:w="510"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Earnings at Risk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Flat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r>
      <w:tr>
        <w:trPr/>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illustrates the results of our EVE analysis as of March 31, 2023.</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ECONOMIC VALUE OF EQUITY ANALYSIS UNDER A STATIC BALANCE SHEET, PARALLEL INTEREST RATE SHOCK</w:t>
      </w:r>
    </w:p>
    <w:tbl>
      <w:tblPr>
        <w:tblW w:w="10205" w:type="dxa"/>
        <w:jc w:val="center"/>
        <w:tblInd w:w="0" w:type="dxa"/>
        <w:tblCellMar>
          <w:top w:w="28" w:type="dxa"/>
          <w:left w:w="28" w:type="dxa"/>
          <w:bottom w:w="28" w:type="dxa"/>
          <w:right w:w="28" w:type="dxa"/>
        </w:tblCellMar>
      </w:tblPr>
      <w:tblGrid>
        <w:gridCol w:w="747"/>
        <w:gridCol w:w="654"/>
        <w:gridCol w:w="659"/>
        <w:gridCol w:w="109"/>
        <w:gridCol w:w="109"/>
        <w:gridCol w:w="109"/>
        <w:gridCol w:w="221"/>
        <w:gridCol w:w="223"/>
        <w:gridCol w:w="407"/>
        <w:gridCol w:w="109"/>
        <w:gridCol w:w="109"/>
        <w:gridCol w:w="109"/>
        <w:gridCol w:w="221"/>
        <w:gridCol w:w="223"/>
        <w:gridCol w:w="407"/>
        <w:gridCol w:w="109"/>
        <w:gridCol w:w="109"/>
        <w:gridCol w:w="109"/>
        <w:gridCol w:w="221"/>
        <w:gridCol w:w="223"/>
        <w:gridCol w:w="407"/>
        <w:gridCol w:w="109"/>
        <w:gridCol w:w="109"/>
        <w:gridCol w:w="109"/>
        <w:gridCol w:w="188"/>
        <w:gridCol w:w="188"/>
        <w:gridCol w:w="256"/>
        <w:gridCol w:w="109"/>
        <w:gridCol w:w="109"/>
        <w:gridCol w:w="109"/>
        <w:gridCol w:w="188"/>
        <w:gridCol w:w="188"/>
        <w:gridCol w:w="423"/>
        <w:gridCol w:w="109"/>
        <w:gridCol w:w="109"/>
        <w:gridCol w:w="109"/>
        <w:gridCol w:w="188"/>
        <w:gridCol w:w="188"/>
        <w:gridCol w:w="423"/>
        <w:gridCol w:w="109"/>
        <w:gridCol w:w="109"/>
        <w:gridCol w:w="109"/>
        <w:gridCol w:w="188"/>
        <w:gridCol w:w="188"/>
        <w:gridCol w:w="423"/>
        <w:gridCol w:w="109"/>
        <w:gridCol w:w="165"/>
      </w:tblGrid>
      <w:tr>
        <w:trPr/>
        <w:tc>
          <w:tcPr>
            <w:tcW w:w="747"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Economic Value of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Flat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0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bl>
    <w:p>
      <w:pPr>
        <w:pStyle w:val="TextBody"/>
        <w:spacing w:before="0" w:after="24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28650"/>
                <wp:effectExtent l="0" t="0" r="0" b="0"/>
                <wp:wrapNone/>
                <wp:docPr id="64" name="Frame6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Item 4. CONTROLS AND PROCEDURES.</w:t>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Evaluation of Disclosure Controls and Procedures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management, including our Principal Executive Officer and Principal Financial Officer, have evaluated the effectiveness of our disclosure controls and procedures (as defined in Rule 13a-15(e) under the Securities Exchange Act of 1934, as amended (the “Exchange Act”) as of the end of the period covered by this report. Based upon that evaluation, our Principal Executive Officer and Principal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Principal Executive Officer and the Principal Financial Officer, as appropriate to allow timely decisions regarding required disclosure.</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March 2023, management designed additional internal controls around the review of the allowance for credit loss, created an Allowance for Credit Loss governance committee, and moved Loan Review under the management of the Bank’s Chief Risk Officer. There has been no change, otherwise, in the Company’s internal control over financial reporting (as such term is defined in Rule 13a-15(f) under the Exchange Act) during the fiscal quarter to which this report relates which has materially affected, or is reasonably likely to materially affect, the Company’s internal control over financial reporting.</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8650"/>
                <wp:effectExtent l="0" t="0" r="0" b="0"/>
                <wp:wrapNone/>
                <wp:docPr id="65" name="Frame6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1. LEGAL PROCEEDINGS.</w:t>
      </w:r>
    </w:p>
    <w:p>
      <w:pPr>
        <w:pStyle w:val="TextBody"/>
        <w:spacing w:before="0" w:after="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are a party to various litigation matters incidental to the ordinary conduct of our business. We are not presently a party to any material legal proceedings.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 xml:space="preserve">Item 1A. RISK FACTORS.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Other than the additional risk factors referenced below, there are no material changes to the risk factors as previously disclosed under Item 1A in our Annual Report for the year ended December 31, 2022 and those referenced in other reports on file with the SEC.</w:t>
      </w:r>
    </w:p>
    <w:p>
      <w:pPr>
        <w:pStyle w:val="TextBody"/>
        <w:spacing w:lineRule="auto" w:line="288" w:before="0" w:after="240"/>
        <w:jc w:val="both"/>
        <w:rPr>
          <w:rFonts w:ascii="Arial;sans-serif" w:hAnsi="Arial;sans-serif"/>
          <w:b/>
          <w:i/>
          <w:color w:val="000000"/>
          <w:sz w:val="20"/>
        </w:rPr>
      </w:pPr>
      <w:r>
        <w:rPr>
          <w:rFonts w:ascii="Arial;sans-serif" w:hAnsi="Arial;sans-serif"/>
          <w:b/>
          <w:i/>
          <w:color w:val="000000"/>
          <w:sz w:val="20"/>
        </w:rPr>
        <w:t>Adverse developments affecting the banking industry, and resulting media coverage, have eroded customer confidence in the banking system and could have a material effect on the Company’s operations and/or stock price.</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recent high-profile bank failures involving Silicon Valley Bank, Signature Bank, and First Republic Bank have generated significant market volatility among publicly traded bank holding companies and, in particular, regional banks. These market developments have negatively impacted customer confidence in the safety and soundness of regional banks. As a result, customers may choose to maintain deposits with larger financial institutions or invest in higher yielding short-term fixed income securities, all of which could materially adversely impact our liquidity, cost of funding, loan funding capacity, net interest margin, capital and results of operations. In connection with high-profile bank failures, uncertainty and concern has been, and may in the future be further, compounded by advances in technology that increase the speed at which deposits can be moved, as well as the speed and reach of media attention, including social media, and its ability to disseminate concerns or rumors, in each case potentially exacerbating liquidity concerns. While the Department of the Treasury, the Federal Reserve, and the FDIC have made statements ensuring that depositors of recently failed banks would have access to their deposits, including uninsured deposit accounts, there is no guarantee that such actions will be successful in restoring customer confidence in regional banks and the bank system more broadly. In addition, the banking operating environment and public trading prices of banking institutions can be highly correlated, in particular during times of stress, which could materially and adversely impact the trading prices of our common stock and potentially our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8650"/>
                <wp:effectExtent l="0" t="0" r="0" b="0"/>
                <wp:wrapNone/>
                <wp:docPr id="66" name="Frame6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2. UNREGISTERED SALES OF EQUITY SECURITIES AND USE OF PROCEEDS.</w:t>
      </w:r>
    </w:p>
    <w:p>
      <w:pPr>
        <w:pStyle w:val="TextBody"/>
        <w:spacing w:before="0" w:after="0"/>
        <w:jc w:val="both"/>
        <w:rPr/>
      </w:pPr>
      <w:r>
        <w:rPr/>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were no unregistered sales of the Company’s stock during the year to date period ended March 31, 2023. </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On July 25, 2022, the Company announced a new stock repurchase program. Under the new program, the Company is authorized to repurchase up to $10.0 million of its outstanding common stock, par value $0.01 per share (“Common Stock”). On April 13, 2023, the Company announced approval of up to an additional $5.0 million or 175,000 shares of Common Stock incremental to the July 2022 announcement. The program will expire on December 31, 2024. There were no stock repurchases by the Company under the repurchase program announced on July 25, 2022, prior to the quarter ended March 31, 2023. During the three months ended March 31, 2023, the Company repurchased Common Stock under the recently approved stock repurchase program as reflected in the following table.</w:t>
      </w:r>
    </w:p>
    <w:tbl>
      <w:tblPr>
        <w:tblW w:w="10205" w:type="dxa"/>
        <w:jc w:val="left"/>
        <w:tblInd w:w="0" w:type="dxa"/>
        <w:tblCellMar>
          <w:top w:w="28" w:type="dxa"/>
          <w:left w:w="28" w:type="dxa"/>
          <w:bottom w:w="28" w:type="dxa"/>
          <w:right w:w="28" w:type="dxa"/>
        </w:tblCellMar>
      </w:tblPr>
      <w:tblGrid>
        <w:gridCol w:w="556"/>
        <w:gridCol w:w="444"/>
        <w:gridCol w:w="449"/>
        <w:gridCol w:w="582"/>
        <w:gridCol w:w="508"/>
        <w:gridCol w:w="510"/>
        <w:gridCol w:w="342"/>
        <w:gridCol w:w="707"/>
        <w:gridCol w:w="191"/>
        <w:gridCol w:w="960"/>
        <w:gridCol w:w="928"/>
        <w:gridCol w:w="930"/>
        <w:gridCol w:w="462"/>
        <w:gridCol w:w="2266"/>
        <w:gridCol w:w="370"/>
      </w:tblGrid>
      <w:tr>
        <w:trPr/>
        <w:tc>
          <w:tcPr>
            <w:tcW w:w="55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r>
      <w:tr>
        <w:trPr/>
        <w:tc>
          <w:tcPr>
            <w:tcW w:w="1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1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1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28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w:t>
            </w:r>
          </w:p>
        </w:tc>
        <w:tc>
          <w:tcPr>
            <w:tcW w:w="3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Maximum Dollar Value of Shares that May Yet Be Purchased Under the Plans or Programs</w:t>
            </w:r>
          </w:p>
        </w:tc>
      </w:tr>
      <w:tr>
        <w:trPr/>
        <w:tc>
          <w:tcPr>
            <w:tcW w:w="1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1, 2023 to January 31, 2023</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10,000,000 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1, 2023 to February 28, 2023</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42,794 </w:t>
            </w:r>
          </w:p>
        </w:tc>
        <w:tc>
          <w:tcPr>
            <w:tcW w:w="5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20.86 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42,794 </w:t>
            </w:r>
          </w:p>
        </w:tc>
        <w:tc>
          <w:tcPr>
            <w:tcW w:w="9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9,106,044 </w:t>
            </w:r>
          </w:p>
        </w:tc>
        <w:tc>
          <w:tcPr>
            <w:tcW w:w="3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1, 2023 to March 31, 2023</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104,143 </w:t>
            </w:r>
          </w:p>
        </w:tc>
        <w:tc>
          <w:tcPr>
            <w:tcW w:w="5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104,143 </w:t>
            </w:r>
          </w:p>
        </w:tc>
        <w:tc>
          <w:tcPr>
            <w:tcW w:w="9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7,279,743 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0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146,937 </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8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146,937 </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7,279,743 </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8650"/>
                <wp:effectExtent l="0" t="0" r="0" b="0"/>
                <wp:wrapNone/>
                <wp:docPr id="67" name="Frame6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3. DEFAULTS UPON SENIOR SECURITIES.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4. MINE SAFETY DISCLOSURES.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5. OTHER INFORMATION.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6. EXHIBITS.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320"/>
        <w:gridCol w:w="281"/>
        <w:gridCol w:w="282"/>
        <w:gridCol w:w="109"/>
        <w:gridCol w:w="109"/>
        <w:gridCol w:w="109"/>
        <w:gridCol w:w="2726"/>
        <w:gridCol w:w="2586"/>
        <w:gridCol w:w="3683"/>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6" w:type="dxa"/>
            <w:tcBorders/>
            <w:shd w:fill="auto" w:val="clear"/>
            <w:vAlign w:val="center"/>
          </w:tcPr>
          <w:p>
            <w:pPr>
              <w:pStyle w:val="TableContents"/>
              <w:spacing w:before="0" w:after="283"/>
              <w:rPr>
                <w:sz w:val="4"/>
                <w:szCs w:val="4"/>
              </w:rPr>
            </w:pPr>
            <w:r>
              <w:rPr>
                <w:sz w:val="4"/>
                <w:szCs w:val="4"/>
              </w:rPr>
            </w:r>
          </w:p>
        </w:tc>
        <w:tc>
          <w:tcPr>
            <w:tcW w:w="2586" w:type="dxa"/>
            <w:tcBorders/>
            <w:shd w:fill="auto" w:val="clear"/>
            <w:vAlign w:val="center"/>
          </w:tcPr>
          <w:p>
            <w:pPr>
              <w:pStyle w:val="TableContents"/>
              <w:spacing w:before="0" w:after="283"/>
              <w:rPr>
                <w:sz w:val="4"/>
                <w:szCs w:val="4"/>
              </w:rPr>
            </w:pPr>
            <w:r>
              <w:rPr>
                <w:sz w:val="4"/>
                <w:szCs w:val="4"/>
              </w:rPr>
            </w:r>
          </w:p>
        </w:tc>
        <w:tc>
          <w:tcPr>
            <w:tcW w:w="3683" w:type="dxa"/>
            <w:tcBorders/>
            <w:shd w:fill="auto" w:val="cle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and Restated Articles of Incorporation (incorporated by reference to Exhibit 3.1 to the Company’s Form S-1 filed on August 31, 2018).</w:t>
            </w:r>
          </w:p>
        </w:tc>
      </w:tr>
      <w:tr>
        <w:trPr/>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and Restated Bylaws (incorporated by reference to Exhibit 3.2 to the Company’s Form S-1 filed on August 31, 2018).</w:t>
            </w:r>
          </w:p>
        </w:tc>
      </w:tr>
      <w:tr>
        <w:trPr/>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mendmenttopoynotemploym.htm">
              <w:r>
                <w:rPr>
                  <w:rStyle w:val="InternetLink"/>
                  <w:rFonts w:ascii="Arial;sans-serif" w:hAnsi="Arial;sans-serif"/>
                  <w:b w:val="false"/>
                  <w:color w:val="0000FF"/>
                  <w:sz w:val="16"/>
                  <w:u w:val="single"/>
                </w:rPr>
                <w:t>Amendment to Employment Agreement, dated April 13, 2023, between Capital Bank, N.A. and Steven Poynot.</w:t>
              </w:r>
            </w:hyperlink>
          </w:p>
        </w:tc>
      </w:tr>
      <w:tr>
        <w:trPr/>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mendmenttobrowningemplo.htm">
              <w:r>
                <w:rPr>
                  <w:rStyle w:val="InternetLink"/>
                  <w:rFonts w:ascii="Arial;sans-serif" w:hAnsi="Arial;sans-serif"/>
                  <w:b w:val="false"/>
                  <w:color w:val="0000FF"/>
                  <w:sz w:val="16"/>
                  <w:u w:val="single"/>
                </w:rPr>
                <w:t>Amendment to Employment Agreement, dated April 13, 2023, between Capital Bank, N.A. and Scot R. Browning.</w:t>
              </w:r>
            </w:hyperlink>
          </w:p>
        </w:tc>
      </w:tr>
      <w:tr>
        <w:trPr/>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1certofceoq12023.htm">
              <w:r>
                <w:rPr>
                  <w:rStyle w:val="InternetLink"/>
                  <w:rFonts w:ascii="Arial;sans-serif" w:hAnsi="Arial;sans-serif"/>
                  <w:b w:val="false"/>
                  <w:color w:val="0000FF"/>
                  <w:sz w:val="16"/>
                  <w:u w:val="single"/>
                </w:rPr>
                <w:t>Rule 13a-14(a) Certification of the Principal Executive Officer</w:t>
              </w:r>
            </w:hyperlink>
            <w:r>
              <w:rPr>
                <w:rFonts w:ascii="Arial;sans-serif" w:hAnsi="Arial;sans-serif"/>
                <w:b w:val="false"/>
                <w:color w:val="000000"/>
                <w:sz w:val="16"/>
              </w:rPr>
              <w:t>.</w:t>
            </w:r>
          </w:p>
        </w:tc>
      </w:tr>
      <w:tr>
        <w:trPr/>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2certofcfoq12023.htm">
              <w:r>
                <w:rPr>
                  <w:rStyle w:val="InternetLink"/>
                  <w:rFonts w:ascii="Arial;sans-serif" w:hAnsi="Arial;sans-serif"/>
                  <w:b w:val="false"/>
                  <w:color w:val="0000FF"/>
                  <w:sz w:val="16"/>
                  <w:u w:val="single"/>
                </w:rPr>
                <w:t>Rule 13a-14(a) Certification of the Principal Financial Officer.</w:t>
              </w:r>
            </w:hyperlink>
            <w:r>
              <w:rPr>
                <w:rFonts w:ascii="Arial;sans-serif" w:hAnsi="Arial;sans-serif"/>
                <w:b w:val="false"/>
                <w:color w:val="000000"/>
                <w:sz w:val="16"/>
              </w:rPr>
              <w:t>.</w:t>
            </w:r>
          </w:p>
        </w:tc>
      </w:tr>
      <w:tr>
        <w:trPr/>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2certofsoxq12023.htm">
              <w:r>
                <w:rPr>
                  <w:rStyle w:val="InternetLink"/>
                </w:rPr>
                <w:t xml:space="preserve">Section 1350 Certification of </w:t>
              </w:r>
            </w:hyperlink>
            <w:hyperlink w:anchor="ex32certofsoxq12023.htm">
              <w:r>
                <w:rPr>
                  <w:rStyle w:val="InternetLink"/>
                </w:rPr>
                <w:t>Principal</w:t>
              </w:r>
            </w:hyperlink>
            <w:hyperlink w:anchor="ex32certofsoxq12023.htm">
              <w:r>
                <w:rPr>
                  <w:rStyle w:val="InternetLink"/>
                </w:rPr>
                <w:t xml:space="preserve"> Executive Officer and </w:t>
              </w:r>
            </w:hyperlink>
            <w:hyperlink w:anchor="ex32certofsoxq12023.htm">
              <w:r>
                <w:rPr>
                  <w:rStyle w:val="InternetLink"/>
                </w:rPr>
                <w:t>Principal</w:t>
              </w:r>
            </w:hyperlink>
            <w:hyperlink w:anchor="ex32certofsoxq12023.htm">
              <w:r>
                <w:rPr>
                  <w:rStyle w:val="InternetLink"/>
                </w:rPr>
                <w:t xml:space="preserve"> Financial Officer</w:t>
              </w:r>
            </w:hyperlink>
            <w:r>
              <w:rPr>
                <w:rFonts w:ascii="Arial;sans-serif" w:hAnsi="Arial;sans-serif"/>
                <w:b w:val="false"/>
                <w:color w:val="000000"/>
                <w:sz w:val="16"/>
              </w:rPr>
              <w:t>.</w:t>
            </w:r>
          </w:p>
        </w:tc>
      </w:tr>
      <w:tr>
        <w:trPr/>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following materials from the Quarterly Report on Form 10-Q of Capital Bancorp, Inc. for the quarter ended March 31, 2023,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tc>
      </w:tr>
      <w:tr>
        <w:trPr/>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bl>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28650"/>
                <wp:effectExtent l="0" t="0" r="0" b="0"/>
                <wp:wrapNone/>
                <wp:docPr id="68" name="Frame6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360"/>
        <w:jc w:val="both"/>
        <w:rPr/>
      </w:pPr>
      <w:r>
        <w:rPr/>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jc w:val="both"/>
        <w:rPr/>
      </w:pPr>
      <w:r>
        <w:rPr>
          <w:color w:val="000000"/>
        </w:rPr>
        <w:t>                    </w:t>
      </w:r>
      <w:r>
        <w:rPr>
          <w:rFonts w:ascii="Arial;sans-serif" w:hAnsi="Arial;sans-serif"/>
          <w:b w:val="false"/>
          <w:color w:val="000000"/>
          <w:sz w:val="20"/>
          <w:u w:val="single"/>
        </w:rPr>
        <w:t>CAPITAL BANCORP, INC.    </w:t>
      </w:r>
    </w:p>
    <w:p>
      <w:pPr>
        <w:pStyle w:val="TextBody"/>
        <w:spacing w:lineRule="auto" w:line="288" w:before="0" w:after="240"/>
        <w:jc w:val="both"/>
        <w:rPr>
          <w:color w:val="000000"/>
        </w:rPr>
      </w:pPr>
      <w:r>
        <w:rPr>
          <w:color w:val="000000"/>
        </w:rPr>
        <w:t>                    </w:t>
      </w:r>
      <w:r>
        <w:rPr>
          <w:rFonts w:ascii="Arial;sans-serif" w:hAnsi="Arial;sans-serif"/>
          <w:b w:val="false"/>
          <w:color w:val="000000"/>
          <w:sz w:val="20"/>
        </w:rPr>
        <w:t>Registrant</w:t>
      </w:r>
    </w:p>
    <w:p>
      <w:pPr>
        <w:pStyle w:val="TextBody"/>
        <w:spacing w:lineRule="auto" w:line="288" w:before="0" w:after="0"/>
        <w:jc w:val="both"/>
        <w:rPr/>
      </w:pPr>
      <w:r>
        <w:rPr>
          <w:rFonts w:ascii="Arial;sans-serif" w:hAnsi="Arial;sans-serif"/>
          <w:b w:val="false"/>
          <w:color w:val="000000"/>
          <w:sz w:val="20"/>
        </w:rPr>
        <w:t>Date: May 10, 2023        </w:t>
      </w:r>
      <w:r>
        <w:rPr>
          <w:rFonts w:ascii="Arial;sans-serif" w:hAnsi="Arial;sans-serif"/>
          <w:b w:val="false"/>
          <w:color w:val="000000"/>
          <w:sz w:val="20"/>
          <w:u w:val="single"/>
        </w:rPr>
        <w:t>/s/ Ed Barry            </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Ed Barry</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Chief Executive Officer</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(Principal Executive Officer)</w:t>
      </w:r>
    </w:p>
    <w:p>
      <w:pPr>
        <w:pStyle w:val="TextBody"/>
        <w:spacing w:lineRule="auto" w:line="288" w:before="0" w:after="0"/>
        <w:jc w:val="both"/>
        <w:rPr/>
      </w:pPr>
      <w:r>
        <w:rPr>
          <w:rFonts w:ascii="Arial;sans-serif" w:hAnsi="Arial;sans-serif"/>
          <w:b w:val="false"/>
          <w:color w:val="000000"/>
          <w:sz w:val="20"/>
        </w:rPr>
        <w:t>Date: May 10, 2023        </w:t>
      </w:r>
      <w:r>
        <w:rPr>
          <w:rFonts w:ascii="Arial;sans-serif" w:hAnsi="Arial;sans-serif"/>
          <w:b w:val="false"/>
          <w:color w:val="000000"/>
          <w:sz w:val="20"/>
          <w:u w:val="single"/>
        </w:rPr>
        <w:t>/s/ Connie Egan        </w:t>
      </w:r>
    </w:p>
    <w:p>
      <w:pPr>
        <w:pStyle w:val="TextBody"/>
        <w:spacing w:lineRule="auto" w:line="288" w:before="0" w:after="0"/>
        <w:jc w:val="both"/>
        <w:rPr>
          <w:color w:val="000000"/>
        </w:rPr>
      </w:pPr>
      <w:r>
        <w:rPr>
          <w:color w:val="000000"/>
        </w:rPr>
        <w:t>                    </w:t>
      </w:r>
      <w:r>
        <w:rPr>
          <w:rFonts w:ascii="Arial;sans-serif" w:hAnsi="Arial;sans-serif"/>
          <w:b w:val="false"/>
          <w:color w:val="000000"/>
          <w:sz w:val="20"/>
        </w:rPr>
        <w:t>Connie Egan</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Senior Vice President, Chief Accounting Officer</w:t>
      </w:r>
    </w:p>
    <w:p>
      <w:pPr>
        <w:pStyle w:val="TextBody"/>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(Principal Financial and Accounting Officer)</w:t>
      </w:r>
      <w:r>
        <w:br w:type="page"/>
      </w:r>
    </w:p>
    <w:p>
      <w:pPr>
        <w:pStyle w:val="TextBody"/>
        <w:jc w:val="center"/>
        <w:rPr/>
      </w:pPr>
      <w:bookmarkStart w:id="0" w:name="amendmenttopoynotemploym.htm"/>
      <w:bookmarkStart w:id="1" w:name="ksamendmenttopoynotemploym"/>
      <w:bookmarkEnd w:id="0"/>
      <w:bookmarkEnd w:id="1"/>
      <w:r>
        <w:rPr/>
        <w:drawing>
          <wp:inline distT="0" distB="0" distL="0" distR="0">
            <wp:extent cx="10048875" cy="13001625"/>
            <wp:effectExtent l="0" t="0" r="0" b="0"/>
            <wp:docPr id="6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8650"/>
                <wp:effectExtent l="0" t="0" r="0" b="0"/>
                <wp:wrapNone/>
                <wp:docPr id="70" name="Frame6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7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jc w:val="center"/>
        <w:rPr/>
      </w:pPr>
      <w:r>
        <w:rPr/>
        <w:t> </w:t>
      </w:r>
      <w:r>
        <w:br w:type="page"/>
      </w:r>
    </w:p>
    <w:p>
      <w:pPr>
        <w:pStyle w:val="TextBody"/>
        <w:jc w:val="center"/>
        <w:rPr/>
      </w:pPr>
      <w:bookmarkStart w:id="2" w:name="amendmenttobrowningemplo.htm"/>
      <w:bookmarkStart w:id="3" w:name="ksamendmenttobrowningemplo"/>
      <w:bookmarkEnd w:id="2"/>
      <w:bookmarkEnd w:id="3"/>
      <w:r>
        <w:rPr/>
        <w:drawing>
          <wp:inline distT="0" distB="0" distL="0" distR="0">
            <wp:extent cx="10048875" cy="13001625"/>
            <wp:effectExtent l="0" t="0" r="0" b="0"/>
            <wp:docPr id="7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7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Section 2: EX-31.1 (RULE 13A-14(A) CERTIFICATION OF THE PRINCIPAL EXECUTIVE OFFICER)</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31.1</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Rule 13a-14(a) Certification of the Principal Executive Officer.</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Exhibit 31.1</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Rule 13a-14(a) Certification of the Principal Executive Officer.</w:t>
      </w:r>
    </w:p>
    <w:p>
      <w:pPr>
        <w:pStyle w:val="TextBody"/>
        <w:spacing w:before="0" w:after="0"/>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Ed Barry, certify that: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Capital Bancorp, Inc.;</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jc w:val="both"/>
        <w:rPr/>
      </w:pPr>
      <w:r>
        <w:rPr>
          <w:rFonts w:ascii="Arial;sans-serif" w:hAnsi="Arial;sans-serif"/>
          <w:b w:val="false"/>
          <w:color w:val="000000"/>
          <w:sz w:val="20"/>
        </w:rPr>
        <w:t xml:space="preserve">Date:    May 10, 2023            By: </w:t>
      </w:r>
      <w:r>
        <w:rPr>
          <w:rFonts w:ascii="Arial;sans-serif" w:hAnsi="Arial;sans-serif"/>
          <w:b w:val="false"/>
          <w:color w:val="000000"/>
          <w:sz w:val="20"/>
          <w:u w:val="single"/>
        </w:rPr>
        <w:t>/s/ Ed Barry        </w:t>
      </w:r>
    </w:p>
    <w:p>
      <w:pPr>
        <w:pStyle w:val="TextBody"/>
        <w:spacing w:lineRule="auto" w:line="288" w:before="0" w:after="0"/>
        <w:rPr>
          <w:color w:val="000000"/>
        </w:rPr>
      </w:pPr>
      <w:r>
        <w:rPr>
          <w:color w:val="000000"/>
        </w:rPr>
        <w:t xml:space="preserve">                     </w:t>
      </w:r>
      <w:r>
        <w:rPr>
          <w:rFonts w:ascii="Arial;sans-serif" w:hAnsi="Arial;sans-serif"/>
          <w:b w:val="false"/>
          <w:color w:val="000000"/>
          <w:sz w:val="20"/>
        </w:rPr>
        <w:t>Ed Barry</w:t>
      </w:r>
    </w:p>
    <w:p>
      <w:pPr>
        <w:pStyle w:val="TextBody"/>
        <w:spacing w:lineRule="auto" w:line="288"/>
        <w:rPr>
          <w:color w:val="000000"/>
        </w:rPr>
      </w:pPr>
      <w:r>
        <w:rPr>
          <w:color w:val="000000"/>
        </w:rPr>
        <w:t xml:space="preserve">                     </w:t>
      </w:r>
      <w:r>
        <w:rPr>
          <w:rFonts w:ascii="Arial;sans-serif" w:hAnsi="Arial;sans-serif"/>
          <w:b w:val="false"/>
          <w:color w:val="000000"/>
          <w:sz w:val="20"/>
        </w:rPr>
        <w:t>Chief Executive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Section 2: EX-31.2 (RULE 13A-14(A) CERTIFICATION OF THE PRINCIPAL FINANCIAL OFFICER)</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31.2</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Rule 13a-14(a) Certification of the Principal Financial Officer.</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Rule 13a-14(a) Certification of the Principal Financial Officer.</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Connie Egan, certify that: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Capital Bancorp, Inc.;</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jc w:val="both"/>
        <w:rPr/>
      </w:pPr>
      <w:r>
        <w:rPr>
          <w:rFonts w:ascii="Arial;sans-serif" w:hAnsi="Arial;sans-serif"/>
          <w:b w:val="false"/>
          <w:color w:val="000000"/>
          <w:sz w:val="20"/>
        </w:rPr>
        <w:t xml:space="preserve">Date: May 10, 2023                By: </w:t>
      </w:r>
      <w:r>
        <w:rPr>
          <w:rFonts w:ascii="Arial;sans-serif" w:hAnsi="Arial;sans-serif"/>
          <w:b w:val="false"/>
          <w:color w:val="000000"/>
          <w:sz w:val="20"/>
          <w:u w:val="single"/>
        </w:rPr>
        <w:t>/s/ Connie Egan    </w:t>
      </w:r>
    </w:p>
    <w:p>
      <w:pPr>
        <w:pStyle w:val="TextBody"/>
        <w:spacing w:lineRule="auto" w:line="288" w:before="0" w:after="0"/>
        <w:rPr>
          <w:color w:val="000000"/>
        </w:rPr>
      </w:pPr>
      <w:r>
        <w:rPr>
          <w:color w:val="000000"/>
        </w:rPr>
        <w:t xml:space="preserve">                         </w:t>
      </w:r>
      <w:r>
        <w:rPr>
          <w:rFonts w:ascii="Arial;sans-serif" w:hAnsi="Arial;sans-serif"/>
          <w:b w:val="false"/>
          <w:color w:val="000000"/>
          <w:sz w:val="20"/>
        </w:rPr>
        <w:t>Connie Egan</w:t>
      </w:r>
    </w:p>
    <w:p>
      <w:pPr>
        <w:pStyle w:val="TextBody"/>
        <w:spacing w:lineRule="auto" w:line="288"/>
        <w:rPr>
          <w:color w:val="000000"/>
        </w:rPr>
      </w:pPr>
      <w:r>
        <w:rPr>
          <w:color w:val="000000"/>
        </w:rPr>
        <w:t xml:space="preserve">                         </w:t>
      </w:r>
      <w:r>
        <w:rPr>
          <w:rFonts w:ascii="Arial;sans-serif" w:hAnsi="Arial;sans-serif"/>
          <w:b w:val="false"/>
          <w:color w:val="000000"/>
          <w:sz w:val="20"/>
        </w:rPr>
        <w:t>Principal Financial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Section 2: EX-32.1 (Certification Pursuant to 18 U.S.C. Section 1350, As Adopted Pursuant to Section 906 of the Sarbanes-Oxley Act of 2002)</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Exhibit 32.1</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Exhibit 32</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In connection with the Quarterly Report of Capital Bancorp, Inc. (the “Company”) on Form 10-Q for the period ended March 31, 2023,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p>
      <w:pPr>
        <w:pStyle w:val="TextBody"/>
        <w:spacing w:before="0" w:after="240"/>
        <w:jc w:val="both"/>
        <w:rPr/>
      </w:pPr>
      <w:r>
        <w:rPr/>
      </w:r>
    </w:p>
    <w:p>
      <w:pPr>
        <w:pStyle w:val="TextBody"/>
        <w:spacing w:lineRule="auto" w:line="288" w:before="0" w:after="0"/>
        <w:jc w:val="both"/>
        <w:rPr/>
      </w:pPr>
      <w:r>
        <w:rPr>
          <w:rFonts w:ascii="Arial;sans-serif" w:hAnsi="Arial;sans-serif"/>
          <w:b w:val="false"/>
          <w:color w:val="000000"/>
          <w:sz w:val="20"/>
        </w:rPr>
        <w:t xml:space="preserve">Date:    May 10, 2023                By: </w:t>
      </w:r>
      <w:r>
        <w:rPr>
          <w:rFonts w:ascii="Arial;sans-serif" w:hAnsi="Arial;sans-serif"/>
          <w:b w:val="false"/>
          <w:color w:val="000000"/>
          <w:sz w:val="20"/>
          <w:u w:val="single"/>
        </w:rPr>
        <w:t>/s/ Ed Barry        </w:t>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Ed Barry</w:t>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Chief Executive Officer</w:t>
      </w:r>
    </w:p>
    <w:p>
      <w:pPr>
        <w:pStyle w:val="TextBody"/>
        <w:spacing w:before="0" w:after="0"/>
        <w:jc w:val="both"/>
        <w:rPr/>
      </w:pPr>
      <w:r>
        <w:rPr/>
      </w:r>
    </w:p>
    <w:p>
      <w:pPr>
        <w:pStyle w:val="TextBody"/>
        <w:spacing w:before="0" w:after="0"/>
        <w:jc w:val="both"/>
        <w:rPr/>
      </w:pPr>
      <w:r>
        <w:rPr/>
      </w:r>
    </w:p>
    <w:p>
      <w:pPr>
        <w:pStyle w:val="TextBody"/>
        <w:spacing w:lineRule="auto" w:line="288" w:before="0" w:after="0"/>
        <w:rPr/>
      </w:pPr>
      <w:r>
        <w:rPr>
          <w:color w:val="000000"/>
        </w:rPr>
        <w:t>                    </w:t>
      </w:r>
      <w:r>
        <w:rPr>
          <w:rFonts w:ascii="Arial;sans-serif" w:hAnsi="Arial;sans-serif"/>
          <w:b w:val="false"/>
          <w:color w:val="000000"/>
          <w:sz w:val="20"/>
        </w:rPr>
        <w:t xml:space="preserve">By: </w:t>
      </w:r>
      <w:r>
        <w:rPr>
          <w:rFonts w:ascii="Arial;sans-serif" w:hAnsi="Arial;sans-serif"/>
          <w:b w:val="false"/>
          <w:color w:val="000000"/>
          <w:sz w:val="20"/>
          <w:u w:val="single"/>
        </w:rPr>
        <w:t>/s/ Connie Egan    </w:t>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Connie Egan</w:t>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Principal Financial Officer</w:t>
      </w:r>
    </w:p>
    <w:p>
      <w:pPr>
        <w:pStyle w:val="TextBody"/>
        <w:spacing w:before="0" w:after="0"/>
        <w:ind w:left="0" w:right="0" w:firstLine="360"/>
        <w:jc w:val="both"/>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27888</Words>
  <CharactersWithSpaces>181873</CharactersWithSpaces>
  <Paragraphs>4513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amendmenttobrowningemplo</dc:title>
</cp:coreProperties>
</file>