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6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QUARTERLY REPORT PURSUANT TO SECTION 13 OR 15(d) OF THE SECURITIES EXCHANGE ACT OF 1934</w:t>
      </w:r>
    </w:p>
    <w:p>
      <w:pPr>
        <w:spacing w:after="0" w:line="224" w:lineRule="exact"/>
        <w:rPr>
          <w:sz w:val="24"/>
          <w:szCs w:val="24"/>
          <w:color w:val="auto"/>
        </w:rPr>
      </w:pPr>
    </w:p>
    <w:p>
      <w:pPr>
        <w:spacing w:after="0"/>
        <w:tabs>
          <w:tab w:leader="none" w:pos="3280" w:val="left"/>
        </w:tabs>
        <w:rPr>
          <w:sz w:val="20"/>
          <w:szCs w:val="20"/>
          <w:color w:val="auto"/>
        </w:rPr>
      </w:pPr>
      <w:r>
        <w:rPr>
          <w:rFonts w:ascii="Arial" w:cs="Arial" w:eastAsia="Arial" w:hAnsi="Arial"/>
          <w:sz w:val="14"/>
          <w:szCs w:val="14"/>
          <w:color w:val="auto"/>
        </w:rPr>
        <w:t>For the Quarterly Period ended June 30, 2020</w:t>
      </w:r>
      <w:r>
        <w:rPr>
          <w:sz w:val="20"/>
          <w:szCs w:val="20"/>
          <w:color w:val="auto"/>
        </w:rPr>
        <w:tab/>
      </w:r>
      <w:r>
        <w:rPr>
          <w:rFonts w:ascii="Arial" w:cs="Arial" w:eastAsia="Arial" w:hAnsi="Arial"/>
          <w:sz w:val="14"/>
          <w:szCs w:val="14"/>
          <w:color w:val="auto"/>
        </w:rPr>
        <w:t>OR</w:t>
      </w:r>
    </w:p>
    <w:p>
      <w:pPr>
        <w:spacing w:after="0" w:line="217" w:lineRule="exact"/>
        <w:rPr>
          <w:sz w:val="24"/>
          <w:szCs w:val="24"/>
          <w:color w:val="auto"/>
        </w:rPr>
      </w:pPr>
    </w:p>
    <w:p>
      <w:pPr>
        <w:ind w:right="3660" w:firstLine="8"/>
        <w:spacing w:after="0" w:line="573" w:lineRule="auto"/>
        <w:tabs>
          <w:tab w:leader="none" w:pos="175"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 (D) OF THE SECURITIES EXCHANGE ACT OF 1934 For the Transition Period from to</w:t>
      </w:r>
    </w:p>
    <w:p>
      <w:pPr>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134620</wp:posOffset>
            </wp:positionV>
            <wp:extent cx="288861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CAPITAL BANCORP INC.</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196" w:lineRule="exact"/>
        <w:rPr>
          <w:sz w:val="24"/>
          <w:szCs w:val="24"/>
          <w:color w:val="auto"/>
        </w:rPr>
      </w:pPr>
    </w:p>
    <w:tbl>
      <w:tblPr>
        <w:tblLayout w:type="fixed"/>
        <w:tblInd w:w="320" w:type="dxa"/>
        <w:tblCellMar>
          <w:top w:w="0" w:type="dxa"/>
          <w:left w:w="0" w:type="dxa"/>
          <w:bottom w:w="0" w:type="dxa"/>
          <w:right w:w="0" w:type="dxa"/>
        </w:tblCellMar>
      </w:tblPr>
      <w:tr>
        <w:trPr>
          <w:trHeight w:val="215"/>
        </w:trPr>
        <w:tc>
          <w:tcPr>
            <w:tcW w:w="3300" w:type="dxa"/>
            <w:vAlign w:val="bottom"/>
          </w:tcPr>
          <w:p>
            <w:pPr>
              <w:jc w:val="center"/>
              <w:ind w:left="2170"/>
              <w:spacing w:after="0"/>
              <w:rPr>
                <w:sz w:val="20"/>
                <w:szCs w:val="20"/>
                <w:color w:val="auto"/>
              </w:rPr>
            </w:pPr>
            <w:r>
              <w:rPr>
                <w:rFonts w:ascii="Arial" w:cs="Arial" w:eastAsia="Arial" w:hAnsi="Arial"/>
                <w:sz w:val="16"/>
                <w:szCs w:val="16"/>
                <w:b w:val="1"/>
                <w:bCs w:val="1"/>
                <w:color w:val="auto"/>
                <w:w w:val="99"/>
              </w:rPr>
              <w:t>Maryland</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80" w:type="dxa"/>
            <w:vAlign w:val="bottom"/>
          </w:tcPr>
          <w:p>
            <w:pPr>
              <w:jc w:val="right"/>
              <w:ind w:right="1933"/>
              <w:spacing w:after="0"/>
              <w:rPr>
                <w:sz w:val="20"/>
                <w:szCs w:val="20"/>
                <w:color w:val="auto"/>
              </w:rPr>
            </w:pPr>
            <w:r>
              <w:rPr>
                <w:rFonts w:ascii="Arial" w:cs="Arial" w:eastAsia="Arial" w:hAnsi="Arial"/>
                <w:sz w:val="16"/>
                <w:szCs w:val="16"/>
                <w:b w:val="1"/>
                <w:bCs w:val="1"/>
                <w:color w:val="auto"/>
              </w:rPr>
              <w:t>52-2083046</w:t>
            </w:r>
          </w:p>
        </w:tc>
      </w:tr>
      <w:tr>
        <w:trPr>
          <w:trHeight w:val="47"/>
        </w:trPr>
        <w:tc>
          <w:tcPr>
            <w:tcW w:w="4480" w:type="dxa"/>
            <w:vAlign w:val="bottom"/>
            <w:tcBorders>
              <w:bottom w:val="single" w:sz="8" w:color="auto"/>
            </w:tcBorders>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r>
      <w:tr>
        <w:trPr>
          <w:trHeight w:val="147"/>
        </w:trPr>
        <w:tc>
          <w:tcPr>
            <w:tcW w:w="4480" w:type="dxa"/>
            <w:vAlign w:val="bottom"/>
            <w:gridSpan w:val="2"/>
          </w:tcPr>
          <w:p>
            <w:pPr>
              <w:jc w:val="center"/>
              <w:ind w:left="990"/>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80" w:type="dxa"/>
            <w:vAlign w:val="bottom"/>
          </w:tcPr>
          <w:p>
            <w:pPr>
              <w:jc w:val="center"/>
              <w:spacing w:after="0"/>
              <w:rPr>
                <w:sz w:val="20"/>
                <w:szCs w:val="20"/>
                <w:color w:val="auto"/>
              </w:rPr>
            </w:pPr>
            <w:r>
              <w:rPr>
                <w:rFonts w:ascii="Arial" w:cs="Arial" w:eastAsia="Arial" w:hAnsi="Arial"/>
                <w:sz w:val="11"/>
                <w:szCs w:val="11"/>
                <w:color w:val="auto"/>
                <w:w w:val="98"/>
              </w:rPr>
              <w:t>(IRS Employer Identification No.)</w:t>
            </w:r>
          </w:p>
        </w:tc>
      </w:tr>
      <w:tr>
        <w:trPr>
          <w:trHeight w:val="354"/>
        </w:trPr>
        <w:tc>
          <w:tcPr>
            <w:tcW w:w="3300" w:type="dxa"/>
            <w:vAlign w:val="bottom"/>
          </w:tcPr>
          <w:p>
            <w:pPr>
              <w:jc w:val="center"/>
              <w:ind w:right="70"/>
              <w:spacing w:after="0"/>
              <w:rPr>
                <w:sz w:val="20"/>
                <w:szCs w:val="20"/>
                <w:color w:val="auto"/>
              </w:rPr>
            </w:pPr>
            <w:r>
              <w:rPr>
                <w:rFonts w:ascii="Arial" w:cs="Arial" w:eastAsia="Arial" w:hAnsi="Arial"/>
                <w:sz w:val="16"/>
                <w:szCs w:val="16"/>
                <w:b w:val="1"/>
                <w:bCs w:val="1"/>
                <w:color w:val="auto"/>
              </w:rPr>
              <w:t>2275 Research Boulevard</w:t>
            </w:r>
          </w:p>
        </w:tc>
        <w:tc>
          <w:tcPr>
            <w:tcW w:w="1180" w:type="dxa"/>
            <w:vAlign w:val="bottom"/>
          </w:tcPr>
          <w:p>
            <w:pPr>
              <w:ind w:left="160"/>
              <w:spacing w:after="0"/>
              <w:rPr>
                <w:sz w:val="20"/>
                <w:szCs w:val="20"/>
                <w:color w:val="auto"/>
              </w:rPr>
            </w:pPr>
            <w:r>
              <w:rPr>
                <w:rFonts w:ascii="Arial" w:cs="Arial" w:eastAsia="Arial" w:hAnsi="Arial"/>
                <w:sz w:val="16"/>
                <w:szCs w:val="16"/>
                <w:b w:val="1"/>
                <w:bCs w:val="1"/>
                <w:color w:val="auto"/>
              </w:rPr>
              <w:t>Suite 600</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83"/>
        </w:trPr>
        <w:tc>
          <w:tcPr>
            <w:tcW w:w="330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b w:val="1"/>
                <w:bCs w:val="1"/>
                <w:color w:val="auto"/>
              </w:rPr>
              <w:t>Rockville</w:t>
            </w: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Maryland</w:t>
            </w: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20850</w:t>
            </w:r>
          </w:p>
        </w:tc>
        <w:tc>
          <w:tcPr>
            <w:tcW w:w="200" w:type="dxa"/>
            <w:vAlign w:val="bottom"/>
          </w:tcPr>
          <w:p>
            <w:pPr>
              <w:spacing w:after="0"/>
              <w:rPr>
                <w:sz w:val="24"/>
                <w:szCs w:val="24"/>
                <w:color w:val="auto"/>
              </w:rPr>
            </w:pPr>
          </w:p>
        </w:tc>
        <w:tc>
          <w:tcPr>
            <w:tcW w:w="4880" w:type="dxa"/>
            <w:vAlign w:val="bottom"/>
            <w:tcBorders>
              <w:bottom w:val="single" w:sz="8" w:color="auto"/>
            </w:tcBorders>
          </w:tcPr>
          <w:p>
            <w:pPr>
              <w:jc w:val="right"/>
              <w:ind w:right="2133"/>
              <w:spacing w:after="0"/>
              <w:rPr>
                <w:sz w:val="20"/>
                <w:szCs w:val="20"/>
                <w:color w:val="auto"/>
              </w:rPr>
            </w:pPr>
            <w:r>
              <w:rPr>
                <w:rFonts w:ascii="Arial" w:cs="Arial" w:eastAsia="Arial" w:hAnsi="Arial"/>
                <w:sz w:val="16"/>
                <w:szCs w:val="16"/>
                <w:b w:val="1"/>
                <w:bCs w:val="1"/>
                <w:color w:val="auto"/>
              </w:rPr>
              <w:t>20850</w:t>
            </w:r>
          </w:p>
        </w:tc>
      </w:tr>
      <w:tr>
        <w:trPr>
          <w:trHeight w:val="153"/>
        </w:trPr>
        <w:tc>
          <w:tcPr>
            <w:tcW w:w="4480" w:type="dxa"/>
            <w:vAlign w:val="bottom"/>
            <w:gridSpan w:val="2"/>
          </w:tcPr>
          <w:p>
            <w:pPr>
              <w:jc w:val="center"/>
              <w:ind w:left="970"/>
              <w:spacing w:after="0"/>
              <w:rPr>
                <w:sz w:val="20"/>
                <w:szCs w:val="20"/>
                <w:color w:val="auto"/>
              </w:rPr>
            </w:pPr>
            <w:r>
              <w:rPr>
                <w:rFonts w:ascii="Arial" w:cs="Arial" w:eastAsia="Arial" w:hAnsi="Arial"/>
                <w:sz w:val="11"/>
                <w:szCs w:val="11"/>
                <w:color w:val="auto"/>
                <w:w w:val="97"/>
              </w:rPr>
              <w:t>(Address of principal executive offices)</w:t>
            </w: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80" w:type="dxa"/>
            <w:vAlign w:val="bottom"/>
          </w:tcPr>
          <w:p>
            <w:pPr>
              <w:jc w:val="center"/>
              <w:spacing w:after="0"/>
              <w:rPr>
                <w:sz w:val="20"/>
                <w:szCs w:val="20"/>
                <w:color w:val="auto"/>
              </w:rPr>
            </w:pPr>
            <w:r>
              <w:rPr>
                <w:rFonts w:ascii="Arial" w:cs="Arial" w:eastAsia="Arial" w:hAnsi="Arial"/>
                <w:sz w:val="11"/>
                <w:szCs w:val="11"/>
                <w:color w:val="auto"/>
                <w:w w:val="96"/>
              </w:rPr>
              <w:t>(Zip Code)</w:t>
            </w:r>
          </w:p>
        </w:tc>
      </w:tr>
    </w:tbl>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(301) 468-8848</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Registrant’s telephone number, including area code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Not Applicable</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162" w:lineRule="exact"/>
        <w:rPr>
          <w:sz w:val="24"/>
          <w:szCs w:val="24"/>
          <w:color w:val="auto"/>
        </w:rPr>
      </w:pPr>
    </w:p>
    <w:p>
      <w:pPr>
        <w:jc w:val="both"/>
        <w:ind w:firstLine="648"/>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jc w:val="both"/>
        <w:ind w:firstLine="648"/>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5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5" w:lineRule="exact"/>
        <w:rPr>
          <w:sz w:val="24"/>
          <w:szCs w:val="24"/>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14" w:lineRule="exact"/>
        <w:rPr>
          <w:sz w:val="24"/>
          <w:szCs w:val="24"/>
          <w:color w:val="auto"/>
        </w:rPr>
      </w:pPr>
    </w:p>
    <w:tbl>
      <w:tblPr>
        <w:tblLayout w:type="fixed"/>
        <w:tblInd w:w="2520" w:type="dxa"/>
        <w:tblCellMar>
          <w:top w:w="0" w:type="dxa"/>
          <w:left w:w="0" w:type="dxa"/>
          <w:bottom w:w="0" w:type="dxa"/>
          <w:right w:w="0" w:type="dxa"/>
        </w:tblCellMar>
      </w:tblPr>
      <w:tr>
        <w:trPr>
          <w:trHeight w:val="270"/>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96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14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96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80" w:type="dxa"/>
            <w:vAlign w:val="bottom"/>
          </w:tcPr>
          <w:p>
            <w:pPr>
              <w:ind w:left="96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5"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2" w:lineRule="exact"/>
        <w:rPr>
          <w:sz w:val="24"/>
          <w:szCs w:val="24"/>
          <w:color w:val="auto"/>
        </w:rPr>
      </w:pPr>
    </w:p>
    <w:p>
      <w:pPr>
        <w:spacing w:after="0" w:line="184" w:lineRule="exact"/>
        <w:tabs>
          <w:tab w:leader="none" w:pos="84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4" w:lineRule="exact"/>
        <w:rPr>
          <w:sz w:val="20"/>
          <w:szCs w:val="20"/>
          <w:color w:val="auto"/>
        </w:rPr>
      </w:pPr>
    </w:p>
    <w:tbl>
      <w:tblPr>
        <w:tblLayout w:type="fixed"/>
        <w:tblInd w:w="370" w:type="dxa"/>
        <w:tblCellMar>
          <w:top w:w="0" w:type="dxa"/>
          <w:left w:w="0" w:type="dxa"/>
          <w:bottom w:w="0" w:type="dxa"/>
          <w:right w:w="0" w:type="dxa"/>
        </w:tblCellMar>
      </w:tblPr>
      <w:tr>
        <w:trPr>
          <w:trHeight w:val="203"/>
        </w:trPr>
        <w:tc>
          <w:tcPr>
            <w:tcW w:w="940" w:type="dxa"/>
            <w:vAlign w:val="bottom"/>
            <w:tcBorders>
              <w:top w:val="single" w:sz="8" w:color="auto"/>
              <w:left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38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1400" w:type="dxa"/>
            <w:vAlign w:val="bottom"/>
            <w:tcBorders>
              <w:top w:val="single" w:sz="8" w:color="auto"/>
            </w:tcBorders>
          </w:tcPr>
          <w:p>
            <w:pPr>
              <w:spacing w:after="0"/>
              <w:rPr>
                <w:sz w:val="17"/>
                <w:szCs w:val="17"/>
                <w:color w:val="auto"/>
              </w:rPr>
            </w:pPr>
          </w:p>
        </w:tc>
        <w:tc>
          <w:tcPr>
            <w:tcW w:w="3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c>
          <w:tcPr>
            <w:tcW w:w="980" w:type="dxa"/>
            <w:vAlign w:val="bottom"/>
            <w:tcBorders>
              <w:top w:val="single" w:sz="8" w:color="auto"/>
              <w:right w:val="single" w:sz="8" w:color="auto"/>
            </w:tcBorders>
          </w:tcPr>
          <w:p>
            <w:pPr>
              <w:spacing w:after="0"/>
              <w:rPr>
                <w:sz w:val="17"/>
                <w:szCs w:val="17"/>
                <w:color w:val="auto"/>
              </w:rPr>
            </w:pPr>
          </w:p>
        </w:tc>
      </w:tr>
      <w:tr>
        <w:trPr>
          <w:trHeight w:val="263"/>
        </w:trPr>
        <w:tc>
          <w:tcPr>
            <w:tcW w:w="3620" w:type="dxa"/>
            <w:vAlign w:val="bottom"/>
            <w:tcBorders>
              <w:lef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9"/>
              </w:rPr>
              <w:t>Common Stock, par value $0.01 per</w:t>
            </w:r>
          </w:p>
        </w:tc>
        <w:tc>
          <w:tcPr>
            <w:tcW w:w="1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r>
      <w:tr>
        <w:trPr>
          <w:trHeight w:val="224"/>
        </w:trPr>
        <w:tc>
          <w:tcPr>
            <w:tcW w:w="940" w:type="dxa"/>
            <w:vAlign w:val="bottom"/>
            <w:tcBorders>
              <w:left w:val="single" w:sz="8" w:color="auto"/>
              <w:bottom w:val="single" w:sz="8" w:color="auto"/>
            </w:tcBorders>
          </w:tcPr>
          <w:p>
            <w:pPr>
              <w:spacing w:after="0"/>
              <w:rPr>
                <w:sz w:val="19"/>
                <w:szCs w:val="19"/>
                <w:color w:val="auto"/>
              </w:rPr>
            </w:pPr>
          </w:p>
        </w:tc>
        <w:tc>
          <w:tcPr>
            <w:tcW w:w="2680" w:type="dxa"/>
            <w:vAlign w:val="bottom"/>
            <w:tcBorders>
              <w:bottom w:val="single" w:sz="8" w:color="auto"/>
            </w:tcBorders>
            <w:gridSpan w:val="2"/>
          </w:tcPr>
          <w:p>
            <w:pPr>
              <w:jc w:val="center"/>
              <w:ind w:right="1380"/>
              <w:spacing w:after="0"/>
              <w:rPr>
                <w:sz w:val="20"/>
                <w:szCs w:val="20"/>
                <w:color w:val="auto"/>
              </w:rPr>
            </w:pPr>
            <w:r>
              <w:rPr>
                <w:rFonts w:ascii="Arial" w:cs="Arial" w:eastAsia="Arial" w:hAnsi="Arial"/>
                <w:sz w:val="18"/>
                <w:szCs w:val="18"/>
                <w:color w:val="auto"/>
              </w:rPr>
              <w:t>share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CBNK</w:t>
            </w:r>
          </w:p>
        </w:tc>
        <w:tc>
          <w:tcPr>
            <w:tcW w:w="14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gridSpan w:val="2"/>
          </w:tcPr>
          <w:p>
            <w:pPr>
              <w:jc w:val="center"/>
              <w:ind w:right="980"/>
              <w:spacing w:after="0"/>
              <w:rPr>
                <w:sz w:val="20"/>
                <w:szCs w:val="20"/>
                <w:color w:val="auto"/>
              </w:rPr>
            </w:pPr>
            <w:r>
              <w:rPr>
                <w:rFonts w:ascii="Arial" w:cs="Arial" w:eastAsia="Arial" w:hAnsi="Arial"/>
                <w:sz w:val="18"/>
                <w:szCs w:val="18"/>
                <w:color w:val="auto"/>
                <w:w w:val="99"/>
              </w:rPr>
              <w:t>NASDAQ Stock Market</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of August 6, 2020, the Company had 13,820,223 shares of common stock, par value $0.01 per share, outstanding.</w:t>
      </w:r>
    </w:p>
    <w:p>
      <w:pPr>
        <w:sectPr>
          <w:pgSz w:w="11900" w:h="16838" w:orient="portrait"/>
          <w:cols w:equalWidth="0" w:num="1">
            <w:col w:w="10900"/>
          </w:cols>
          <w:pgMar w:left="320" w:top="735" w:right="6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20" w:type="dxa"/>
            <w:vAlign w:val="bottom"/>
            <w:gridSpan w:val="2"/>
          </w:tcPr>
          <w:p>
            <w:pPr>
              <w:spacing w:after="0"/>
              <w:rPr>
                <w:sz w:val="20"/>
                <w:szCs w:val="20"/>
                <w:color w:val="auto"/>
              </w:rPr>
            </w:pPr>
            <w:r>
              <w:rPr>
                <w:rFonts w:ascii="Arial" w:cs="Arial" w:eastAsia="Arial" w:hAnsi="Arial"/>
                <w:sz w:val="16"/>
                <w:szCs w:val="16"/>
                <w:b w:val="1"/>
                <w:bCs w:val="1"/>
                <w:color w:val="auto"/>
              </w:rPr>
              <w:t>PART I - CONSOLIDATED FINANCIAL INFORMATION</w:t>
            </w:r>
          </w:p>
        </w:tc>
        <w:tc>
          <w:tcPr>
            <w:tcW w:w="20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Page</w:t>
            </w:r>
          </w:p>
        </w:tc>
      </w:tr>
      <w:tr>
        <w:trPr>
          <w:trHeight w:val="285"/>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8200" w:type="dxa"/>
            <w:vAlign w:val="bottom"/>
          </w:tcPr>
          <w:p>
            <w:pPr>
              <w:ind w:left="320"/>
              <w:spacing w:after="0"/>
              <w:rPr>
                <w:sz w:val="20"/>
                <w:szCs w:val="20"/>
                <w:color w:val="auto"/>
              </w:rPr>
            </w:pPr>
            <w:r>
              <w:rPr>
                <w:rFonts w:ascii="Arial" w:cs="Arial" w:eastAsia="Arial" w:hAnsi="Arial"/>
                <w:sz w:val="16"/>
                <w:szCs w:val="16"/>
                <w:color w:val="auto"/>
              </w:rPr>
              <w:t>Consolidated Financial Statements</w:t>
            </w:r>
          </w:p>
        </w:tc>
        <w:tc>
          <w:tcPr>
            <w:tcW w:w="15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4">
              <w:r>
                <w:rPr>
                  <w:rFonts w:ascii="Arial" w:cs="Arial" w:eastAsia="Arial" w:hAnsi="Arial"/>
                  <w:sz w:val="16"/>
                  <w:szCs w:val="16"/>
                  <w:color w:val="auto"/>
                </w:rPr>
                <w:t>Consolidated Balance Sheets</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2</w:t>
              </w:r>
            </w:hyperlink>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5">
              <w:r>
                <w:rPr>
                  <w:rFonts w:ascii="Arial" w:cs="Arial" w:eastAsia="Arial" w:hAnsi="Arial"/>
                  <w:sz w:val="16"/>
                  <w:szCs w:val="16"/>
                  <w:color w:val="auto"/>
                </w:rPr>
                <w:t>Consolidated Statements of Income</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3</w:t>
              </w:r>
            </w:hyperlink>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6">
              <w:r>
                <w:rPr>
                  <w:rFonts w:ascii="Arial" w:cs="Arial" w:eastAsia="Arial" w:hAnsi="Arial"/>
                  <w:sz w:val="16"/>
                  <w:szCs w:val="16"/>
                  <w:color w:val="auto"/>
                </w:rPr>
                <w:t>Consolidated Statements of Comprehensive Income</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4</w:t>
              </w:r>
            </w:hyperlink>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7">
              <w:r>
                <w:rPr>
                  <w:rFonts w:ascii="Arial" w:cs="Arial" w:eastAsia="Arial" w:hAnsi="Arial"/>
                  <w:sz w:val="16"/>
                  <w:szCs w:val="16"/>
                  <w:color w:val="auto"/>
                </w:rPr>
                <w:t>Consolidated Statements of Changes in Stockholders’ Equity</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8">
              <w:r>
                <w:rPr>
                  <w:rFonts w:ascii="Arial" w:cs="Arial" w:eastAsia="Arial" w:hAnsi="Arial"/>
                  <w:sz w:val="16"/>
                  <w:szCs w:val="16"/>
                  <w:color w:val="auto"/>
                </w:rPr>
                <w:t>Consolidated Statements of Cash Flows</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6</w:t>
              </w:r>
            </w:hyperlink>
          </w:p>
        </w:tc>
      </w:tr>
      <w:tr>
        <w:trPr>
          <w:trHeight w:val="270"/>
        </w:trPr>
        <w:tc>
          <w:tcPr>
            <w:tcW w:w="920" w:type="dxa"/>
            <w:vAlign w:val="bottom"/>
          </w:tcPr>
          <w:p>
            <w:pPr>
              <w:spacing w:after="0"/>
              <w:rPr>
                <w:sz w:val="23"/>
                <w:szCs w:val="23"/>
                <w:color w:val="auto"/>
              </w:rPr>
            </w:pPr>
          </w:p>
        </w:tc>
        <w:tc>
          <w:tcPr>
            <w:tcW w:w="8200" w:type="dxa"/>
            <w:vAlign w:val="bottom"/>
          </w:tcPr>
          <w:p>
            <w:pPr>
              <w:ind w:left="660"/>
              <w:spacing w:after="0"/>
              <w:rPr>
                <w:rFonts w:ascii="Arial" w:cs="Arial" w:eastAsia="Arial" w:hAnsi="Arial"/>
                <w:sz w:val="16"/>
                <w:szCs w:val="16"/>
                <w:color w:val="auto"/>
              </w:rPr>
            </w:pPr>
            <w:hyperlink w:anchor="page10">
              <w:r>
                <w:rPr>
                  <w:rFonts w:ascii="Arial" w:cs="Arial" w:eastAsia="Arial" w:hAnsi="Arial"/>
                  <w:sz w:val="16"/>
                  <w:szCs w:val="16"/>
                  <w:color w:val="auto"/>
                </w:rPr>
                <w:t>Notes to Consolidated Financial Statements</w:t>
              </w:r>
            </w:hyperlink>
          </w:p>
        </w:tc>
        <w:tc>
          <w:tcPr>
            <w:tcW w:w="2060" w:type="dxa"/>
            <w:vAlign w:val="bottom"/>
            <w:gridSpan w:val="3"/>
          </w:tcPr>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8200" w:type="dxa"/>
            <w:vAlign w:val="bottom"/>
          </w:tcPr>
          <w:p>
            <w:pPr>
              <w:ind w:left="3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37</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8200" w:type="dxa"/>
            <w:vAlign w:val="bottom"/>
          </w:tcPr>
          <w:p>
            <w:pPr>
              <w:ind w:left="320"/>
              <w:spacing w:after="0"/>
              <w:rPr>
                <w:sz w:val="20"/>
                <w:szCs w:val="20"/>
                <w:color w:val="auto"/>
              </w:rPr>
            </w:pPr>
            <w:r>
              <w:rPr>
                <w:rFonts w:ascii="Arial" w:cs="Arial" w:eastAsia="Arial" w:hAnsi="Arial"/>
                <w:sz w:val="16"/>
                <w:szCs w:val="16"/>
                <w:color w:val="auto"/>
              </w:rPr>
              <w:t>Quantitative and Qualitative Disclosures about Market Risk</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65</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8200" w:type="dxa"/>
            <w:vAlign w:val="bottom"/>
          </w:tcPr>
          <w:p>
            <w:pPr>
              <w:ind w:left="320"/>
              <w:spacing w:after="0"/>
              <w:rPr>
                <w:sz w:val="20"/>
                <w:szCs w:val="20"/>
                <w:color w:val="auto"/>
              </w:rPr>
            </w:pPr>
            <w:r>
              <w:rPr>
                <w:rFonts w:ascii="Arial" w:cs="Arial" w:eastAsia="Arial" w:hAnsi="Arial"/>
                <w:sz w:val="16"/>
                <w:szCs w:val="16"/>
                <w:color w:val="auto"/>
              </w:rPr>
              <w:t>Controls and Procedures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68</w:t>
              </w:r>
            </w:hyperlink>
          </w:p>
        </w:tc>
      </w:tr>
      <w:tr>
        <w:trPr>
          <w:trHeight w:val="270"/>
        </w:trPr>
        <w:tc>
          <w:tcPr>
            <w:tcW w:w="9120" w:type="dxa"/>
            <w:vAlign w:val="bottom"/>
            <w:gridSpan w:val="2"/>
          </w:tcPr>
          <w:p>
            <w:pPr>
              <w:spacing w:after="0"/>
              <w:rPr>
                <w:sz w:val="20"/>
                <w:szCs w:val="20"/>
                <w:color w:val="auto"/>
              </w:rPr>
            </w:pPr>
            <w:r>
              <w:rPr>
                <w:rFonts w:ascii="Arial" w:cs="Arial" w:eastAsia="Arial" w:hAnsi="Arial"/>
                <w:sz w:val="16"/>
                <w:szCs w:val="16"/>
                <w:b w:val="1"/>
                <w:bCs w:val="1"/>
                <w:color w:val="auto"/>
              </w:rPr>
              <w:t>PART II - OTHER INFORMATION</w:t>
            </w:r>
          </w:p>
        </w:tc>
        <w:tc>
          <w:tcPr>
            <w:tcW w:w="1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8200" w:type="dxa"/>
            <w:vAlign w:val="bottom"/>
          </w:tcPr>
          <w:p>
            <w:pPr>
              <w:ind w:left="320"/>
              <w:spacing w:after="0"/>
              <w:rPr>
                <w:sz w:val="20"/>
                <w:szCs w:val="20"/>
                <w:color w:val="auto"/>
              </w:rPr>
            </w:pPr>
            <w:r>
              <w:rPr>
                <w:rFonts w:ascii="Arial" w:cs="Arial" w:eastAsia="Arial" w:hAnsi="Arial"/>
                <w:sz w:val="16"/>
                <w:szCs w:val="16"/>
                <w:color w:val="auto"/>
              </w:rPr>
              <w:t>Legal Proceedings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69</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8200" w:type="dxa"/>
            <w:vAlign w:val="bottom"/>
          </w:tcPr>
          <w:p>
            <w:pPr>
              <w:ind w:left="320"/>
              <w:spacing w:after="0"/>
              <w:rPr>
                <w:sz w:val="20"/>
                <w:szCs w:val="20"/>
                <w:color w:val="auto"/>
              </w:rPr>
            </w:pPr>
            <w:r>
              <w:rPr>
                <w:rFonts w:ascii="Arial" w:cs="Arial" w:eastAsia="Arial" w:hAnsi="Arial"/>
                <w:sz w:val="16"/>
                <w:szCs w:val="16"/>
                <w:color w:val="auto"/>
              </w:rPr>
              <w:t>Risk Factors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69</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8200" w:type="dxa"/>
            <w:vAlign w:val="bottom"/>
          </w:tcPr>
          <w:p>
            <w:pPr>
              <w:ind w:left="320"/>
              <w:spacing w:after="0"/>
              <w:rPr>
                <w:sz w:val="20"/>
                <w:szCs w:val="20"/>
                <w:color w:val="auto"/>
              </w:rPr>
            </w:pPr>
            <w:r>
              <w:rPr>
                <w:rFonts w:ascii="Arial" w:cs="Arial" w:eastAsia="Arial" w:hAnsi="Arial"/>
                <w:sz w:val="16"/>
                <w:szCs w:val="16"/>
                <w:color w:val="auto"/>
              </w:rPr>
              <w:t>Unregistered Sales of Equity Securities and Use of Proceeds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71</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8200" w:type="dxa"/>
            <w:vAlign w:val="bottom"/>
          </w:tcPr>
          <w:p>
            <w:pPr>
              <w:ind w:left="320"/>
              <w:spacing w:after="0"/>
              <w:rPr>
                <w:sz w:val="20"/>
                <w:szCs w:val="20"/>
                <w:color w:val="auto"/>
              </w:rPr>
            </w:pPr>
            <w:r>
              <w:rPr>
                <w:rFonts w:ascii="Arial" w:cs="Arial" w:eastAsia="Arial" w:hAnsi="Arial"/>
                <w:sz w:val="16"/>
                <w:szCs w:val="16"/>
                <w:color w:val="auto"/>
              </w:rPr>
              <w:t>Defaults upon Senior Securities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73</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8200" w:type="dxa"/>
            <w:vAlign w:val="bottom"/>
          </w:tcPr>
          <w:p>
            <w:pPr>
              <w:ind w:left="320"/>
              <w:spacing w:after="0"/>
              <w:rPr>
                <w:sz w:val="20"/>
                <w:szCs w:val="20"/>
                <w:color w:val="auto"/>
              </w:rPr>
            </w:pPr>
            <w:r>
              <w:rPr>
                <w:rFonts w:ascii="Arial" w:cs="Arial" w:eastAsia="Arial" w:hAnsi="Arial"/>
                <w:sz w:val="16"/>
                <w:szCs w:val="16"/>
                <w:color w:val="auto"/>
              </w:rPr>
              <w:t>Mine Safety Disclosures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73</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5.</w:t>
            </w:r>
          </w:p>
        </w:tc>
        <w:tc>
          <w:tcPr>
            <w:tcW w:w="8200" w:type="dxa"/>
            <w:vAlign w:val="bottom"/>
          </w:tcPr>
          <w:p>
            <w:pPr>
              <w:ind w:left="320"/>
              <w:spacing w:after="0"/>
              <w:rPr>
                <w:sz w:val="20"/>
                <w:szCs w:val="20"/>
                <w:color w:val="auto"/>
              </w:rPr>
            </w:pPr>
            <w:r>
              <w:rPr>
                <w:rFonts w:ascii="Arial" w:cs="Arial" w:eastAsia="Arial" w:hAnsi="Arial"/>
                <w:sz w:val="16"/>
                <w:szCs w:val="16"/>
                <w:color w:val="auto"/>
              </w:rPr>
              <w:t>Other Information</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73</w:t>
              </w:r>
            </w:hyperlink>
          </w:p>
        </w:tc>
      </w:tr>
      <w:tr>
        <w:trPr>
          <w:trHeight w:val="243"/>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8200" w:type="dxa"/>
            <w:vAlign w:val="bottom"/>
          </w:tcPr>
          <w:p>
            <w:pPr>
              <w:ind w:left="320"/>
              <w:spacing w:after="0"/>
              <w:rPr>
                <w:sz w:val="20"/>
                <w:szCs w:val="20"/>
                <w:color w:val="auto"/>
              </w:rPr>
            </w:pPr>
            <w:r>
              <w:rPr>
                <w:rFonts w:ascii="Arial" w:cs="Arial" w:eastAsia="Arial" w:hAnsi="Arial"/>
                <w:sz w:val="16"/>
                <w:szCs w:val="16"/>
                <w:color w:val="auto"/>
              </w:rPr>
              <w:t>Exhibits</w:t>
            </w:r>
          </w:p>
        </w:tc>
        <w:tc>
          <w:tcPr>
            <w:tcW w:w="2060" w:type="dxa"/>
            <w:vAlign w:val="bottom"/>
            <w:gridSpan w:val="3"/>
          </w:tcPr>
          <w:p>
            <w:pPr>
              <w:jc w:val="right"/>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73</w:t>
              </w:r>
            </w:hyperlink>
          </w:p>
        </w:tc>
      </w:tr>
    </w:tbl>
    <w:p>
      <w:pPr>
        <w:sectPr>
          <w:pgSz w:w="11900" w:h="16838" w:orient="portrait"/>
          <w:cols w:equalWidth="0" w:num="1">
            <w:col w:w="11180"/>
          </w:cols>
          <w:pgMar w:left="360" w:top="27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June 30, 2020</w:t>
            </w: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w w:val="99"/>
              </w:rPr>
              <w:t>December 31, 2019</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8620" w:type="dxa"/>
            <w:vAlign w:val="bottom"/>
          </w:tcPr>
          <w:p>
            <w:pPr>
              <w:spacing w:after="0"/>
              <w:rPr>
                <w:sz w:val="20"/>
                <w:szCs w:val="20"/>
                <w:color w:val="auto"/>
              </w:rPr>
            </w:pPr>
            <w:r>
              <w:rPr>
                <w:rFonts w:ascii="Arial" w:cs="Arial" w:eastAsia="Arial" w:hAnsi="Arial"/>
                <w:sz w:val="11"/>
                <w:szCs w:val="11"/>
                <w:color w:val="auto"/>
              </w:rPr>
              <w:t>(in thousands except share data)</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(unaudited)</w:t>
            </w:r>
          </w:p>
        </w:tc>
        <w:tc>
          <w:tcPr>
            <w:tcW w:w="220" w:type="dxa"/>
            <w:vAlign w:val="bottom"/>
          </w:tcPr>
          <w:p>
            <w:pPr>
              <w:spacing w:after="0"/>
              <w:rPr>
                <w:sz w:val="15"/>
                <w:szCs w:val="15"/>
                <w:color w:val="auto"/>
              </w:rPr>
            </w:pPr>
          </w:p>
        </w:tc>
        <w:tc>
          <w:tcPr>
            <w:tcW w:w="1000" w:type="dxa"/>
            <w:vAlign w:val="bottom"/>
          </w:tcPr>
          <w:p>
            <w:pPr>
              <w:jc w:val="right"/>
              <w:ind w:right="268"/>
              <w:spacing w:after="0"/>
              <w:rPr>
                <w:sz w:val="20"/>
                <w:szCs w:val="20"/>
                <w:color w:val="auto"/>
              </w:rPr>
            </w:pPr>
            <w:r>
              <w:rPr>
                <w:rFonts w:ascii="Arial" w:cs="Arial" w:eastAsia="Arial" w:hAnsi="Arial"/>
                <w:sz w:val="13"/>
                <w:szCs w:val="13"/>
                <w:b w:val="1"/>
                <w:bCs w:val="1"/>
                <w:color w:val="auto"/>
              </w:rPr>
              <w:t>(audited)</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Cash and due from banks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15,636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Interest bearing deposits at other financial institutions</w:t>
            </w:r>
          </w:p>
        </w:tc>
        <w:tc>
          <w:tcPr>
            <w:tcW w:w="16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b w:val="1"/>
                <w:bCs w:val="1"/>
                <w:color w:val="auto"/>
              </w:rPr>
              <w:t>180,379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102,447</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Federal funds sold</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3,698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620" w:type="dxa"/>
            <w:vAlign w:val="bottom"/>
          </w:tcPr>
          <w:p>
            <w:pPr>
              <w:ind w:left="480"/>
              <w:spacing w:after="0"/>
              <w:rPr>
                <w:sz w:val="20"/>
                <w:szCs w:val="20"/>
                <w:color w:val="auto"/>
              </w:rPr>
            </w:pPr>
            <w:r>
              <w:rPr>
                <w:rFonts w:ascii="Arial" w:cs="Arial" w:eastAsia="Arial" w:hAnsi="Arial"/>
                <w:sz w:val="14"/>
                <w:szCs w:val="14"/>
                <w:color w:val="auto"/>
              </w:rPr>
              <w:t>Total cash and cash equivalents</w:t>
            </w:r>
          </w:p>
        </w:tc>
        <w:tc>
          <w:tcPr>
            <w:tcW w:w="160" w:type="dxa"/>
            <w:vAlign w:val="bottom"/>
          </w:tcPr>
          <w:p>
            <w:pPr>
              <w:spacing w:after="0"/>
              <w:rPr>
                <w:sz w:val="21"/>
                <w:szCs w:val="21"/>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b w:val="1"/>
                <w:bCs w:val="1"/>
                <w:color w:val="auto"/>
              </w:rPr>
              <w:t>199,713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114,824</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56,796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60,828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b w:val="1"/>
                <w:bCs w:val="1"/>
                <w:color w:val="auto"/>
              </w:rPr>
              <w:t>4,085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3,966</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116,969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Small Business Administration Payroll Protection Program (“SBA-PPP”) loans receivable, net of fees</w:t>
            </w:r>
          </w:p>
        </w:tc>
        <w:tc>
          <w:tcPr>
            <w:tcW w:w="16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b w:val="1"/>
                <w:bCs w:val="1"/>
                <w:color w:val="auto"/>
              </w:rPr>
              <w:t>229,646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0" w:type="dxa"/>
            <w:vAlign w:val="bottom"/>
            <w:shd w:val="clear" w:color="auto" w:fill="CCEEFF"/>
          </w:tcPr>
          <w:p>
            <w:pPr>
              <w:spacing w:after="0"/>
              <w:rPr>
                <w:sz w:val="16"/>
                <w:szCs w:val="16"/>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Portfolio loans receivable, net of deferred fees and costs and net of allowance for loan losses of $18,680 and $13,301 at June 30, 2020</w:t>
            </w:r>
          </w:p>
        </w:tc>
        <w:tc>
          <w:tcPr>
            <w:tcW w:w="1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1,192,797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CCEEFF"/>
            </w:tcBorders>
            <w:shd w:val="clear" w:color="auto" w:fill="CCEEFF"/>
          </w:tcPr>
          <w:p>
            <w:pPr>
              <w:spacing w:after="0"/>
              <w:rPr>
                <w:sz w:val="14"/>
                <w:szCs w:val="14"/>
                <w:color w:val="auto"/>
              </w:rPr>
            </w:pPr>
          </w:p>
        </w:tc>
        <w:tc>
          <w:tcPr>
            <w:tcW w:w="8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shd w:val="clear" w:color="auto" w:fill="CCEEFF"/>
              </w:rPr>
              <w:t>and December 31, 2019, respectively</w:t>
            </w: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1,157,820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Premises and equipment, net</w:t>
            </w:r>
          </w:p>
        </w:tc>
        <w:tc>
          <w:tcPr>
            <w:tcW w:w="16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b w:val="1"/>
                <w:bCs w:val="1"/>
                <w:color w:val="auto"/>
              </w:rPr>
              <w:t>5,544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6,092</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 receivable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6,865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b w:val="1"/>
                <w:bCs w:val="1"/>
                <w:color w:val="auto"/>
              </w:rPr>
              <w:t>3,599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4,263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Foreclosed real estate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3,326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3,025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2,518</w:t>
            </w: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1,822,365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1,428,495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Deposits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0" w:type="dxa"/>
            <w:vAlign w:val="bottom"/>
            <w:shd w:val="clear" w:color="auto" w:fill="CCEEFF"/>
          </w:tcPr>
          <w:p>
            <w:pPr>
              <w:spacing w:after="0"/>
              <w:rPr>
                <w:sz w:val="16"/>
                <w:szCs w:val="16"/>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4"/>
                <w:szCs w:val="14"/>
                <w:color w:val="auto"/>
                <w:shd w:val="clear" w:color="auto" w:fill="CCEEFF"/>
              </w:rPr>
              <w:t>Noninterest-bearing, including related party balances of $17,734 and $16,009 at June 30, 2020 and December 31, 2019,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563,995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CCEEFF"/>
            </w:tcBorders>
            <w:shd w:val="clear" w:color="auto" w:fill="CCEEFF"/>
          </w:tcPr>
          <w:p>
            <w:pPr>
              <w:spacing w:after="0"/>
              <w:rPr>
                <w:sz w:val="14"/>
                <w:szCs w:val="14"/>
                <w:color w:val="auto"/>
              </w:rPr>
            </w:pPr>
          </w:p>
        </w:tc>
        <w:tc>
          <w:tcPr>
            <w:tcW w:w="8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shd w:val="clear" w:color="auto" w:fill="CCEEFF"/>
              </w:rPr>
              <w:t>respectively</w:t>
            </w: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11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291,777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Interest-bearing, including related party balances of $128,655 and $125,304 at June 30, 2020 and December 31, 2019, respectively</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1,044,731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933,644</w:t>
            </w: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deposits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1,608,726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1,225,421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Federal Home Loan Bank advances</w:t>
            </w:r>
          </w:p>
        </w:tc>
        <w:tc>
          <w:tcPr>
            <w:tcW w:w="16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b w:val="1"/>
                <w:bCs w:val="1"/>
                <w:color w:val="auto"/>
              </w:rPr>
              <w:t>25,556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32,222</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Other borrowed funds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17,392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15,423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Accrued interest payable</w:t>
            </w:r>
          </w:p>
        </w:tc>
        <w:tc>
          <w:tcPr>
            <w:tcW w:w="16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b w:val="1"/>
                <w:bCs w:val="1"/>
                <w:color w:val="auto"/>
              </w:rPr>
              <w:t>1,284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1,801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27,299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20,297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6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1,680,257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1,295,164</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stock, $.01 par value; 1,000,000 shares authorized; no shares issued or outstanding at June 30, 2020 and December 31,</w:t>
            </w: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2019</w:t>
            </w:r>
          </w:p>
        </w:tc>
        <w:tc>
          <w:tcPr>
            <w:tcW w:w="16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620" w:type="dxa"/>
            <w:vAlign w:val="bottom"/>
          </w:tcPr>
          <w:p>
            <w:pPr>
              <w:ind w:left="160"/>
              <w:spacing w:after="0"/>
              <w:rPr>
                <w:sz w:val="20"/>
                <w:szCs w:val="20"/>
                <w:color w:val="auto"/>
              </w:rPr>
            </w:pPr>
            <w:r>
              <w:rPr>
                <w:rFonts w:ascii="Arial" w:cs="Arial" w:eastAsia="Arial" w:hAnsi="Arial"/>
                <w:sz w:val="14"/>
                <w:szCs w:val="14"/>
                <w:color w:val="auto"/>
              </w:rPr>
              <w:t>Common stock, $.01 par value; 49,000,000 shares authorized; 13,818,223 and 13,894,842 issued and outstanding at June 30, 2020</w:t>
            </w:r>
          </w:p>
        </w:tc>
        <w:tc>
          <w:tcPr>
            <w:tcW w:w="160" w:type="dxa"/>
            <w:vAlign w:val="bottom"/>
          </w:tcPr>
          <w:p>
            <w:pPr>
              <w:spacing w:after="0"/>
              <w:rPr>
                <w:sz w:val="16"/>
                <w:szCs w:val="16"/>
                <w:color w:val="auto"/>
              </w:rPr>
            </w:pPr>
          </w:p>
        </w:tc>
        <w:tc>
          <w:tcPr>
            <w:tcW w:w="11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8620" w:type="dxa"/>
            <w:vAlign w:val="bottom"/>
          </w:tcPr>
          <w:p>
            <w:pPr>
              <w:ind w:left="320"/>
              <w:spacing w:after="0"/>
              <w:rPr>
                <w:sz w:val="20"/>
                <w:szCs w:val="20"/>
                <w:color w:val="auto"/>
              </w:rPr>
            </w:pPr>
            <w:r>
              <w:rPr>
                <w:rFonts w:ascii="Arial" w:cs="Arial" w:eastAsia="Arial" w:hAnsi="Arial"/>
                <w:sz w:val="14"/>
                <w:szCs w:val="14"/>
                <w:color w:val="auto"/>
              </w:rPr>
              <w:t>and December 31, 2019, respectively</w:t>
            </w: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51,052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51,561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22"/>
                <w:szCs w:val="22"/>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b w:val="1"/>
                <w:bCs w:val="1"/>
                <w:color w:val="auto"/>
              </w:rPr>
              <w:t>89,151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81,618</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1,767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6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142,108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133,331</w:t>
            </w: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1,822,365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1,428,495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240"/>
          </w:cols>
          <w:pgMar w:left="320" w:top="333" w:right="339" w:bottom="1440" w:gutter="0" w:footer="0" w:header="0"/>
        </w:sectPr>
      </w:pPr>
    </w:p>
    <w:p>
      <w:pPr>
        <w:spacing w:after="0" w:line="23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333" w:right="339" w:bottom="144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 June 30,</w:t>
            </w:r>
          </w:p>
        </w:tc>
        <w:tc>
          <w:tcPr>
            <w:tcW w:w="340" w:type="dxa"/>
            <w:vAlign w:val="bottom"/>
          </w:tcPr>
          <w:p>
            <w:pPr>
              <w:spacing w:after="0"/>
              <w:rPr>
                <w:sz w:val="15"/>
                <w:szCs w:val="15"/>
                <w:color w:val="auto"/>
              </w:rPr>
            </w:pPr>
          </w:p>
        </w:tc>
        <w:tc>
          <w:tcPr>
            <w:tcW w:w="2660" w:type="dxa"/>
            <w:vAlign w:val="bottom"/>
            <w:gridSpan w:val="4"/>
          </w:tcPr>
          <w:p>
            <w:pPr>
              <w:jc w:val="right"/>
              <w:ind w:right="588"/>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(dollars in thousands except per share data)</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income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080" w:type="dxa"/>
            <w:vAlign w:val="bottom"/>
          </w:tcPr>
          <w:p>
            <w:pPr>
              <w:ind w:left="180"/>
              <w:spacing w:after="0"/>
              <w:rPr>
                <w:sz w:val="20"/>
                <w:szCs w:val="20"/>
                <w:color w:val="auto"/>
              </w:rPr>
            </w:pPr>
            <w:r>
              <w:rPr>
                <w:rFonts w:ascii="Arial" w:cs="Arial" w:eastAsia="Arial" w:hAnsi="Arial"/>
                <w:sz w:val="14"/>
                <w:szCs w:val="14"/>
                <w:color w:val="auto"/>
              </w:rPr>
              <w:t>Loans, including fees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21,609</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19,804</w:t>
            </w:r>
          </w:p>
        </w:tc>
        <w:tc>
          <w:tcPr>
            <w:tcW w:w="100" w:type="dxa"/>
            <w:vAlign w:val="bottom"/>
          </w:tcPr>
          <w:p>
            <w:pPr>
              <w:spacing w:after="0"/>
              <w:rPr>
                <w:sz w:val="22"/>
                <w:szCs w:val="22"/>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42,683</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37,648</w:t>
            </w: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 available for sale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Federal funds sold and 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interest income</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22,000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20,289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43,744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38,607</w:t>
            </w:r>
          </w:p>
        </w:tc>
        <w:tc>
          <w:tcPr>
            <w:tcW w:w="0" w:type="dxa"/>
            <w:vAlign w:val="bottom"/>
          </w:tcPr>
          <w:p>
            <w:pPr>
              <w:spacing w:after="0"/>
              <w:rPr>
                <w:sz w:val="1"/>
                <w:szCs w:val="1"/>
                <w:color w:val="auto"/>
              </w:rPr>
            </w:pPr>
          </w:p>
        </w:tc>
      </w:tr>
      <w:tr>
        <w:trPr>
          <w:trHeight w:val="269"/>
        </w:trPr>
        <w:tc>
          <w:tcPr>
            <w:tcW w:w="5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 expense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5080" w:type="dxa"/>
            <w:vAlign w:val="bottom"/>
          </w:tcPr>
          <w:p>
            <w:pPr>
              <w:ind w:left="180"/>
              <w:spacing w:after="0"/>
              <w:rPr>
                <w:sz w:val="20"/>
                <w:szCs w:val="20"/>
                <w:color w:val="auto"/>
              </w:rPr>
            </w:pPr>
            <w:r>
              <w:rPr>
                <w:rFonts w:ascii="Arial" w:cs="Arial" w:eastAsia="Arial" w:hAnsi="Arial"/>
                <w:sz w:val="14"/>
                <w:szCs w:val="14"/>
                <w:color w:val="auto"/>
              </w:rPr>
              <w:t>Deposits, includes payments to related parties of $295 and $678 for the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80" w:type="dxa"/>
            <w:vAlign w:val="bottom"/>
          </w:tcPr>
          <w:p>
            <w:pPr>
              <w:ind w:left="340"/>
              <w:spacing w:after="0"/>
              <w:rPr>
                <w:sz w:val="20"/>
                <w:szCs w:val="20"/>
                <w:color w:val="auto"/>
              </w:rPr>
            </w:pPr>
            <w:r>
              <w:rPr>
                <w:rFonts w:ascii="Arial" w:cs="Arial" w:eastAsia="Arial" w:hAnsi="Arial"/>
                <w:sz w:val="14"/>
                <w:szCs w:val="14"/>
                <w:color w:val="auto"/>
              </w:rPr>
              <w:t>three and six months ended June 30, 2020, respectively, and $459 and</w:t>
            </w:r>
          </w:p>
        </w:tc>
        <w:tc>
          <w:tcPr>
            <w:tcW w:w="34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2,954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6,567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080" w:type="dxa"/>
            <w:vAlign w:val="bottom"/>
          </w:tcPr>
          <w:p>
            <w:pPr>
              <w:ind w:left="340"/>
              <w:spacing w:after="0"/>
              <w:rPr>
                <w:sz w:val="20"/>
                <w:szCs w:val="20"/>
                <w:color w:val="auto"/>
              </w:rPr>
            </w:pPr>
            <w:r>
              <w:rPr>
                <w:rFonts w:ascii="Arial" w:cs="Arial" w:eastAsia="Arial" w:hAnsi="Arial"/>
                <w:sz w:val="14"/>
                <w:szCs w:val="14"/>
                <w:color w:val="auto"/>
              </w:rPr>
              <w:t>$976 for the three and six months ended June 30, 2019, respectively.</w:t>
            </w: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6,438</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Borrowed funds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866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interest expense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3,376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7,433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7,332</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4"/>
                <w:szCs w:val="14"/>
                <w:b w:val="1"/>
                <w:bCs w:val="1"/>
                <w:color w:val="auto"/>
              </w:rPr>
              <w:t>Net interest income</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18,624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16,531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36,311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31,275</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loan losses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3,300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5,709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15,324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30,602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30,477</w:t>
            </w:r>
          </w:p>
        </w:tc>
        <w:tc>
          <w:tcPr>
            <w:tcW w:w="0" w:type="dxa"/>
            <w:vAlign w:val="bottom"/>
          </w:tcPr>
          <w:p>
            <w:pPr>
              <w:spacing w:after="0"/>
              <w:rPr>
                <w:sz w:val="1"/>
                <w:szCs w:val="1"/>
                <w:color w:val="auto"/>
              </w:rPr>
            </w:pPr>
          </w:p>
        </w:tc>
      </w:tr>
      <w:tr>
        <w:trPr>
          <w:trHeight w:val="269"/>
        </w:trPr>
        <w:tc>
          <w:tcPr>
            <w:tcW w:w="5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4"/>
                <w:szCs w:val="14"/>
                <w:b w:val="1"/>
                <w:bCs w:val="1"/>
                <w:color w:val="auto"/>
              </w:rPr>
              <w:t>Noninterest income</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 charges on deposits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64"/>
        </w:trPr>
        <w:tc>
          <w:tcPr>
            <w:tcW w:w="5080" w:type="dxa"/>
            <w:vAlign w:val="bottom"/>
          </w:tcPr>
          <w:p>
            <w:pPr>
              <w:ind w:left="180"/>
              <w:spacing w:after="0"/>
              <w:rPr>
                <w:sz w:val="20"/>
                <w:szCs w:val="20"/>
                <w:color w:val="auto"/>
              </w:rPr>
            </w:pPr>
            <w:r>
              <w:rPr>
                <w:rFonts w:ascii="Arial" w:cs="Arial" w:eastAsia="Arial" w:hAnsi="Arial"/>
                <w:sz w:val="14"/>
                <w:szCs w:val="14"/>
                <w:color w:val="auto"/>
              </w:rPr>
              <w:t>Credit card fees</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2,912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4,921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3,462</w:t>
            </w: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 banking revenue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10,119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14,136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6,091</w:t>
            </w:r>
          </w:p>
        </w:tc>
        <w:tc>
          <w:tcPr>
            <w:tcW w:w="0" w:type="dxa"/>
            <w:vAlign w:val="bottom"/>
          </w:tcPr>
          <w:p>
            <w:pPr>
              <w:spacing w:after="0"/>
              <w:rPr>
                <w:sz w:val="1"/>
                <w:szCs w:val="1"/>
                <w:color w:val="auto"/>
              </w:rPr>
            </w:pPr>
          </w:p>
        </w:tc>
      </w:tr>
      <w:tr>
        <w:trPr>
          <w:trHeight w:val="264"/>
        </w:trPr>
        <w:tc>
          <w:tcPr>
            <w:tcW w:w="5080" w:type="dxa"/>
            <w:vAlign w:val="bottom"/>
          </w:tcPr>
          <w:p>
            <w:pPr>
              <w:ind w:left="180"/>
              <w:spacing w:after="0"/>
              <w:rPr>
                <w:sz w:val="20"/>
                <w:szCs w:val="20"/>
                <w:color w:val="auto"/>
              </w:rPr>
            </w:pPr>
            <w:r>
              <w:rPr>
                <w:rFonts w:ascii="Arial" w:cs="Arial" w:eastAsia="Arial" w:hAnsi="Arial"/>
                <w:sz w:val="14"/>
                <w:szCs w:val="14"/>
                <w:color w:val="auto"/>
              </w:rPr>
              <w:t>Gain on sale of investment securities available for sale</w:t>
            </w:r>
          </w:p>
        </w:tc>
        <w:tc>
          <w:tcPr>
            <w:tcW w:w="34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fees and charges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1,163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noninterest income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13,899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20,479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10,019</w:t>
            </w:r>
          </w:p>
        </w:tc>
        <w:tc>
          <w:tcPr>
            <w:tcW w:w="0" w:type="dxa"/>
            <w:vAlign w:val="bottom"/>
          </w:tcPr>
          <w:p>
            <w:pPr>
              <w:spacing w:after="0"/>
              <w:rPr>
                <w:sz w:val="1"/>
                <w:szCs w:val="1"/>
                <w:color w:val="auto"/>
              </w:rPr>
            </w:pPr>
          </w:p>
        </w:tc>
      </w:tr>
      <w:tr>
        <w:trPr>
          <w:trHeight w:val="269"/>
        </w:trPr>
        <w:tc>
          <w:tcPr>
            <w:tcW w:w="5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4"/>
                <w:szCs w:val="14"/>
                <w:b w:val="1"/>
                <w:bCs w:val="1"/>
                <w:color w:val="auto"/>
              </w:rPr>
              <w:t>Noninterest 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Salaries and employee benefits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11,296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19,753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14,898</w:t>
            </w:r>
          </w:p>
        </w:tc>
        <w:tc>
          <w:tcPr>
            <w:tcW w:w="0" w:type="dxa"/>
            <w:vAlign w:val="bottom"/>
          </w:tcPr>
          <w:p>
            <w:pPr>
              <w:spacing w:after="0"/>
              <w:rPr>
                <w:sz w:val="1"/>
                <w:szCs w:val="1"/>
                <w:color w:val="auto"/>
              </w:rPr>
            </w:pPr>
          </w:p>
        </w:tc>
      </w:tr>
      <w:tr>
        <w:trPr>
          <w:trHeight w:val="264"/>
        </w:trPr>
        <w:tc>
          <w:tcPr>
            <w:tcW w:w="5080" w:type="dxa"/>
            <w:vAlign w:val="bottom"/>
          </w:tcPr>
          <w:p>
            <w:pPr>
              <w:ind w:left="180"/>
              <w:spacing w:after="0"/>
              <w:rPr>
                <w:sz w:val="20"/>
                <w:szCs w:val="20"/>
                <w:color w:val="auto"/>
              </w:rPr>
            </w:pPr>
            <w:r>
              <w:rPr>
                <w:rFonts w:ascii="Arial" w:cs="Arial" w:eastAsia="Arial" w:hAnsi="Arial"/>
                <w:sz w:val="14"/>
                <w:szCs w:val="14"/>
                <w:color w:val="auto"/>
              </w:rPr>
              <w:t>Occupancy and equipment</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1,152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2,330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2,196</w:t>
            </w: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264"/>
        </w:trPr>
        <w:tc>
          <w:tcPr>
            <w:tcW w:w="5080" w:type="dxa"/>
            <w:vAlign w:val="bottom"/>
          </w:tcPr>
          <w:p>
            <w:pPr>
              <w:ind w:left="180"/>
              <w:spacing w:after="0"/>
              <w:rPr>
                <w:sz w:val="20"/>
                <w:szCs w:val="20"/>
                <w:color w:val="auto"/>
              </w:rPr>
            </w:pPr>
            <w:r>
              <w:rPr>
                <w:rFonts w:ascii="Arial" w:cs="Arial" w:eastAsia="Arial" w:hAnsi="Arial"/>
                <w:sz w:val="14"/>
                <w:szCs w:val="14"/>
                <w:color w:val="auto"/>
              </w:rPr>
              <w:t>Data processing</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5,667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9,784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Advertising</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64"/>
        </w:trPr>
        <w:tc>
          <w:tcPr>
            <w:tcW w:w="5080" w:type="dxa"/>
            <w:vAlign w:val="bottom"/>
          </w:tcPr>
          <w:p>
            <w:pPr>
              <w:ind w:left="180"/>
              <w:spacing w:after="0"/>
              <w:rPr>
                <w:sz w:val="20"/>
                <w:szCs w:val="20"/>
                <w:color w:val="auto"/>
              </w:rPr>
            </w:pPr>
            <w:r>
              <w:rPr>
                <w:rFonts w:ascii="Arial" w:cs="Arial" w:eastAsia="Arial" w:hAnsi="Arial"/>
                <w:sz w:val="14"/>
                <w:szCs w:val="14"/>
                <w:color w:val="auto"/>
              </w:rPr>
              <w:t>Loan processing</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740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1,187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Foreclosed real estate expenses, net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2,266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4,459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3,521</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noninterest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22,703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16,210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40,547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30,540</w:t>
            </w:r>
          </w:p>
        </w:tc>
        <w:tc>
          <w:tcPr>
            <w:tcW w:w="0" w:type="dxa"/>
            <w:vAlign w:val="bottom"/>
          </w:tcPr>
          <w:p>
            <w:pPr>
              <w:spacing w:after="0"/>
              <w:rPr>
                <w:sz w:val="1"/>
                <w:szCs w:val="1"/>
                <w:color w:val="auto"/>
              </w:rPr>
            </w:pPr>
          </w:p>
        </w:tc>
      </w:tr>
      <w:tr>
        <w:trPr>
          <w:trHeight w:val="250"/>
        </w:trPr>
        <w:tc>
          <w:tcPr>
            <w:tcW w:w="508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3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6,520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10,534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9,956</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1,759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2,839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2,614</w:t>
            </w:r>
          </w:p>
        </w:tc>
        <w:tc>
          <w:tcPr>
            <w:tcW w:w="0" w:type="dxa"/>
            <w:vAlign w:val="bottom"/>
          </w:tcPr>
          <w:p>
            <w:pPr>
              <w:spacing w:after="0"/>
              <w:rPr>
                <w:sz w:val="1"/>
                <w:szCs w:val="1"/>
                <w:color w:val="auto"/>
              </w:rPr>
            </w:pPr>
          </w:p>
        </w:tc>
      </w:tr>
      <w:tr>
        <w:trPr>
          <w:trHeight w:val="283"/>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4,761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7,695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7,342</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Basic earnings per share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0.34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0.56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0.34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0.55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13,817,349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13,718,665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13,846,889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13,707,631</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13,817,349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13,914,042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13,877,326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13,888,050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240"/>
          </w:cols>
          <w:pgMar w:left="320" w:top="730" w:right="339" w:bottom="414"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730" w:right="339" w:bottom="414" w:gutter="0" w:footer="0" w:header="0"/>
          <w:type w:val="continuous"/>
        </w:sectPr>
      </w:pPr>
    </w:p>
    <w:bookmarkStart w:id="5" w:name="page6"/>
    <w:bookmarkEnd w:id="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 June 30,</w:t>
            </w:r>
          </w:p>
        </w:tc>
        <w:tc>
          <w:tcPr>
            <w:tcW w:w="340" w:type="dxa"/>
            <w:vAlign w:val="bottom"/>
          </w:tcPr>
          <w:p>
            <w:pPr>
              <w:spacing w:after="0"/>
              <w:rPr>
                <w:sz w:val="15"/>
                <w:szCs w:val="15"/>
                <w:color w:val="auto"/>
              </w:rPr>
            </w:pPr>
          </w:p>
        </w:tc>
        <w:tc>
          <w:tcPr>
            <w:tcW w:w="2660" w:type="dxa"/>
            <w:vAlign w:val="bottom"/>
            <w:gridSpan w:val="4"/>
          </w:tcPr>
          <w:p>
            <w:pPr>
              <w:jc w:val="right"/>
              <w:ind w:right="588"/>
              <w:spacing w:after="0"/>
              <w:rPr>
                <w:sz w:val="20"/>
                <w:szCs w:val="20"/>
                <w:color w:val="auto"/>
              </w:rPr>
            </w:pPr>
            <w:r>
              <w:rPr>
                <w:rFonts w:ascii="Arial" w:cs="Arial" w:eastAsia="Arial" w:hAnsi="Arial"/>
                <w:sz w:val="13"/>
                <w:szCs w:val="13"/>
                <w:b w:val="1"/>
                <w:bCs w:val="1"/>
                <w:color w:val="auto"/>
              </w:rPr>
              <w:t>Six Months Ended June 30,</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4,761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7,695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7,342</w:t>
            </w:r>
          </w:p>
        </w:tc>
      </w:tr>
      <w:tr>
        <w:trPr>
          <w:trHeight w:val="269"/>
        </w:trPr>
        <w:tc>
          <w:tcPr>
            <w:tcW w:w="5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6"/>
                <w:szCs w:val="16"/>
                <w:color w:val="auto"/>
              </w:rPr>
              <w:t>Unrealized gain on investment securities available for sale</w:t>
            </w:r>
          </w:p>
        </w:tc>
        <w:tc>
          <w:tcPr>
            <w:tcW w:w="340" w:type="dxa"/>
            <w:vAlign w:val="bottom"/>
          </w:tcPr>
          <w:p>
            <w:pPr>
              <w:spacing w:after="0"/>
              <w:rPr>
                <w:sz w:val="22"/>
                <w:szCs w:val="22"/>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b w:val="1"/>
                <w:bCs w:val="1"/>
                <w:color w:val="auto"/>
              </w:rPr>
              <w:t>1,380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b w:val="1"/>
                <w:bCs w:val="1"/>
                <w:color w:val="auto"/>
              </w:rPr>
              <w:t>2,421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810</w:t>
            </w:r>
          </w:p>
        </w:tc>
      </w:tr>
      <w:tr>
        <w:trPr>
          <w:trHeight w:val="224"/>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realized gain on sale of investment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4"/>
        </w:trPr>
        <w:tc>
          <w:tcPr>
            <w:tcW w:w="5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available for sale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64"/>
        </w:trPr>
        <w:tc>
          <w:tcPr>
            <w:tcW w:w="5080" w:type="dxa"/>
            <w:vAlign w:val="bottom"/>
          </w:tcPr>
          <w:p>
            <w:pPr>
              <w:ind w:left="40"/>
              <w:spacing w:after="0"/>
              <w:rPr>
                <w:sz w:val="20"/>
                <w:szCs w:val="20"/>
                <w:color w:val="auto"/>
              </w:rPr>
            </w:pPr>
            <w:r>
              <w:rPr>
                <w:rFonts w:ascii="Arial" w:cs="Arial" w:eastAsia="Arial" w:hAnsi="Arial"/>
                <w:sz w:val="16"/>
                <w:szCs w:val="16"/>
                <w:color w:val="auto"/>
              </w:rPr>
              <w:t>Unrealized loss on cash flow hedging derivative</w:t>
            </w:r>
          </w:p>
        </w:tc>
        <w:tc>
          <w:tcPr>
            <w:tcW w:w="34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6"/>
        </w:trPr>
        <w:tc>
          <w:tcPr>
            <w:tcW w:w="50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1,380</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2,421</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779</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 relating to the items above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(380)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r>
      <w:tr>
        <w:trPr>
          <w:trHeight w:val="256"/>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1,000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1,754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r>
      <w:tr>
        <w:trPr>
          <w:trHeight w:val="234"/>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5,761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9,449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7,907</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30" w:right="339" w:bottom="1440" w:gutter="0" w:footer="0" w:header="0"/>
        </w:sectPr>
      </w:pPr>
    </w:p>
    <w:bookmarkStart w:id="6" w:name="page7"/>
    <w:bookmarkEnd w:id="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2300" w:type="dxa"/>
            <w:vAlign w:val="bottom"/>
            <w:gridSpan w:val="5"/>
          </w:tcPr>
          <w:p>
            <w:pPr>
              <w:ind w:left="64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3"/>
                <w:szCs w:val="13"/>
                <w:color w:val="auto"/>
              </w:rPr>
            </w:pPr>
          </w:p>
        </w:tc>
        <w:tc>
          <w:tcPr>
            <w:tcW w:w="1060" w:type="dxa"/>
            <w:vAlign w:val="bottom"/>
          </w:tcPr>
          <w:p>
            <w:pPr>
              <w:jc w:val="center"/>
              <w:ind w:right="8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35"/>
        </w:trPr>
        <w:tc>
          <w:tcPr>
            <w:tcW w:w="39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3"/>
                <w:szCs w:val="3"/>
                <w:color w:val="auto"/>
              </w:rPr>
            </w:pPr>
          </w:p>
        </w:tc>
        <w:tc>
          <w:tcPr>
            <w:tcW w:w="94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3"/>
                <w:szCs w:val="3"/>
                <w:color w:val="auto"/>
              </w:rPr>
            </w:pPr>
          </w:p>
        </w:tc>
        <w:tc>
          <w:tcPr>
            <w:tcW w:w="14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3"/>
                <w:szCs w:val="3"/>
                <w:color w:val="auto"/>
              </w:rPr>
            </w:pPr>
          </w:p>
        </w:tc>
        <w:tc>
          <w:tcPr>
            <w:tcW w:w="1060" w:type="dxa"/>
            <w:vAlign w:val="bottom"/>
            <w:vMerge w:val="restart"/>
          </w:tcPr>
          <w:p>
            <w:pPr>
              <w:jc w:val="center"/>
              <w:ind w:right="89"/>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80"/>
        </w:trPr>
        <w:tc>
          <w:tcPr>
            <w:tcW w:w="3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40" w:type="dxa"/>
            <w:vAlign w:val="bottom"/>
          </w:tcPr>
          <w:p>
            <w:pPr>
              <w:ind w:left="40"/>
              <w:spacing w:after="0"/>
              <w:rPr>
                <w:sz w:val="20"/>
                <w:szCs w:val="20"/>
                <w:color w:val="auto"/>
              </w:rPr>
            </w:pPr>
            <w:r>
              <w:rPr>
                <w:rFonts w:ascii="Arial" w:cs="Arial" w:eastAsia="Arial" w:hAnsi="Arial"/>
                <w:sz w:val="11"/>
                <w:szCs w:val="11"/>
                <w:color w:val="auto"/>
              </w:rPr>
              <w:t>(dollars in thousands)</w:t>
            </w:r>
          </w:p>
        </w:tc>
        <w:tc>
          <w:tcPr>
            <w:tcW w:w="126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60" w:type="dxa"/>
            <w:vAlign w:val="bottom"/>
          </w:tcPr>
          <w:p>
            <w:pPr>
              <w:spacing w:after="0"/>
              <w:rPr>
                <w:sz w:val="15"/>
                <w:szCs w:val="15"/>
                <w:color w:val="auto"/>
              </w:rPr>
            </w:pPr>
          </w:p>
        </w:tc>
        <w:tc>
          <w:tcPr>
            <w:tcW w:w="1060" w:type="dxa"/>
            <w:vAlign w:val="bottom"/>
          </w:tcPr>
          <w:p>
            <w:pPr>
              <w:jc w:val="center"/>
              <w:ind w:right="8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7"/>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14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13,672,479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49,321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65,701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114,564</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Adoption of ASC 842 Leases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3,319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3,319</w:t>
            </w:r>
          </w:p>
        </w:tc>
        <w:tc>
          <w:tcPr>
            <w:tcW w:w="0" w:type="dxa"/>
            <w:vAlign w:val="bottom"/>
          </w:tcPr>
          <w:p>
            <w:pPr>
              <w:spacing w:after="0"/>
              <w:rPr>
                <w:sz w:val="1"/>
                <w:szCs w:val="1"/>
                <w:color w:val="auto"/>
              </w:rPr>
            </w:pPr>
          </w:p>
        </w:tc>
      </w:tr>
      <w:tr>
        <w:trPr>
          <w:trHeight w:val="194"/>
        </w:trPr>
        <w:tc>
          <w:tcPr>
            <w:tcW w:w="394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4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47"/>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cash flow hedging derivative, net of</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1140" w:type="dxa"/>
            <w:vAlign w:val="bottom"/>
          </w:tcPr>
          <w:p>
            <w:pPr>
              <w:jc w:val="right"/>
              <w:ind w:right="47"/>
              <w:spacing w:after="0"/>
              <w:rPr>
                <w:sz w:val="20"/>
                <w:szCs w:val="20"/>
                <w:color w:val="auto"/>
              </w:rPr>
            </w:pPr>
            <w:r>
              <w:rPr>
                <w:rFonts w:ascii="Arial" w:cs="Arial" w:eastAsia="Arial" w:hAnsi="Arial"/>
                <w:sz w:val="14"/>
                <w:szCs w:val="14"/>
                <w:color w:val="auto"/>
              </w:rPr>
              <w:t>21,706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as compensation</w:t>
            </w: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18,380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50"/>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14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13,712,565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49,825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68,918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118,550</w:t>
            </w:r>
          </w:p>
        </w:tc>
        <w:tc>
          <w:tcPr>
            <w:tcW w:w="0" w:type="dxa"/>
            <w:vAlign w:val="bottom"/>
          </w:tcPr>
          <w:p>
            <w:pPr>
              <w:spacing w:after="0"/>
              <w:rPr>
                <w:sz w:val="1"/>
                <w:szCs w:val="1"/>
                <w:color w:val="auto"/>
              </w:rPr>
            </w:pPr>
          </w:p>
        </w:tc>
      </w:tr>
      <w:tr>
        <w:trPr>
          <w:trHeight w:val="250"/>
        </w:trPr>
        <w:tc>
          <w:tcPr>
            <w:tcW w:w="39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4,023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4,023</w:t>
            </w:r>
          </w:p>
        </w:tc>
        <w:tc>
          <w:tcPr>
            <w:tcW w:w="0" w:type="dxa"/>
            <w:vAlign w:val="bottom"/>
          </w:tcPr>
          <w:p>
            <w:pPr>
              <w:spacing w:after="0"/>
              <w:rPr>
                <w:sz w:val="1"/>
                <w:szCs w:val="1"/>
                <w:color w:val="auto"/>
              </w:rPr>
            </w:pPr>
          </w:p>
        </w:tc>
      </w:tr>
      <w:tr>
        <w:trPr>
          <w:trHeight w:val="20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1140" w:type="dxa"/>
            <w:vAlign w:val="bottom"/>
          </w:tcPr>
          <w:p>
            <w:pPr>
              <w:jc w:val="right"/>
              <w:ind w:right="47"/>
              <w:spacing w:after="0"/>
              <w:rPr>
                <w:sz w:val="20"/>
                <w:szCs w:val="20"/>
                <w:color w:val="auto"/>
              </w:rPr>
            </w:pPr>
            <w:r>
              <w:rPr>
                <w:rFonts w:ascii="Arial" w:cs="Arial" w:eastAsia="Arial" w:hAnsi="Arial"/>
                <w:sz w:val="14"/>
                <w:szCs w:val="14"/>
                <w:color w:val="auto"/>
              </w:rPr>
              <w:t>6,100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1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13,718,665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137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50,071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72,940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123,118</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2019</w:t>
            </w:r>
          </w:p>
        </w:tc>
        <w:tc>
          <w:tcPr>
            <w:tcW w:w="1140" w:type="dxa"/>
            <w:vAlign w:val="bottom"/>
          </w:tcPr>
          <w:p>
            <w:pPr>
              <w:jc w:val="right"/>
              <w:ind w:right="47"/>
              <w:spacing w:after="0"/>
              <w:rPr>
                <w:sz w:val="20"/>
                <w:szCs w:val="20"/>
                <w:color w:val="auto"/>
              </w:rPr>
            </w:pPr>
            <w:r>
              <w:rPr>
                <w:rFonts w:ascii="Arial" w:cs="Arial" w:eastAsia="Arial" w:hAnsi="Arial"/>
                <w:sz w:val="14"/>
                <w:szCs w:val="14"/>
                <w:b w:val="1"/>
                <w:bCs w:val="1"/>
                <w:color w:val="auto"/>
              </w:rPr>
              <w:t>13,894,842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6"/>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51,561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7"/>
              <w:spacing w:after="0"/>
              <w:rPr>
                <w:sz w:val="20"/>
                <w:szCs w:val="20"/>
                <w:color w:val="auto"/>
              </w:rPr>
            </w:pPr>
            <w:r>
              <w:rPr>
                <w:rFonts w:ascii="Arial" w:cs="Arial" w:eastAsia="Arial" w:hAnsi="Arial"/>
                <w:sz w:val="14"/>
                <w:szCs w:val="14"/>
                <w:b w:val="1"/>
                <w:bCs w:val="1"/>
                <w:color w:val="auto"/>
              </w:rPr>
              <w:t>81,618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7"/>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b w:val="1"/>
                <w:bCs w:val="1"/>
                <w:color w:val="auto"/>
              </w:rPr>
              <w:t>133,331</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2,934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2,934</w:t>
            </w:r>
          </w:p>
        </w:tc>
        <w:tc>
          <w:tcPr>
            <w:tcW w:w="0" w:type="dxa"/>
            <w:vAlign w:val="bottom"/>
          </w:tcPr>
          <w:p>
            <w:pPr>
              <w:spacing w:after="0"/>
              <w:rPr>
                <w:sz w:val="1"/>
                <w:szCs w:val="1"/>
                <w:color w:val="auto"/>
              </w:rPr>
            </w:pPr>
          </w:p>
        </w:tc>
      </w:tr>
      <w:tr>
        <w:trPr>
          <w:trHeight w:val="194"/>
        </w:trPr>
        <w:tc>
          <w:tcPr>
            <w:tcW w:w="394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754</w:t>
            </w:r>
          </w:p>
        </w:tc>
        <w:tc>
          <w:tcPr>
            <w:tcW w:w="0" w:type="dxa"/>
            <w:vAlign w:val="bottom"/>
          </w:tcPr>
          <w:p>
            <w:pPr>
              <w:spacing w:after="0"/>
              <w:rPr>
                <w:sz w:val="1"/>
                <w:szCs w:val="1"/>
                <w:color w:val="auto"/>
              </w:rPr>
            </w:pPr>
          </w:p>
        </w:tc>
      </w:tr>
      <w:tr>
        <w:trPr>
          <w:trHeight w:val="178"/>
        </w:trPr>
        <w:tc>
          <w:tcPr>
            <w:tcW w:w="394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ind w:right="47"/>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w:t>
            </w: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34,015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b w:val="1"/>
                <w:bCs w:val="1"/>
                <w:color w:val="auto"/>
              </w:rPr>
              <w:t>244</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repurchased and retired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(1,283)</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31, 2020</w:t>
            </w:r>
          </w:p>
        </w:tc>
        <w:tc>
          <w:tcPr>
            <w:tcW w:w="11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13,816,723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138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50,786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84,389</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767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136,080</w:t>
            </w:r>
          </w:p>
        </w:tc>
        <w:tc>
          <w:tcPr>
            <w:tcW w:w="0" w:type="dxa"/>
            <w:vAlign w:val="bottom"/>
          </w:tcPr>
          <w:p>
            <w:pPr>
              <w:spacing w:after="0"/>
              <w:rPr>
                <w:sz w:val="1"/>
                <w:szCs w:val="1"/>
                <w:color w:val="auto"/>
              </w:rPr>
            </w:pPr>
          </w:p>
        </w:tc>
      </w:tr>
      <w:tr>
        <w:trPr>
          <w:trHeight w:val="25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4,761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4,761</w:t>
            </w:r>
          </w:p>
        </w:tc>
        <w:tc>
          <w:tcPr>
            <w:tcW w:w="0" w:type="dxa"/>
            <w:vAlign w:val="bottom"/>
          </w:tcPr>
          <w:p>
            <w:pPr>
              <w:spacing w:after="0"/>
              <w:rPr>
                <w:sz w:val="1"/>
                <w:szCs w:val="1"/>
                <w:color w:val="auto"/>
              </w:rPr>
            </w:pPr>
          </w:p>
        </w:tc>
      </w:tr>
      <w:tr>
        <w:trPr>
          <w:trHeight w:val="194"/>
        </w:trPr>
        <w:tc>
          <w:tcPr>
            <w:tcW w:w="394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4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ind w:right="47"/>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as compensation</w:t>
            </w: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repurchased and retired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Balance, June 30, 2020</w:t>
            </w:r>
          </w:p>
        </w:tc>
        <w:tc>
          <w:tcPr>
            <w:tcW w:w="11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13,818,223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51,052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89,151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1,767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142,108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30"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9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21590</wp:posOffset>
            </wp:positionV>
            <wp:extent cx="1920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818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7,695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7,342</w:t>
            </w:r>
          </w:p>
        </w:tc>
      </w:tr>
      <w:tr>
        <w:trPr>
          <w:trHeight w:val="280"/>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 to reconcile net income to net cash used by operating activities: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8180" w:type="dxa"/>
            <w:vAlign w:val="bottom"/>
          </w:tcPr>
          <w:p>
            <w:pPr>
              <w:ind w:left="280"/>
              <w:spacing w:after="0"/>
              <w:rPr>
                <w:sz w:val="20"/>
                <w:szCs w:val="20"/>
                <w:color w:val="auto"/>
              </w:rPr>
            </w:pPr>
            <w:r>
              <w:rPr>
                <w:rFonts w:ascii="Arial" w:cs="Arial" w:eastAsia="Arial" w:hAnsi="Arial"/>
                <w:sz w:val="16"/>
                <w:szCs w:val="16"/>
                <w:color w:val="auto"/>
              </w:rPr>
              <w:t>Provision for loan losses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5,709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798</w:t>
            </w:r>
          </w:p>
        </w:tc>
      </w:tr>
      <w:tr>
        <w:trPr>
          <w:trHeight w:val="280"/>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losses on mortgage loans sold</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60"/>
        </w:trPr>
        <w:tc>
          <w:tcPr>
            <w:tcW w:w="8180" w:type="dxa"/>
            <w:vAlign w:val="bottom"/>
          </w:tcPr>
          <w:p>
            <w:pPr>
              <w:ind w:left="280"/>
              <w:spacing w:after="0"/>
              <w:rPr>
                <w:sz w:val="20"/>
                <w:szCs w:val="20"/>
                <w:color w:val="auto"/>
              </w:rPr>
            </w:pPr>
            <w:r>
              <w:rPr>
                <w:rFonts w:ascii="Arial" w:cs="Arial" w:eastAsia="Arial" w:hAnsi="Arial"/>
                <w:sz w:val="16"/>
                <w:szCs w:val="16"/>
                <w:color w:val="auto"/>
              </w:rPr>
              <w:t>Provision for off balance sheet credit risk</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280"/>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amortization on investments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60"/>
        </w:trPr>
        <w:tc>
          <w:tcPr>
            <w:tcW w:w="81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878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569</w:t>
            </w:r>
          </w:p>
        </w:tc>
      </w:tr>
      <w:tr>
        <w:trPr>
          <w:trHeight w:val="280"/>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r>
      <w:tr>
        <w:trPr>
          <w:trHeight w:val="260"/>
        </w:trPr>
        <w:tc>
          <w:tcPr>
            <w:tcW w:w="8180" w:type="dxa"/>
            <w:vAlign w:val="bottom"/>
          </w:tcPr>
          <w:p>
            <w:pPr>
              <w:ind w:left="280"/>
              <w:spacing w:after="0"/>
              <w:rPr>
                <w:sz w:val="20"/>
                <w:szCs w:val="20"/>
                <w:color w:val="auto"/>
              </w:rPr>
            </w:pPr>
            <w:r>
              <w:rPr>
                <w:rFonts w:ascii="Arial" w:cs="Arial" w:eastAsia="Arial" w:hAnsi="Arial"/>
                <w:sz w:val="16"/>
                <w:szCs w:val="16"/>
                <w:color w:val="auto"/>
              </w:rPr>
              <w:t>Director and employee compensation paid in stock</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280"/>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 benefit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60"/>
        </w:trPr>
        <w:tc>
          <w:tcPr>
            <w:tcW w:w="8180" w:type="dxa"/>
            <w:vAlign w:val="bottom"/>
          </w:tcPr>
          <w:p>
            <w:pPr>
              <w:ind w:left="280"/>
              <w:spacing w:after="0"/>
              <w:rPr>
                <w:sz w:val="20"/>
                <w:szCs w:val="20"/>
                <w:color w:val="auto"/>
              </w:rPr>
            </w:pPr>
            <w:r>
              <w:rPr>
                <w:rFonts w:ascii="Arial" w:cs="Arial" w:eastAsia="Arial" w:hAnsi="Arial"/>
                <w:sz w:val="16"/>
                <w:szCs w:val="16"/>
                <w:color w:val="auto"/>
              </w:rPr>
              <w:t>Amortization of debt issuance expense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80"/>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securities available for sale</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0"/>
        </w:trPr>
        <w:tc>
          <w:tcPr>
            <w:tcW w:w="8180" w:type="dxa"/>
            <w:vAlign w:val="bottom"/>
          </w:tcPr>
          <w:p>
            <w:pPr>
              <w:ind w:left="280"/>
              <w:spacing w:after="0"/>
              <w:rPr>
                <w:sz w:val="20"/>
                <w:szCs w:val="20"/>
                <w:color w:val="auto"/>
              </w:rPr>
            </w:pPr>
            <w:r>
              <w:rPr>
                <w:rFonts w:ascii="Arial" w:cs="Arial" w:eastAsia="Arial" w:hAnsi="Arial"/>
                <w:sz w:val="16"/>
                <w:szCs w:val="16"/>
                <w:color w:val="auto"/>
              </w:rPr>
              <w:t>Loss on sale of foreclosed real estate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Mortgage banking revenue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(6,091)</w:t>
            </w:r>
          </w:p>
        </w:tc>
      </w:tr>
      <w:tr>
        <w:trPr>
          <w:trHeight w:val="260"/>
        </w:trPr>
        <w:tc>
          <w:tcPr>
            <w:tcW w:w="8180" w:type="dxa"/>
            <w:vAlign w:val="bottom"/>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463,783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186,305</w:t>
            </w:r>
          </w:p>
        </w:tc>
      </w:tr>
      <w:tr>
        <w:trPr>
          <w:trHeight w:val="280"/>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Originations of loans held for sale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(495,586)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(209,432)</w:t>
            </w:r>
          </w:p>
        </w:tc>
      </w:tr>
      <w:tr>
        <w:trPr>
          <w:trHeight w:val="260"/>
        </w:trPr>
        <w:tc>
          <w:tcPr>
            <w:tcW w:w="8180" w:type="dxa"/>
            <w:vAlign w:val="bottom"/>
          </w:tcPr>
          <w:p>
            <w:pPr>
              <w:ind w:left="28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interest receivable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60"/>
        </w:trPr>
        <w:tc>
          <w:tcPr>
            <w:tcW w:w="8180" w:type="dxa"/>
            <w:vAlign w:val="bottom"/>
          </w:tcPr>
          <w:p>
            <w:pPr>
              <w:ind w:left="380"/>
              <w:spacing w:after="0"/>
              <w:rPr>
                <w:sz w:val="20"/>
                <w:szCs w:val="20"/>
                <w:color w:val="auto"/>
              </w:rPr>
            </w:pPr>
            <w:r>
              <w:rPr>
                <w:rFonts w:ascii="Arial" w:cs="Arial" w:eastAsia="Arial" w:hAnsi="Arial"/>
                <w:sz w:val="16"/>
                <w:szCs w:val="16"/>
                <w:color w:val="auto"/>
              </w:rPr>
              <w:t>Prepaid income taxes and taxes payable</w:t>
            </w:r>
          </w:p>
        </w:tc>
        <w:tc>
          <w:tcPr>
            <w:tcW w:w="3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80"/>
        </w:trPr>
        <w:tc>
          <w:tcPr>
            <w:tcW w:w="8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r>
      <w:tr>
        <w:trPr>
          <w:trHeight w:val="260"/>
        </w:trPr>
        <w:tc>
          <w:tcPr>
            <w:tcW w:w="8180" w:type="dxa"/>
            <w:vAlign w:val="bottom"/>
          </w:tcPr>
          <w:p>
            <w:pPr>
              <w:ind w:left="380"/>
              <w:spacing w:after="0"/>
              <w:rPr>
                <w:sz w:val="20"/>
                <w:szCs w:val="20"/>
                <w:color w:val="auto"/>
              </w:rPr>
            </w:pPr>
            <w:r>
              <w:rPr>
                <w:rFonts w:ascii="Arial" w:cs="Arial" w:eastAsia="Arial" w:hAnsi="Arial"/>
                <w:sz w:val="16"/>
                <w:szCs w:val="16"/>
                <w:color w:val="auto"/>
              </w:rPr>
              <w:t>Accrued interest payable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474</w:t>
            </w:r>
          </w:p>
        </w:tc>
      </w:tr>
      <w:tr>
        <w:trPr>
          <w:trHeight w:val="273"/>
        </w:trPr>
        <w:tc>
          <w:tcPr>
            <w:tcW w:w="8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6,695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1,357</w:t>
            </w:r>
          </w:p>
        </w:tc>
      </w:tr>
      <w:tr>
        <w:trPr>
          <w:trHeight w:val="250"/>
        </w:trPr>
        <w:tc>
          <w:tcPr>
            <w:tcW w:w="81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by operating activities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(19,697)</w:t>
            </w: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Purchases of securities available for sale</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(8,202)</w:t>
            </w:r>
          </w:p>
        </w:tc>
      </w:tr>
      <w:tr>
        <w:trPr>
          <w:trHeight w:val="260"/>
        </w:trPr>
        <w:tc>
          <w:tcPr>
            <w:tcW w:w="8180" w:type="dxa"/>
            <w:vAlign w:val="bottom"/>
          </w:tcPr>
          <w:p>
            <w:pPr>
              <w:ind w:left="160"/>
              <w:spacing w:after="0"/>
              <w:rPr>
                <w:sz w:val="20"/>
                <w:szCs w:val="20"/>
                <w:color w:val="auto"/>
              </w:rPr>
            </w:pPr>
            <w:r>
              <w:rPr>
                <w:rFonts w:ascii="Arial" w:cs="Arial" w:eastAsia="Arial" w:hAnsi="Arial"/>
                <w:sz w:val="16"/>
                <w:szCs w:val="16"/>
                <w:color w:val="auto"/>
              </w:rPr>
              <w:t>Maturities, calls and principal paydowns of securities available for sale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6,316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13,444</w:t>
            </w:r>
          </w:p>
        </w:tc>
      </w:tr>
      <w:tr>
        <w:trPr>
          <w:trHeight w:val="280"/>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sale of securities available for sale</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3,280</w:t>
            </w:r>
          </w:p>
        </w:tc>
      </w:tr>
      <w:tr>
        <w:trPr>
          <w:trHeight w:val="260"/>
        </w:trPr>
        <w:tc>
          <w:tcPr>
            <w:tcW w:w="8180" w:type="dxa"/>
            <w:vAlign w:val="bottom"/>
          </w:tcPr>
          <w:p>
            <w:pPr>
              <w:ind w:left="160"/>
              <w:spacing w:after="0"/>
              <w:rPr>
                <w:sz w:val="20"/>
                <w:szCs w:val="20"/>
                <w:color w:val="auto"/>
              </w:rPr>
            </w:pPr>
            <w:r>
              <w:rPr>
                <w:rFonts w:ascii="Arial" w:cs="Arial" w:eastAsia="Arial" w:hAnsi="Arial"/>
                <w:sz w:val="16"/>
                <w:szCs w:val="16"/>
                <w:color w:val="auto"/>
              </w:rPr>
              <w:t>Purchases of restricted investments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(1,634)</w:t>
            </w:r>
          </w:p>
        </w:tc>
      </w:tr>
      <w:tr>
        <w:trPr>
          <w:trHeight w:val="280"/>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increase in SBA-PPP loans receivable, net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(229,646)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180" w:type="dxa"/>
            <w:vAlign w:val="bottom"/>
          </w:tcPr>
          <w:p>
            <w:pPr>
              <w:ind w:left="160"/>
              <w:spacing w:after="0"/>
              <w:rPr>
                <w:sz w:val="20"/>
                <w:szCs w:val="20"/>
                <w:color w:val="auto"/>
              </w:rPr>
            </w:pPr>
            <w:r>
              <w:rPr>
                <w:rFonts w:ascii="Arial" w:cs="Arial" w:eastAsia="Arial" w:hAnsi="Arial"/>
                <w:sz w:val="16"/>
                <w:szCs w:val="16"/>
                <w:color w:val="auto"/>
              </w:rPr>
              <w:t>Net increase in portfolio loans receivable,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(41,703)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(56,272)</w:t>
            </w:r>
          </w:p>
        </w:tc>
      </w:tr>
      <w:tr>
        <w:trPr>
          <w:trHeight w:val="280"/>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disposals (purchases) of premises and equipment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r>
      <w:tr>
        <w:trPr>
          <w:trHeight w:val="263"/>
        </w:trPr>
        <w:tc>
          <w:tcPr>
            <w:tcW w:w="8180" w:type="dxa"/>
            <w:vAlign w:val="bottom"/>
          </w:tcPr>
          <w:p>
            <w:pPr>
              <w:ind w:left="160"/>
              <w:spacing w:after="0"/>
              <w:rPr>
                <w:sz w:val="20"/>
                <w:szCs w:val="20"/>
                <w:color w:val="auto"/>
              </w:rPr>
            </w:pPr>
            <w:r>
              <w:rPr>
                <w:rFonts w:ascii="Arial" w:cs="Arial" w:eastAsia="Arial" w:hAnsi="Arial"/>
                <w:sz w:val="16"/>
                <w:szCs w:val="16"/>
                <w:color w:val="auto"/>
              </w:rPr>
              <w:t>Proceeds from sales of foreclosed real estate</w:t>
            </w:r>
          </w:p>
        </w:tc>
        <w:tc>
          <w:tcPr>
            <w:tcW w:w="3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50"/>
        </w:trPr>
        <w:tc>
          <w:tcPr>
            <w:tcW w:w="81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cash used by investing activities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(265,482)</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(48,972)</w:t>
            </w: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40" w:top="298" w:right="359" w:bottom="1440" w:gutter="0" w:footer="0" w:header="0"/>
        </w:sectPr>
      </w:pPr>
    </w:p>
    <w:bookmarkStart w:id="8" w:name="page9"/>
    <w:bookmarkEnd w:id="8"/>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9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21590</wp:posOffset>
            </wp:positionV>
            <wp:extent cx="1920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6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8180" w:type="dxa"/>
            <w:vAlign w:val="bottom"/>
          </w:tcPr>
          <w:p>
            <w:pPr>
              <w:ind w:left="160"/>
              <w:spacing w:after="0"/>
              <w:rPr>
                <w:sz w:val="20"/>
                <w:szCs w:val="20"/>
                <w:color w:val="auto"/>
              </w:rPr>
            </w:pPr>
            <w:r>
              <w:rPr>
                <w:rFonts w:ascii="Arial" w:cs="Arial" w:eastAsia="Arial" w:hAnsi="Arial"/>
                <w:sz w:val="16"/>
                <w:szCs w:val="16"/>
                <w:color w:val="auto"/>
              </w:rPr>
              <w:t>Net increase (decrease) in:</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Noninterest-bearing deposits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272,218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37,225</w:t>
            </w:r>
          </w:p>
        </w:tc>
      </w:tr>
      <w:tr>
        <w:trPr>
          <w:trHeight w:val="260"/>
        </w:trPr>
        <w:tc>
          <w:tcPr>
            <w:tcW w:w="8180" w:type="dxa"/>
            <w:vAlign w:val="bottom"/>
          </w:tcPr>
          <w:p>
            <w:pPr>
              <w:ind w:left="280"/>
              <w:spacing w:after="0"/>
              <w:rPr>
                <w:sz w:val="20"/>
                <w:szCs w:val="20"/>
                <w:color w:val="auto"/>
              </w:rPr>
            </w:pPr>
            <w:r>
              <w:rPr>
                <w:rFonts w:ascii="Arial" w:cs="Arial" w:eastAsia="Arial" w:hAnsi="Arial"/>
                <w:sz w:val="16"/>
                <w:szCs w:val="16"/>
                <w:color w:val="auto"/>
              </w:rPr>
              <w:t>Interest-bearing deposits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111,087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44,539</w:t>
            </w:r>
          </w:p>
        </w:tc>
      </w:tr>
      <w:tr>
        <w:trPr>
          <w:trHeight w:val="280"/>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w:t>
            </w:r>
          </w:p>
        </w:tc>
      </w:tr>
      <w:tr>
        <w:trPr>
          <w:trHeight w:val="260"/>
        </w:trPr>
        <w:tc>
          <w:tcPr>
            <w:tcW w:w="8180" w:type="dxa"/>
            <w:vAlign w:val="bottom"/>
          </w:tcPr>
          <w:p>
            <w:pPr>
              <w:ind w:left="280"/>
              <w:spacing w:after="0"/>
              <w:rPr>
                <w:sz w:val="20"/>
                <w:szCs w:val="20"/>
                <w:color w:val="auto"/>
              </w:rPr>
            </w:pPr>
            <w:r>
              <w:rPr>
                <w:rFonts w:ascii="Arial" w:cs="Arial" w:eastAsia="Arial" w:hAnsi="Arial"/>
                <w:sz w:val="16"/>
                <w:szCs w:val="16"/>
                <w:color w:val="auto"/>
              </w:rPr>
              <w:t>Federal funds purchased</w:t>
            </w:r>
          </w:p>
        </w:tc>
        <w:tc>
          <w:tcPr>
            <w:tcW w:w="3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80"/>
        </w:trPr>
        <w:tc>
          <w:tcPr>
            <w:tcW w:w="8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Federal Home Loan Bank advances, net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36,889</w:t>
            </w:r>
          </w:p>
        </w:tc>
      </w:tr>
      <w:tr>
        <w:trPr>
          <w:trHeight w:val="260"/>
        </w:trPr>
        <w:tc>
          <w:tcPr>
            <w:tcW w:w="8180" w:type="dxa"/>
            <w:vAlign w:val="bottom"/>
          </w:tcPr>
          <w:p>
            <w:pPr>
              <w:ind w:left="280"/>
              <w:spacing w:after="0"/>
              <w:rPr>
                <w:sz w:val="20"/>
                <w:szCs w:val="20"/>
                <w:color w:val="auto"/>
              </w:rPr>
            </w:pPr>
            <w:r>
              <w:rPr>
                <w:rFonts w:ascii="Arial" w:cs="Arial" w:eastAsia="Arial" w:hAnsi="Arial"/>
                <w:sz w:val="16"/>
                <w:szCs w:val="16"/>
                <w:color w:val="auto"/>
              </w:rPr>
              <w:t>Other borrowed funds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1,955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of common stock</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81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r>
      <w:tr>
        <w:trPr>
          <w:trHeight w:val="250"/>
        </w:trPr>
        <w:tc>
          <w:tcPr>
            <w:tcW w:w="8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377,397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113,474</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84,889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44,805</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114,824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34,723</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199,713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79,528</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4"/>
        </w:trPr>
        <w:tc>
          <w:tcPr>
            <w:tcW w:w="8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93"/>
        </w:trPr>
        <w:tc>
          <w:tcPr>
            <w:tcW w:w="81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Loans transferred to foreclosed real estate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 unrealized gains on investments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2,420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779</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4"/>
        </w:trPr>
        <w:tc>
          <w:tcPr>
            <w:tcW w:w="81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Change in fair value of cash flow hedging derivative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Establishment of lease right-of-use asset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5,158</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3"/>
        </w:trPr>
        <w:tc>
          <w:tcPr>
            <w:tcW w:w="8180" w:type="dxa"/>
            <w:vAlign w:val="bottom"/>
          </w:tcPr>
          <w:p>
            <w:pPr>
              <w:ind w:left="160"/>
              <w:spacing w:after="0"/>
              <w:rPr>
                <w:sz w:val="20"/>
                <w:szCs w:val="20"/>
                <w:color w:val="auto"/>
              </w:rPr>
            </w:pPr>
            <w:r>
              <w:rPr>
                <w:rFonts w:ascii="Arial" w:cs="Arial" w:eastAsia="Arial" w:hAnsi="Arial"/>
                <w:sz w:val="16"/>
                <w:szCs w:val="16"/>
                <w:color w:val="auto"/>
              </w:rPr>
              <w:t>Establishment of lease liability</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5,358</w:t>
            </w:r>
          </w:p>
        </w:tc>
      </w:tr>
      <w:tr>
        <w:trPr>
          <w:trHeight w:val="254"/>
        </w:trPr>
        <w:tc>
          <w:tcPr>
            <w:tcW w:w="81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r>
      <w:tr>
        <w:trPr>
          <w:trHeight w:val="26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3"/>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Taxes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tcPr>
          <w:p>
            <w:pPr>
              <w:ind w:left="16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7,950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6,858</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40" w:top="298"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671830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24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Capital Bancorp, Inc. is a Maryland corporation and bank holding company (the “Company”) for Capital Bank, N.A. (the “Bank”). The Company's primary operations are conducted by the Bank, which operates branches in Rockville, Columbia and North Bethesda,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our residential mortgage banking arm, and issues credit cards through OpenSky</w:t>
      </w:r>
      <w:r>
        <w:rPr>
          <w:rFonts w:ascii="Arial" w:cs="Arial" w:eastAsia="Arial" w:hAnsi="Arial"/>
          <w:sz w:val="21"/>
          <w:szCs w:val="21"/>
          <w:color w:val="auto"/>
          <w:vertAlign w:val="superscript"/>
        </w:rPr>
        <w:t>®</w:t>
      </w:r>
      <w:r>
        <w:rPr>
          <w:rFonts w:ascii="Arial" w:cs="Arial" w:eastAsia="Arial" w:hAnsi="Arial"/>
          <w:sz w:val="18"/>
          <w:szCs w:val="18"/>
          <w:color w:val="auto"/>
        </w:rPr>
        <w:t>, a secured, digitally-driven nationwide credit card platform.</w:t>
      </w:r>
    </w:p>
    <w:p>
      <w:pPr>
        <w:spacing w:after="0" w:line="21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four business segments.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Risks and Uncertainties</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novel coronavirus (“COVID-19”) spread rapidly across the world in the first quarter of 2020 and was declared a pandemic by the World Health Organization. In March 2020, the government and private sector responses to contain its spread began to significantly affect operations and continue to do so through the current period. It is likely operations will continue to be adversely affected, although such effects may vary significantly. The duration and extent of the effects over longer terms cannot be reasonably estimated at this time. The risks and uncertainties resulting from the pandemic which are most likely to affect future earnings, cash flows and financial condition in future quarters primarily include the nature and duration of the financial effects felt by our customers and the concomitant impact on the customers' ability to fulfill their financial obligations to the Company; as well as the potential decline of real estate values resulting from market disruption which may impair the values of collateral-dependent loans. Accordingly, estimates used in the preparation of the financial statements may be subject to significant adjustments in future periods. The greater the duration and severity of the pandemic, the more likely that estimates will be materially impacted by its effects.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Significant Accounting Policies:</w:t>
      </w:r>
    </w:p>
    <w:p>
      <w:pPr>
        <w:spacing w:after="0" w:line="24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w:t>
      </w:r>
    </w:p>
    <w:p>
      <w:pPr>
        <w:sectPr>
          <w:pgSz w:w="11900" w:h="16838" w:orient="portrait"/>
          <w:cols w:equalWidth="0" w:num="1">
            <w:col w:w="11240"/>
          </w:cols>
          <w:pgMar w:left="320" w:top="27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271" w:right="3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disclosures of contingent assets and liabilities. The primary reference point for the estimates is historical experience and assumptions believed to be reasonable regarding the carrying value of certain assets and liabilities that are not readily available from other sources. Estimates are evaluated on an ongoing basis. Actual results may materially differ from these estimates under different assumptions or conditions.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financial institutions, interest bearing deposits with financial institutions and federal funds sold. Generally, federal funds are sold for one-day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are charged to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and, therefore, it has no servicing rights recorded for the value of such servicing. Interest on loans held for sale is credited to income based on the principal amounts outstanding.</w:t>
      </w:r>
    </w:p>
    <w:p>
      <w:pPr>
        <w:spacing w:after="0" w:line="205"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21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elected to measure loans held for sale at fair value to better align reported results with the underlying economic changes in value of the loans on the Company’s balance sheet.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Small Business Administration Paycheck Protection Program</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Small Business Administration Paycheck Protection Program (“SBA-PPP”) is one of the centerpieces of the Coronavirus Aid Relief and Economic Security Act (the “CARES Act”), which was passed on March 27, 2020 in response to the outbreak of coronavirus (“COVID-19”) and was supplemented with subsequent legislation. Overseen by the United States (“U.S.”) Treasury Department, the SBA-PPP offers cash-flow assistance to nonprofit and small business employers through guaranteed loans for expenses incurred between February 15, 2020, and August 8, 2020. Borrowers are eligible for forgiveness of principal and accrued interest on SBA-PPP loans to the extent that the proceeds are used to cover eligible payroll costs,</w:t>
      </w: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30" w:right="339" w:bottom="1440" w:gutter="0" w:footer="0" w:header="0"/>
        </w:sectPr>
      </w:pPr>
    </w:p>
    <w:bookmarkStart w:id="11" w:name="page12"/>
    <w:bookmarkEnd w:id="11"/>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costs, rent, and utility costs over a period between eight and 24-weeks after the loan is made as long as the borrower retains its employees and their compensation levels. The CARES Act authorized the SBA to fully guarantee these loans.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adjustment to yield using the effective interest method. SBA-PPP loans receivable as of June 30, 2020 totaled $236.3 million with $6.7 million in unearned fees and generated $1.0 million of interest income during the second quarter of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Loans and the Allowance for Loan Losses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Loans are stated at the principal amount outstanding, adjusted for deferred origination fees and costs, discounts on loans acquired, and the allowance for loan losses. Interest is accrued based on the loan principal balances and stated interest rates. Origination fees and costs are recognized as an adjustment to the related loan yield using approximate interest methods. The Company discontinues the accrual of interest when any portion of the principal and interest is 90 days past due and collateral is insufficient to discharge the debt in full. Generally, interest payments on nonaccrual loans are recorded as a reduction of the principal balance.</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(“TDR”) status. If collection of principal is evaluated as doubtful, all payments are applied to principal. A modification of a loan is considered a TDR when a borrower is experiencing financial difficulty and the modification constitutes a concession. The Company may consider interest rate reductions, changes to payment terms, extensions of maturities and/or principal reductions.</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projected beyond reasonable time frames, client bankruptcy and lack of assets, and/or collateral deficiencies.</w:t>
      </w:r>
    </w:p>
    <w:p>
      <w:pPr>
        <w:spacing w:after="0" w:line="2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with qualitative factors such as: trends in volume and terms of loans; levels of, and trends in, delinquencies and non-accruals; effects of any changes in lending policies, experience, ability and depth of management; national and local economic trends and conditions (with a specific evaluation of COVID-19 impact); commitments and concentrations of credit; changes in the quality of the Company’s loan review system; and the volume of loans with identified incomplete financial documentation. Actual loan performance may differ materially from those estimates. A loss is recognized as a charge to the allowance when management believes that collection of the loan is unlikely. Collections of loans previously charged off are added to the allowance at the time of recovery.</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determines the allowance for loan losses based on the accumulation of various components that are calculated independently in accordance with Financial Accounting Standards Board (“FASB”) Accounting Standards Codification (“ASC”) 450 for pools of loans, and ASC 310 for TDRs and for</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30" w:right="339" w:bottom="1440" w:gutter="0" w:footer="0" w:header="0"/>
        </w:sectPr>
      </w:pPr>
    </w:p>
    <w:bookmarkStart w:id="12" w:name="page13"/>
    <w:bookmarkEnd w:id="1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individually evaluated loans. The process for determining an appropriate allowance for loan losses is based on a comprehensive and consistently applied analysis of the loan portfolio. The analysis considers all significant factors that affect the collectibility of the portfolio and supports the credit losses estimated by this process. It is important to recognize that the related process, methodology, and underlying assumptions require a substantial degree of judgment. Additional disclosure on the allowance for loan losses, qualitative factors, and the potential COVID-19 impact can be found in Part II, Item 1A - Risk Factors and </w:t>
      </w:r>
      <w:r>
        <w:rPr>
          <w:rFonts w:ascii="Arial" w:cs="Arial" w:eastAsia="Arial" w:hAnsi="Arial"/>
          <w:sz w:val="18"/>
          <w:szCs w:val="18"/>
          <w:i w:val="1"/>
          <w:iCs w:val="1"/>
          <w:color w:val="auto"/>
        </w:rPr>
        <w:t>Note 5 - Portfolio Loans Receivable</w:t>
      </w:r>
      <w:r>
        <w:rPr>
          <w:rFonts w:ascii="Arial" w:cs="Arial" w:eastAsia="Arial" w:hAnsi="Arial"/>
          <w:sz w:val="18"/>
          <w:szCs w:val="18"/>
          <w:color w:val="auto"/>
        </w:rPr>
        <w:t>.</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allowance for loan losses for SBA-PPP loans were separately evaluated given the explicit government guarantee. This analysis, which incorporated historical experience with similar SBA guarantees and underwriting, concluded the likelihood of loss was remote and therefore no allowance for loan losses was assigned to these loans.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Premises and equipment are stated at cost less accumulated depreciation and amortization over two to seven years. Depreciation and amortization are computed using the straight-line method over the estimated useful lives of the related property. Leasehold improvements are amortized over the estimated useful lives of the improvements, approximately ten years, or the term of the lease, whichever is less. Expenditures for maintenance, repairs, and minor replacements are charged to noninterest expenses as incurred.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During the first quarter of 2019, 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ASU 2016-02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Company is largely accounting for existing operating leases consistent with prior guidance except for the incremental balance sheet recognition for leases. The adoption of this standard resulted in the Company recognizing lease right-of-use assets and related lease liabilities totaling $5.5 million and $5.6 million, respectively, as of January 1, 2019. The difference between the lease assets and the lease liabilities was $146 thousand of deferred rent, which was reclassified to lease liabilities, and the remainder was recorded as an adjustment to retained earnings in the amount of $54 thousand. The adoption of this ASU did not have a significant impact on the Company’s consolidated statement of income. Additional information is included in </w:t>
      </w:r>
      <w:r>
        <w:rPr>
          <w:rFonts w:ascii="Arial" w:cs="Arial" w:eastAsia="Arial" w:hAnsi="Arial"/>
          <w:sz w:val="18"/>
          <w:szCs w:val="18"/>
          <w:i w:val="1"/>
          <w:iCs w:val="1"/>
          <w:color w:val="auto"/>
        </w:rPr>
        <w:t>Note 7 - Leases</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w:t>
      </w: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30" w:right="339" w:bottom="1440" w:gutter="0" w:footer="0" w:header="0"/>
        </w:sectPr>
      </w:pPr>
    </w:p>
    <w:bookmarkStart w:id="13" w:name="page14"/>
    <w:bookmarkEnd w:id="1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8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ASC 815-10,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Derivative Instruments and Hedging Activities</w:t>
      </w:r>
      <w:r>
        <w:rPr>
          <w:rFonts w:ascii="Arial" w:cs="Arial" w:eastAsia="Arial" w:hAnsi="Arial"/>
          <w:sz w:val="18"/>
          <w:szCs w:val="18"/>
          <w:color w:val="auto"/>
        </w:rPr>
        <w:t>, as amended. The Company recognizes all derivatives as either assets or liabilities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w:t>
      </w:r>
      <w:r>
        <w:rPr>
          <w:rFonts w:ascii="Arial" w:cs="Arial" w:eastAsia="Arial" w:hAnsi="Arial"/>
          <w:sz w:val="18"/>
          <w:szCs w:val="18"/>
          <w:i w:val="1"/>
          <w:iCs w:val="1"/>
          <w:color w:val="auto"/>
        </w:rPr>
        <w:t>Note 8 - Fair Value</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per share:</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 income by</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30" w:right="339" w:bottom="1440" w:gutter="0" w:footer="0" w:header="0"/>
        </w:sectPr>
      </w:pPr>
    </w:p>
    <w:bookmarkStart w:id="14" w:name="page15"/>
    <w:bookmarkEnd w:id="1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weighted average number of common shares outstanding, adjusted for the dilutive effect of stock options and restricted stock using the treasury stock method. At June 30, 2020 and 2019, there were 512,142 and 273,600 stock options, respectively, that were not included in the calculation as their effect would have been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24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only component of other comprehensive income is unrealized gains and losses on investment securities available for sale, net of income taxes. Information concerning the Company's accumulated other comprehensive income as of June 30, 2020 and December 31, 2019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June 30, 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December 31, 2019</w:t>
            </w:r>
          </w:p>
        </w:tc>
      </w:tr>
      <w:tr>
        <w:trPr>
          <w:trHeight w:val="257"/>
        </w:trPr>
        <w:tc>
          <w:tcPr>
            <w:tcW w:w="6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Unrealized gains on securities available for sale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63"/>
        </w:trPr>
        <w:tc>
          <w:tcPr>
            <w:tcW w:w="6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Deferred tax expense</w:t>
            </w: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4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accumulated comprehensive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accounting pronouncements: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June 2016, the FASB issued guidance to change the accounting for credit losses and modify the impairment model for certain debt securities. The FASB subsequently revised ASU 2019-10, which delayed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 reserve for credit losses. The Company is continuing to evaluate the extent of the potential impact and expects that portfolio composition and economic conditions at the time of adoption will be a factor.</w:t>
      </w:r>
    </w:p>
    <w:p>
      <w:pPr>
        <w:spacing w:after="0" w:line="2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November 2019, the FASB issued guidance to defer the effective dates for private companies, not-for-profit organizations, and certain smaller reporting companies applying standards on current expected loan losses (“CECL”). The new effective dates will be fiscal years beginning after December 15, 2022 including interim periods within those fiscal years. In addition, the FASB issued guidance that addresses issues raised by stakeholders during the implementation of ASU 2016-13, “Financial Instruments-loan losses (Topic 326): Measurement of Loan Losses on Financial Instruments.” The amendments affect a variety of Topics in the Accounting Standards Codification. For entities that have not yet adopted the amendments in ASU 2016-13, the amendments are effective for fiscal years beginning after December 15, 2022 including interim periods within those fiscal years. Early adoption is permitted in any interim period as long as an entity has adopted the amendments in ASU 2016-13. While the Company does not expect these amendments to have a material effect on its financial statements, the Company is continuing to evaluate the extent of the potential impact and expects that portfolio composition and economic conditions at the time of adoption will be a factor.</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will apply the ASU through a cumulative-effect adjustment to beginning retained earnings in the year of adoption. While early adoption has been permitted since first quarter 2019, the Company does not expect to early adopt. In addition to the allowance for loan losses, the Company will also record an allowance for credit losses on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30" w:right="339" w:bottom="1440" w:gutter="0" w:footer="0" w:header="0"/>
        </w:sectPr>
      </w:pPr>
    </w:p>
    <w:bookmarkStart w:id="15" w:name="page16"/>
    <w:bookmarkEnd w:id="1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April 2019, the FASB issued codification improvements to ASU Topic 326 - Financial Instruments - Credit Loss, Topic 815 - Derivatives and Hedging, and Subtopic 825-10 - Financial Instruments. This codification provides technical corrections and clarifies issues related to fair value hedges. The Company early adopted this guidance upon issuance, and it did not have a material impact on the Company’s consolidated financial statements.</w:t>
      </w:r>
    </w:p>
    <w:p>
      <w:pPr>
        <w:spacing w:after="0" w:line="2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2019, the FASB issued guidance to simplify accounting for income taxes by removing specific technical exceptions that often produce information investors have a hard time understanding. The amendments also improve consistent application of and simplify GAAP for other areas of Topic 740 by clarifying and amending existing guidance. The amendments are effective for fiscal years beginning after December 15, 2020, including interim periods within those fiscal years. Early adoption is permitted. The Company does not expect these amendments to have a material effect on its financial statements.</w:t>
      </w:r>
    </w:p>
    <w:p>
      <w:pPr>
        <w:spacing w:after="0" w:line="2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the London Interbank Offered Rate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the ability to elect its temporary optional expedients and exceptions are effective for the Company as of March 12, 2020 through December 31, 2022. The adoption of ASU 2020-04 Topic 848 is not expected to have a material impact on the financial statements.</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March 2020, various regulatory agencies, including the Board of Governors of the Federal Reserve System and the Federal Deposit Insurance Corporation, (“agencies”) issued an interagency statement on loan modifications and reporting for financial institutions working with customers affected by COVID-19. The interagency statement was effective immediately and impacted accounting for loan modifications. Under ASC 310-40, “Receivables - Troubled Debt Restructurings by Creditors,” a restructuring of debt constitutes a TDR if the creditor, for economic or legal reasons related to the debtor’s financial difficulties, grants a concession to the debtor that it would not otherwise consider. The agencies confirmed with the FASB that short-term modifications made on a good faith basis in response to COVID-19 to borrowers who were current prior to any relief, are not to be considered TDRs. Such modifications include short-term (e.g., six months) modifications that include payment deferrals of (i) principal and interest, (ii) interest only and (iii) principal only, fee waivers, extensions of repayment terms, or other delays in payment that are deemed insignificant. Borrowers considered current are those that are less than 30 days past due on their contractual payments at the time a modification program is implemented. As of June 30, 2020, the Company has offered payment deferrals for commercial and consumer customers for up to six months. The loan modifications offered to borrowers provided the borrower with payment relief in the form of reduced or deferred payments for up to 90 days (six months in selected instances) during which time interest is continuing to accrue.</w:t>
      </w:r>
    </w:p>
    <w:p>
      <w:pPr>
        <w:spacing w:after="0" w:line="21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interagency guidance may have a material impact on the Company’s financial statements; however, this impact cannot be quantified at this time. Other accounting standards that have been issued or proposed by the FASB or other standards-setting bodies are not expected to have a material impact on the Company's financial position, results of operations or cash flows.</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30" w:right="339" w:bottom="1440" w:gutter="0" w:footer="0" w:header="0"/>
        </w:sectPr>
      </w:pPr>
    </w:p>
    <w:bookmarkStart w:id="16" w:name="page17"/>
    <w:bookmarkEnd w:id="1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Certain reclassifications have been made to amounts reported in prior periods to conform to the current period presentation. The reclassifications had no material effect on net income or total stockholders' equity.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through the date the financial statements were available to be issued and no subsequent events occurred requiring accrual or disclosure.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Cash and cash equivalents include cash and amounts due from banks, interest bearing deposits and federal funds sold. The Bank is required by regulations to maintain an average cash reserve balance based on a percentage of deposits. At June 30, 2020 and December 31, 2019, the requirements were satisfied by amounts on deposit with the Federal Reserve Bank and cash on hand.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4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amortized cost and estimated fair value of investment securities at June 30, 2020 and December 31, 2019 are summarized as follows:</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Investment Securities Available for Sale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0" w:type="dxa"/>
            <w:vAlign w:val="bottom"/>
          </w:tcPr>
          <w:p>
            <w:pPr>
              <w:spacing w:after="0"/>
              <w:rPr>
                <w:sz w:val="11"/>
                <w:szCs w:val="11"/>
                <w:color w:val="auto"/>
              </w:rPr>
            </w:pPr>
          </w:p>
        </w:tc>
        <w:tc>
          <w:tcPr>
            <w:tcW w:w="458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Fair</w:t>
            </w:r>
          </w:p>
        </w:tc>
      </w:tr>
      <w:tr>
        <w:trPr>
          <w:trHeight w:val="162"/>
        </w:trPr>
        <w:tc>
          <w:tcPr>
            <w:tcW w:w="40" w:type="dxa"/>
            <w:vAlign w:val="bottom"/>
          </w:tcPr>
          <w:p>
            <w:pPr>
              <w:spacing w:after="0"/>
              <w:rPr>
                <w:sz w:val="14"/>
                <w:szCs w:val="14"/>
                <w:color w:val="auto"/>
              </w:rPr>
            </w:pPr>
          </w:p>
        </w:tc>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Gains</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08"/>
              <w:spacing w:after="0"/>
              <w:rPr>
                <w:sz w:val="20"/>
                <w:szCs w:val="20"/>
                <w:color w:val="auto"/>
              </w:rPr>
            </w:pPr>
            <w:r>
              <w:rPr>
                <w:rFonts w:ascii="Arial" w:cs="Arial" w:eastAsia="Arial" w:hAnsi="Arial"/>
                <w:sz w:val="14"/>
                <w:szCs w:val="14"/>
                <w:b w:val="1"/>
                <w:bCs w:val="1"/>
                <w:color w:val="auto"/>
              </w:rPr>
              <w:t>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Available for sale</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Municipal</w:t>
            </w:r>
          </w:p>
        </w:tc>
        <w:tc>
          <w:tcPr>
            <w:tcW w:w="2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543</w:t>
            </w: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Corporate</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2,237</w:t>
            </w:r>
          </w:p>
        </w:tc>
      </w:tr>
      <w:tr>
        <w:trPr>
          <w:trHeight w:val="264"/>
        </w:trPr>
        <w:tc>
          <w:tcPr>
            <w:tcW w:w="40" w:type="dxa"/>
            <w:vAlign w:val="bottom"/>
          </w:tcPr>
          <w:p>
            <w:pPr>
              <w:spacing w:after="0"/>
              <w:rPr>
                <w:sz w:val="22"/>
                <w:szCs w:val="22"/>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Mortgage-backed securities</w:t>
            </w:r>
          </w:p>
        </w:tc>
        <w:tc>
          <w:tcPr>
            <w:tcW w:w="2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51,585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b w:val="1"/>
                <w:bCs w:val="1"/>
                <w:color w:val="auto"/>
              </w:rPr>
              <w:t>2,431</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54,016</w:t>
            </w: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54,358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56,796</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3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i w:val="1"/>
                <w:iCs w:val="1"/>
                <w:color w:val="auto"/>
              </w:rPr>
              <w:t>Available for sale</w:t>
            </w: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U.S. government-sponsored enterprises</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w:t>
            </w:r>
          </w:p>
        </w:tc>
      </w:tr>
      <w:tr>
        <w:trPr>
          <w:trHeight w:val="264"/>
        </w:trPr>
        <w:tc>
          <w:tcPr>
            <w:tcW w:w="40" w:type="dxa"/>
            <w:vAlign w:val="bottom"/>
          </w:tcPr>
          <w:p>
            <w:pPr>
              <w:spacing w:after="0"/>
              <w:rPr>
                <w:sz w:val="22"/>
                <w:szCs w:val="22"/>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Municipal</w:t>
            </w:r>
          </w:p>
        </w:tc>
        <w:tc>
          <w:tcPr>
            <w:tcW w:w="2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528</w:t>
            </w: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Corporate</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2,565</w:t>
            </w: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Mortgage-backed securities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56,754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(135)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56,736</w:t>
            </w: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60,811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60,828</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securities sold during the six months ended June 30, 2020. Proceeds from sales of securities sold during the six months ended June 30, 2019 were $3.3 million. The investment sales resulted in realized gains of $26 thousand for the three and six months ended June 30, 2019.</w:t>
      </w:r>
    </w:p>
    <w:p>
      <w:pPr>
        <w:sectPr>
          <w:pgSz w:w="11900" w:h="16838" w:orient="portrait"/>
          <w:cols w:equalWidth="0" w:num="1">
            <w:col w:w="11240"/>
          </w:cols>
          <w:pgMar w:left="320" w:top="73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730" w:right="339" w:bottom="1440" w:gutter="0" w:footer="0" w:header="0"/>
          <w:type w:val="continuous"/>
        </w:sectPr>
      </w:pPr>
    </w:p>
    <w:bookmarkStart w:id="17" w:name="page18"/>
    <w:bookmarkEnd w:id="1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7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Information related to unrealized losses in the investment portfolio as of June 30, 2020 and December 31, 2019 is summarized as follows:</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center"/>
              <w:ind w:right="88"/>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Unrealized</w:t>
            </w:r>
          </w:p>
        </w:tc>
      </w:tr>
      <w:tr>
        <w:trPr>
          <w:trHeight w:val="162"/>
        </w:trPr>
        <w:tc>
          <w:tcPr>
            <w:tcW w:w="4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Losses</w:t>
            </w: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rPr>
              <w:t>Losses</w:t>
            </w:r>
          </w:p>
        </w:tc>
      </w:tr>
      <w:tr>
        <w:trPr>
          <w:trHeight w:val="20"/>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tcPr>
          <w:p>
            <w:pPr>
              <w:spacing w:after="0"/>
              <w:rPr>
                <w:sz w:val="21"/>
                <w:szCs w:val="21"/>
                <w:color w:val="auto"/>
              </w:rPr>
            </w:pPr>
          </w:p>
        </w:tc>
        <w:tc>
          <w:tcPr>
            <w:tcW w:w="39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Corporate</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993</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w:t>
            </w:r>
          </w:p>
        </w:tc>
      </w:tr>
      <w:tr>
        <w:trPr>
          <w:trHeight w:val="243"/>
        </w:trPr>
        <w:tc>
          <w:tcPr>
            <w:tcW w:w="40" w:type="dxa"/>
            <w:vAlign w:val="bottom"/>
            <w:shd w:val="clear" w:color="auto" w:fill="CCEEFF"/>
          </w:tcPr>
          <w:p>
            <w:pPr>
              <w:spacing w:after="0"/>
              <w:rPr>
                <w:sz w:val="21"/>
                <w:szCs w:val="21"/>
                <w:color w:val="auto"/>
              </w:rPr>
            </w:pPr>
          </w:p>
        </w:tc>
        <w:tc>
          <w:tcPr>
            <w:tcW w:w="39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1,216</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2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U.S. government-sponsored enterprises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3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40" w:type="dxa"/>
            <w:vAlign w:val="bottom"/>
            <w:shd w:val="clear" w:color="auto" w:fill="CCEEFF"/>
          </w:tcPr>
          <w:p>
            <w:pPr>
              <w:spacing w:after="0"/>
              <w:rPr>
                <w:sz w:val="24"/>
                <w:szCs w:val="24"/>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w:t>
            </w: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64"/>
        </w:trPr>
        <w:tc>
          <w:tcPr>
            <w:tcW w:w="40" w:type="dxa"/>
            <w:vAlign w:val="bottom"/>
            <w:tcBorders>
              <w:bottom w:val="single" w:sz="8" w:color="CCEEFF"/>
            </w:tcBorders>
          </w:tcPr>
          <w:p>
            <w:pPr>
              <w:spacing w:after="0"/>
              <w:rPr>
                <w:sz w:val="22"/>
                <w:szCs w:val="22"/>
                <w:color w:val="auto"/>
              </w:rPr>
            </w:pPr>
          </w:p>
        </w:tc>
        <w:tc>
          <w:tcPr>
            <w:tcW w:w="39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21,487</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26,733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42"/>
        </w:trPr>
        <w:tc>
          <w:tcPr>
            <w:tcW w:w="40" w:type="dxa"/>
            <w:vAlign w:val="bottom"/>
            <w:shd w:val="clear" w:color="auto" w:fill="CCEEFF"/>
          </w:tcPr>
          <w:p>
            <w:pPr>
              <w:spacing w:after="0"/>
              <w:rPr>
                <w:sz w:val="21"/>
                <w:szCs w:val="21"/>
                <w:color w:val="auto"/>
              </w:rPr>
            </w:pPr>
          </w:p>
        </w:tc>
        <w:tc>
          <w:tcPr>
            <w:tcW w:w="39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21,487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28,251</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June 30, 2020, there was one corporate security that had been in an unrealized loss position for greater than twelve months. At December 31, 2019, there was one U.S. government-sponsored enterprises security, two corporate securities, and four mortgage-backed securities that had been in a loss position for greater than twelve months. Management believes that the unrealized loss at June 30, 2020 resulted from changes in the interest rates and current market conditions and not as a result of credit deterioration. Management has the ability and the intent to hold these investment securities until maturity or until they recover in value.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pledged securities at June 30, 2020 and December 31, 2019 is shown below:</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Pledged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420" w:type="dxa"/>
            <w:vAlign w:val="bottom"/>
          </w:tcPr>
          <w:p>
            <w:pPr>
              <w:spacing w:after="0"/>
              <w:rPr>
                <w:sz w:val="15"/>
                <w:szCs w:val="15"/>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5"/>
                <w:szCs w:val="15"/>
                <w:color w:val="auto"/>
              </w:rPr>
            </w:pPr>
          </w:p>
        </w:tc>
        <w:tc>
          <w:tcPr>
            <w:tcW w:w="960" w:type="dxa"/>
            <w:vAlign w:val="bottom"/>
          </w:tcPr>
          <w:p>
            <w:pPr>
              <w:jc w:val="center"/>
              <w:ind w:right="188"/>
              <w:spacing w:after="0"/>
              <w:rPr>
                <w:sz w:val="20"/>
                <w:szCs w:val="20"/>
                <w:color w:val="auto"/>
              </w:rPr>
            </w:pPr>
            <w:r>
              <w:rPr>
                <w:rFonts w:ascii="Arial" w:cs="Arial" w:eastAsia="Arial" w:hAnsi="Arial"/>
                <w:sz w:val="14"/>
                <w:szCs w:val="14"/>
                <w:b w:val="1"/>
                <w:bCs w:val="1"/>
                <w:color w:val="auto"/>
              </w:rPr>
              <w:t>Fair</w:t>
            </w:r>
          </w:p>
        </w:tc>
      </w:tr>
      <w:tr>
        <w:trPr>
          <w:trHeight w:val="19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Value</w:t>
            </w:r>
          </w:p>
        </w:tc>
      </w:tr>
      <w:tr>
        <w:trPr>
          <w:trHeight w:val="243"/>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Federal Home Loan Bank</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52,098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1,522</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Contractual maturities of U.S. government-sponsored enterprises, municipals and corporate securities at June 30, 2020 and December 31, 2019 are shown below. Actual maturities will differ from contractual maturities because borrowers may have the right to call or prepay obligations with or without call premiums or prepayment penalties.</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Contractual Maturities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w:t>
            </w:r>
          </w:p>
        </w:tc>
        <w:tc>
          <w:tcPr>
            <w:tcW w:w="42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980" w:type="dxa"/>
            <w:vAlign w:val="bottom"/>
            <w:gridSpan w:val="2"/>
          </w:tcPr>
          <w:p>
            <w:pPr>
              <w:ind w:left="40"/>
              <w:spacing w:after="0"/>
              <w:rPr>
                <w:sz w:val="20"/>
                <w:szCs w:val="20"/>
                <w:color w:val="auto"/>
              </w:rPr>
            </w:pPr>
            <w:r>
              <w:rPr>
                <w:rFonts w:ascii="Arial" w:cs="Arial" w:eastAsia="Arial" w:hAnsi="Arial"/>
                <w:sz w:val="14"/>
                <w:szCs w:val="14"/>
                <w:color w:val="auto"/>
              </w:rPr>
              <w:t>Within one year</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21"/>
                <w:szCs w:val="21"/>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276"/>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Over one to five years</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980" w:type="dxa"/>
            <w:vAlign w:val="bottom"/>
            <w:gridSpan w:val="2"/>
          </w:tcPr>
          <w:p>
            <w:pPr>
              <w:ind w:left="40"/>
              <w:spacing w:after="0"/>
              <w:rPr>
                <w:sz w:val="20"/>
                <w:szCs w:val="20"/>
                <w:color w:val="auto"/>
              </w:rPr>
            </w:pPr>
            <w:r>
              <w:rPr>
                <w:rFonts w:ascii="Arial" w:cs="Arial" w:eastAsia="Arial" w:hAnsi="Arial"/>
                <w:sz w:val="14"/>
                <w:szCs w:val="14"/>
                <w:color w:val="auto"/>
              </w:rPr>
              <w:t>Over five to ten years</w:t>
            </w:r>
          </w:p>
        </w:tc>
        <w:tc>
          <w:tcPr>
            <w:tcW w:w="1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276"/>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Over ten years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773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Mortgage-backed securities</w:t>
            </w:r>
            <w:r>
              <w:rPr>
                <w:rFonts w:ascii="Arial" w:cs="Arial" w:eastAsia="Arial" w:hAnsi="Arial"/>
                <w:sz w:val="17"/>
                <w:szCs w:val="17"/>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51,585</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54,016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56,754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56,736</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54,358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56,796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60,811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60,828</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7"/>
          <w:szCs w:val="7"/>
          <w:color w:val="auto"/>
        </w:rPr>
      </w:pPr>
      <w:r>
        <w:rPr>
          <w:rFonts w:ascii="Arial" w:cs="Arial" w:eastAsia="Arial" w:hAnsi="Arial"/>
          <w:sz w:val="11"/>
          <w:szCs w:val="11"/>
          <w:color w:val="auto"/>
        </w:rPr>
        <w:t>Mortgage-backed securities contractually repay in monthly installments.</w:t>
      </w:r>
    </w:p>
    <w:p>
      <w:pPr>
        <w:sectPr>
          <w:pgSz w:w="11900" w:h="16838" w:orient="portrait"/>
          <w:cols w:equalWidth="0" w:num="1">
            <w:col w:w="11240"/>
          </w:cols>
          <w:pgMar w:left="320" w:top="730"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730" w:right="33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67722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2275"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7722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SBA-PPP Loans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Coronavirus Aid, Relief, and Economic Security Act (“CARES Act”), the Small Business Administration’s Paycheck Protection Program provides forgivable loans to small businesses to enable them to maintain payroll, hire back employees who have been laid off, and cover applicable overhead. SBA-PPP loans have an interest rate of 1%, have 2 and 5 year terms, and carry a 100% guarantee of the SBA.</w:t>
      </w:r>
    </w:p>
    <w:p>
      <w:pPr>
        <w:spacing w:after="0" w:line="20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allowance for loan losses for SBA-PPP loans was separately evaluated given the explicit government guarantee. This analysis, which incorporated historical experience with similar SBA guarantees and underwriting, concluded the likelihood of loss was remote and therefore no allowance for loan losses was assigned to these loans.</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June 30, 2020, SBA-PPP loans receivable, which total $236.3 million, are all rated as pass credits, not past due, nonaccrual, TDR, or otherwise impaired. Unearned net fees associated with the SBA-PPP loans amount to $6.7 million. There were no outstanding commitments to extend additional SBA-PPP loans at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classifications of portfolio loans as are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Portfolio Loan Categories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20" w:type="dxa"/>
            <w:vAlign w:val="bottom"/>
          </w:tcPr>
          <w:p>
            <w:pPr>
              <w:spacing w:after="0"/>
              <w:rPr>
                <w:sz w:val="17"/>
                <w:szCs w:val="17"/>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7"/>
                <w:szCs w:val="17"/>
                <w:color w:val="auto"/>
              </w:rPr>
            </w:pPr>
          </w:p>
        </w:tc>
        <w:tc>
          <w:tcPr>
            <w:tcW w:w="1760" w:type="dxa"/>
            <w:vAlign w:val="bottom"/>
          </w:tcPr>
          <w:p>
            <w:pPr>
              <w:jc w:val="right"/>
              <w:ind w:right="280"/>
              <w:spacing w:after="0"/>
              <w:rPr>
                <w:sz w:val="20"/>
                <w:szCs w:val="20"/>
                <w:color w:val="auto"/>
              </w:rPr>
            </w:pPr>
            <w:r>
              <w:rPr>
                <w:rFonts w:ascii="Arial" w:cs="Arial" w:eastAsia="Arial" w:hAnsi="Arial"/>
                <w:sz w:val="14"/>
                <w:szCs w:val="14"/>
                <w:b w:val="1"/>
                <w:bCs w:val="1"/>
                <w:color w:val="auto"/>
              </w:rPr>
              <w:t>December 31, 2019</w:t>
            </w:r>
          </w:p>
        </w:tc>
      </w:tr>
      <w:tr>
        <w:trPr>
          <w:trHeight w:val="260"/>
        </w:trPr>
        <w:tc>
          <w:tcPr>
            <w:tcW w:w="70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32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r>
      <w:tr>
        <w:trPr>
          <w:trHeight w:val="280"/>
        </w:trPr>
        <w:tc>
          <w:tcPr>
            <w:tcW w:w="7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6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437,429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427,926</w:t>
            </w:r>
          </w:p>
        </w:tc>
      </w:tr>
      <w:tr>
        <w:trPr>
          <w:trHeight w:val="260"/>
        </w:trPr>
        <w:tc>
          <w:tcPr>
            <w:tcW w:w="70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320" w:type="dxa"/>
            <w:vAlign w:val="bottom"/>
          </w:tcPr>
          <w:p>
            <w:pPr>
              <w:spacing w:after="0"/>
              <w:rPr>
                <w:sz w:val="22"/>
                <w:szCs w:val="22"/>
                <w:color w:val="auto"/>
              </w:rPr>
            </w:pPr>
          </w:p>
        </w:tc>
        <w:tc>
          <w:tcPr>
            <w:tcW w:w="1680" w:type="dxa"/>
            <w:vAlign w:val="bottom"/>
          </w:tcPr>
          <w:p>
            <w:pPr>
              <w:jc w:val="right"/>
              <w:ind w:right="20"/>
              <w:spacing w:after="0"/>
              <w:rPr>
                <w:sz w:val="20"/>
                <w:szCs w:val="20"/>
                <w:color w:val="auto"/>
              </w:rPr>
            </w:pPr>
            <w:r>
              <w:rPr>
                <w:rFonts w:ascii="Arial" w:cs="Arial" w:eastAsia="Arial" w:hAnsi="Arial"/>
                <w:sz w:val="16"/>
                <w:szCs w:val="16"/>
                <w:b w:val="1"/>
                <w:bCs w:val="1"/>
                <w:color w:val="auto"/>
              </w:rPr>
              <w:t>364,071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348,091</w:t>
            </w:r>
          </w:p>
        </w:tc>
      </w:tr>
      <w:tr>
        <w:trPr>
          <w:trHeight w:val="280"/>
        </w:trPr>
        <w:tc>
          <w:tcPr>
            <w:tcW w:w="7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3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212,957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198,702</w:t>
            </w:r>
          </w:p>
        </w:tc>
      </w:tr>
      <w:tr>
        <w:trPr>
          <w:trHeight w:val="260"/>
        </w:trPr>
        <w:tc>
          <w:tcPr>
            <w:tcW w:w="7060" w:type="dxa"/>
            <w:vAlign w:val="bottom"/>
          </w:tcPr>
          <w:p>
            <w:pPr>
              <w:ind w:left="40"/>
              <w:spacing w:after="0"/>
              <w:rPr>
                <w:sz w:val="20"/>
                <w:szCs w:val="20"/>
                <w:color w:val="auto"/>
              </w:rPr>
            </w:pPr>
            <w:r>
              <w:rPr>
                <w:rFonts w:ascii="Arial" w:cs="Arial" w:eastAsia="Arial" w:hAnsi="Arial"/>
                <w:sz w:val="16"/>
                <w:szCs w:val="16"/>
                <w:color w:val="auto"/>
              </w:rPr>
              <w:t>Commercial and Industrial</w:t>
            </w:r>
          </w:p>
        </w:tc>
        <w:tc>
          <w:tcPr>
            <w:tcW w:w="320" w:type="dxa"/>
            <w:vAlign w:val="bottom"/>
          </w:tcPr>
          <w:p>
            <w:pPr>
              <w:spacing w:after="0"/>
              <w:rPr>
                <w:sz w:val="22"/>
                <w:szCs w:val="22"/>
                <w:color w:val="auto"/>
              </w:rPr>
            </w:pPr>
          </w:p>
        </w:tc>
        <w:tc>
          <w:tcPr>
            <w:tcW w:w="1680" w:type="dxa"/>
            <w:vAlign w:val="bottom"/>
          </w:tcPr>
          <w:p>
            <w:pPr>
              <w:jc w:val="right"/>
              <w:ind w:right="20"/>
              <w:spacing w:after="0"/>
              <w:rPr>
                <w:sz w:val="20"/>
                <w:szCs w:val="20"/>
                <w:color w:val="auto"/>
              </w:rPr>
            </w:pPr>
            <w:r>
              <w:rPr>
                <w:rFonts w:ascii="Arial" w:cs="Arial" w:eastAsia="Arial" w:hAnsi="Arial"/>
                <w:sz w:val="16"/>
                <w:szCs w:val="16"/>
                <w:b w:val="1"/>
                <w:bCs w:val="1"/>
                <w:color w:val="auto"/>
              </w:rPr>
              <w:t>142,673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151,109</w:t>
            </w:r>
          </w:p>
        </w:tc>
      </w:tr>
      <w:tr>
        <w:trPr>
          <w:trHeight w:val="280"/>
        </w:trPr>
        <w:tc>
          <w:tcPr>
            <w:tcW w:w="7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3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54,732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46,412</w:t>
            </w:r>
          </w:p>
        </w:tc>
      </w:tr>
      <w:tr>
        <w:trPr>
          <w:trHeight w:val="263"/>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consumer</w:t>
            </w: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947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1,285</w:t>
            </w:r>
          </w:p>
        </w:tc>
      </w:tr>
      <w:tr>
        <w:trPr>
          <w:trHeight w:val="257"/>
        </w:trPr>
        <w:tc>
          <w:tcPr>
            <w:tcW w:w="7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Portfolio loans receivable, gross</w:t>
            </w:r>
          </w:p>
        </w:tc>
        <w:tc>
          <w:tcPr>
            <w:tcW w:w="3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1,212,809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1,173,525</w:t>
            </w:r>
          </w:p>
        </w:tc>
      </w:tr>
      <w:tr>
        <w:trPr>
          <w:trHeight w:val="260"/>
        </w:trPr>
        <w:tc>
          <w:tcPr>
            <w:tcW w:w="7060" w:type="dxa"/>
            <w:vAlign w:val="bottom"/>
          </w:tcPr>
          <w:p>
            <w:pPr>
              <w:ind w:left="40"/>
              <w:spacing w:after="0"/>
              <w:rPr>
                <w:sz w:val="20"/>
                <w:szCs w:val="20"/>
                <w:color w:val="auto"/>
              </w:rPr>
            </w:pPr>
            <w:r>
              <w:rPr>
                <w:rFonts w:ascii="Arial" w:cs="Arial" w:eastAsia="Arial" w:hAnsi="Arial"/>
                <w:sz w:val="16"/>
                <w:szCs w:val="16"/>
                <w:color w:val="auto"/>
              </w:rPr>
              <w:t>Deferred origination fees, net</w:t>
            </w:r>
          </w:p>
        </w:tc>
        <w:tc>
          <w:tcPr>
            <w:tcW w:w="3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(1,332)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(2,404)</w:t>
            </w:r>
          </w:p>
        </w:tc>
      </w:tr>
      <w:tr>
        <w:trPr>
          <w:trHeight w:val="273"/>
        </w:trPr>
        <w:tc>
          <w:tcPr>
            <w:tcW w:w="7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Allowance for loan losses</w:t>
            </w:r>
          </w:p>
        </w:tc>
        <w:tc>
          <w:tcPr>
            <w:tcW w:w="3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(18,680)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(13,301)</w:t>
            </w:r>
          </w:p>
        </w:tc>
      </w:tr>
      <w:tr>
        <w:trPr>
          <w:trHeight w:val="240"/>
        </w:trPr>
        <w:tc>
          <w:tcPr>
            <w:tcW w:w="7060" w:type="dxa"/>
            <w:vAlign w:val="bottom"/>
          </w:tcPr>
          <w:p>
            <w:pPr>
              <w:ind w:left="180"/>
              <w:spacing w:after="0"/>
              <w:rPr>
                <w:sz w:val="20"/>
                <w:szCs w:val="20"/>
                <w:color w:val="auto"/>
              </w:rPr>
            </w:pPr>
            <w:r>
              <w:rPr>
                <w:rFonts w:ascii="Arial" w:cs="Arial" w:eastAsia="Arial" w:hAnsi="Arial"/>
                <w:sz w:val="16"/>
                <w:szCs w:val="16"/>
                <w:color w:val="auto"/>
              </w:rPr>
              <w:t>Portfolio loans receivable,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1,192,797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1,157,820</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makes loans to customers located primarily in the Washington, D.C. and Baltimore, Maryland metropolitan areas.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Although the loan portfolio is diversified, its performance is influenced by the regional economy. The Company’s loan categories, excluding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SBA-PPP loans, previously discussed in Note 4, are described below.</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secured by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 Residential real estate loans have represented a stable and growing portion of our loan portfolio.</w:t>
      </w:r>
    </w:p>
    <w:p>
      <w:pPr>
        <w:spacing w:after="0" w:line="18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loans may be more adversely affected by conditions in the real estate</w:t>
      </w:r>
    </w:p>
    <w:p>
      <w:pPr>
        <w:sectPr>
          <w:pgSz w:w="11900" w:h="16838" w:orient="portrait"/>
          <w:cols w:equalWidth="0" w:num="1">
            <w:col w:w="11240"/>
          </w:cols>
          <w:pgMar w:left="320" w:top="730"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730" w:right="339"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markets or in the general economy. Commercial loans that are secured by owner-occupied commercial real estate and primarily collateralized by operating cash flows are also included in this category of loans. As of June 30, 2020, there were approximately $164.4 million of owner-occupied commercial real estate loans, representing approximately 45.1% of the commercial real estate portfolio. Commercial real estate loan terms are generally extended for 10 years or less and amortize generally over 25 years or less. The interest rates on commercial real estate loans generally have initial fixed rate terms that adjust typically at 5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somewhat diverse in terms and type. This diversity may help reduce the exposure to adverse economic events that affect any single industry.</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Exceptions are sometimes made. Semi-annual stress testing of the construction loan portfolio is conducted, and underlying real estate conditions are closely monitored as well as trends of sales outcomes versus underwriting valuations as part of ongoing risk management efforts. The borrowers’ progress in construction buildout is closely monitored and the original underwriting guidelines for construction milestones and completion timelines are strictly enforced.</w:t>
      </w:r>
    </w:p>
    <w:p>
      <w:pPr>
        <w:spacing w:after="0" w:line="1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Commercial and Industrial</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Our OpenSky® credit card division provides credit cards on a nationwide basis to under-banked populations and those</w:t>
      </w:r>
      <w:r>
        <w:rPr>
          <w:rFonts w:ascii="Arial" w:cs="Arial" w:eastAsia="Arial" w:hAnsi="Arial"/>
          <w:sz w:val="18"/>
          <w:szCs w:val="18"/>
          <w:i w:val="1"/>
          <w:iCs w:val="1"/>
          <w:color w:val="auto"/>
        </w:rPr>
        <w:t xml:space="preserve"> </w:t>
      </w:r>
      <w:r>
        <w:rPr>
          <w:rFonts w:ascii="Arial" w:cs="Arial" w:eastAsia="Arial" w:hAnsi="Arial"/>
          <w:sz w:val="18"/>
          <w:szCs w:val="18"/>
          <w:color w:val="auto"/>
        </w:rPr>
        <w:t>looking to rebuild their credit scores through a fully digital and mobile platform. Substantially all of the lines of credit are secured by a noninterest bearing demand account at the Bank in an amount equal to the full credit limit of the credit card. In addition, using a proprietary scoring model, which considers credit score and repayment history (typically a minimum of six months of on-time repayments, but ultimately determined on a case-by-case basis), the Bank has recently begun to offer certain customers an unsecured line in excess of their secured line of credit. Approximately $52.9 million and $43.3 million of the credit card balances were secured by savings deposits held by the Company as of June 30, 2020 and December 31, 2019, respectively.</w:t>
      </w:r>
    </w:p>
    <w:p>
      <w:pPr>
        <w:spacing w:after="0" w:line="18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limited extent and typically as an accommodation to existing customers, personal consumer loans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loans, car loans or boat loans are offered.</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30" w:right="339" w:bottom="1440" w:gutter="0" w:footer="0" w:header="0"/>
        </w:sectPr>
      </w:pPr>
    </w:p>
    <w:bookmarkStart w:id="20" w:name="page21"/>
    <w:bookmarkEnd w:id="20"/>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the difference between the contractually required payments and expected cash flows was recorded as a nonaccretable discount. The remaining nonaccretable discounts on loans acquired was $285 thousand as of June 30, 2020 and December 31, 2019. Loans with nonaccretable discounts had carrying values of $864 thousand as of June 30, 2020 and December 31, 2019.</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Accretable discounts on loans acquired is summarized as follows:</w:t>
      </w:r>
    </w:p>
    <w:p>
      <w:pPr>
        <w:spacing w:after="0" w:line="3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0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2"/>
                <w:szCs w:val="22"/>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22"/>
                <w:szCs w:val="22"/>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b w:val="1"/>
                <w:bCs w:val="1"/>
                <w:color w:val="auto"/>
              </w:rPr>
              <w:t>June 30, 2019</w:t>
            </w:r>
          </w:p>
        </w:tc>
      </w:tr>
      <w:tr>
        <w:trPr>
          <w:trHeight w:val="25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beginning of period</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438</w:t>
            </w:r>
          </w:p>
        </w:tc>
      </w:tr>
      <w:tr>
        <w:trPr>
          <w:trHeight w:val="264"/>
        </w:trPr>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Accretion and payoff of loans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end of period</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424</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tables set forth the changes in the allowance for loan losses and an allocation of the allowance for loan losses by class for the three and six months ended June 30, 2020 and June 30, 2019.</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0" w:type="dxa"/>
            <w:vAlign w:val="bottom"/>
          </w:tcPr>
          <w:p>
            <w:pPr>
              <w:spacing w:after="0"/>
              <w:rPr>
                <w:sz w:val="11"/>
                <w:szCs w:val="11"/>
                <w:color w:val="auto"/>
              </w:rPr>
            </w:pPr>
          </w:p>
        </w:tc>
        <w:tc>
          <w:tcPr>
            <w:tcW w:w="458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Beginning</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June 30, 2020</w:t>
            </w: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 Losses</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Charge-Offs</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Recoveries</w:t>
            </w:r>
          </w:p>
        </w:tc>
        <w:tc>
          <w:tcPr>
            <w:tcW w:w="2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58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6,244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4,423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810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5,233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3,952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1,663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1,743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15,514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2020</w:t>
            </w:r>
          </w:p>
        </w:tc>
        <w:tc>
          <w:tcPr>
            <w:tcW w:w="2360" w:type="dxa"/>
            <w:vAlign w:val="bottom"/>
            <w:gridSpan w:val="2"/>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0" w:type="dxa"/>
            <w:vAlign w:val="bottom"/>
          </w:tcPr>
          <w:p>
            <w:pPr>
              <w:spacing w:after="0"/>
              <w:rPr>
                <w:sz w:val="24"/>
                <w:szCs w:val="24"/>
                <w:color w:val="auto"/>
              </w:rPr>
            </w:pPr>
          </w:p>
        </w:tc>
        <w:tc>
          <w:tcPr>
            <w:tcW w:w="2220" w:type="dxa"/>
            <w:vAlign w:val="bottom"/>
            <w:tcBorders>
              <w:bottom w:val="single" w:sz="8" w:color="auto"/>
            </w:tcBorders>
            <w:vMerge w:val="continue"/>
          </w:tcPr>
          <w:p>
            <w:pPr>
              <w:spacing w:after="0"/>
              <w:rPr>
                <w:sz w:val="24"/>
                <w:szCs w:val="24"/>
                <w:color w:val="auto"/>
              </w:rPr>
            </w:pPr>
          </w:p>
        </w:tc>
        <w:tc>
          <w:tcPr>
            <w:tcW w:w="2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6,244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3,573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1,660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5,233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3,952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1,548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1,743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13,301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30"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730" w:right="339"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0" w:type="dxa"/>
            <w:vAlign w:val="bottom"/>
          </w:tcPr>
          <w:p>
            <w:pPr>
              <w:spacing w:after="0"/>
              <w:rPr>
                <w:sz w:val="11"/>
                <w:szCs w:val="11"/>
                <w:color w:val="auto"/>
              </w:rPr>
            </w:pPr>
          </w:p>
        </w:tc>
        <w:tc>
          <w:tcPr>
            <w:tcW w:w="458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Beginning</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June 30, 2019</w:t>
            </w: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 Losses</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Charge-Offs</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Recoveries</w:t>
            </w:r>
          </w:p>
        </w:tc>
        <w:tc>
          <w:tcPr>
            <w:tcW w:w="2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58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3,116</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2019</w:t>
            </w:r>
          </w:p>
        </w:tc>
        <w:tc>
          <w:tcPr>
            <w:tcW w:w="2360" w:type="dxa"/>
            <w:vAlign w:val="bottom"/>
            <w:gridSpan w:val="2"/>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0" w:type="dxa"/>
            <w:vAlign w:val="bottom"/>
          </w:tcPr>
          <w:p>
            <w:pPr>
              <w:spacing w:after="0"/>
              <w:rPr>
                <w:sz w:val="24"/>
                <w:szCs w:val="24"/>
                <w:color w:val="auto"/>
              </w:rPr>
            </w:pPr>
          </w:p>
        </w:tc>
        <w:tc>
          <w:tcPr>
            <w:tcW w:w="2220" w:type="dxa"/>
            <w:vAlign w:val="bottom"/>
            <w:tcBorders>
              <w:bottom w:val="single" w:sz="8" w:color="auto"/>
            </w:tcBorders>
            <w:vMerge w:val="continue"/>
          </w:tcPr>
          <w:p>
            <w:pPr>
              <w:spacing w:after="0"/>
              <w:rPr>
                <w:sz w:val="24"/>
                <w:szCs w:val="24"/>
                <w:color w:val="auto"/>
              </w:rPr>
            </w:pPr>
          </w:p>
        </w:tc>
        <w:tc>
          <w:tcPr>
            <w:tcW w:w="2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3,116</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30" w:right="339" w:bottom="1440" w:gutter="0" w:footer="0" w:header="0"/>
        </w:sectPr>
      </w:pPr>
    </w:p>
    <w:bookmarkStart w:id="22" w:name="page23"/>
    <w:bookmarkEnd w:id="2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tables present, by class and reserving methodology, the allocation of the allowance for loan losses and the gross investment in loans. 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w:t>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 Composition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7"/>
              </w:rPr>
              <w:t>Allowance for Loan Losses</w:t>
            </w:r>
          </w:p>
        </w:tc>
        <w:tc>
          <w:tcPr>
            <w:tcW w:w="240" w:type="dxa"/>
            <w:vAlign w:val="bottom"/>
          </w:tcPr>
          <w:p>
            <w:pPr>
              <w:spacing w:after="0"/>
              <w:rPr>
                <w:sz w:val="13"/>
                <w:szCs w:val="13"/>
                <w:color w:val="auto"/>
              </w:rPr>
            </w:pPr>
          </w:p>
        </w:tc>
        <w:tc>
          <w:tcPr>
            <w:tcW w:w="2760" w:type="dxa"/>
            <w:vAlign w:val="bottom"/>
            <w:gridSpan w:val="4"/>
          </w:tcPr>
          <w:p>
            <w:pPr>
              <w:jc w:val="center"/>
              <w:ind w:right="149"/>
              <w:spacing w:after="0"/>
              <w:rPr>
                <w:sz w:val="20"/>
                <w:szCs w:val="20"/>
                <w:color w:val="auto"/>
              </w:rPr>
            </w:pPr>
            <w:r>
              <w:rPr>
                <w:rFonts w:ascii="Arial" w:cs="Arial" w:eastAsia="Arial" w:hAnsi="Arial"/>
                <w:sz w:val="13"/>
                <w:szCs w:val="13"/>
                <w:b w:val="1"/>
                <w:bCs w:val="1"/>
                <w:color w:val="auto"/>
                <w:w w:val="97"/>
              </w:rPr>
              <w:t>Outstanding Portfolio</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20" w:type="dxa"/>
            <w:vAlign w:val="bottom"/>
            <w:gridSpan w:val="5"/>
          </w:tcPr>
          <w:p>
            <w:pPr>
              <w:jc w:val="center"/>
              <w:ind w:right="340"/>
              <w:spacing w:after="0" w:line="135" w:lineRule="exact"/>
              <w:rPr>
                <w:sz w:val="20"/>
                <w:szCs w:val="20"/>
                <w:color w:val="auto"/>
              </w:rPr>
            </w:pPr>
            <w:r>
              <w:rPr>
                <w:rFonts w:ascii="Arial" w:cs="Arial" w:eastAsia="Arial" w:hAnsi="Arial"/>
                <w:sz w:val="13"/>
                <w:szCs w:val="13"/>
                <w:b w:val="1"/>
                <w:bCs w:val="1"/>
                <w:color w:val="auto"/>
                <w:w w:val="97"/>
              </w:rPr>
              <w:t>Ending Balance Evaluated</w:t>
            </w:r>
          </w:p>
        </w:tc>
        <w:tc>
          <w:tcPr>
            <w:tcW w:w="240" w:type="dxa"/>
            <w:vAlign w:val="bottom"/>
          </w:tcPr>
          <w:p>
            <w:pPr>
              <w:spacing w:after="0"/>
              <w:rPr>
                <w:sz w:val="11"/>
                <w:szCs w:val="11"/>
                <w:color w:val="auto"/>
              </w:rPr>
            </w:pPr>
          </w:p>
        </w:tc>
        <w:tc>
          <w:tcPr>
            <w:tcW w:w="2760" w:type="dxa"/>
            <w:vAlign w:val="bottom"/>
            <w:gridSpan w:val="4"/>
          </w:tcPr>
          <w:p>
            <w:pPr>
              <w:jc w:val="center"/>
              <w:ind w:right="129"/>
              <w:spacing w:after="0" w:line="135" w:lineRule="exact"/>
              <w:rPr>
                <w:sz w:val="20"/>
                <w:szCs w:val="20"/>
                <w:color w:val="auto"/>
              </w:rPr>
            </w:pPr>
            <w:r>
              <w:rPr>
                <w:rFonts w:ascii="Arial" w:cs="Arial" w:eastAsia="Arial" w:hAnsi="Arial"/>
                <w:sz w:val="13"/>
                <w:szCs w:val="13"/>
                <w:b w:val="1"/>
                <w:bCs w:val="1"/>
                <w:color w:val="auto"/>
                <w:w w:val="96"/>
              </w:rPr>
              <w:t>Loan Balances Evaluated</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0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center"/>
              <w:ind w:right="149"/>
              <w:spacing w:after="0"/>
              <w:rPr>
                <w:sz w:val="20"/>
                <w:szCs w:val="20"/>
                <w:color w:val="auto"/>
              </w:rPr>
            </w:pPr>
            <w:r>
              <w:rPr>
                <w:rFonts w:ascii="Arial" w:cs="Arial" w:eastAsia="Arial" w:hAnsi="Arial"/>
                <w:sz w:val="13"/>
                <w:szCs w:val="13"/>
                <w:b w:val="1"/>
                <w:bCs w:val="1"/>
                <w:color w:val="auto"/>
                <w:w w:val="96"/>
              </w:rPr>
              <w:t>for Impairment: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center"/>
              <w:ind w:right="129"/>
              <w:spacing w:after="0"/>
              <w:rPr>
                <w:sz w:val="20"/>
                <w:szCs w:val="20"/>
                <w:color w:val="auto"/>
              </w:rPr>
            </w:pPr>
            <w:r>
              <w:rPr>
                <w:rFonts w:ascii="Arial" w:cs="Arial" w:eastAsia="Arial" w:hAnsi="Arial"/>
                <w:sz w:val="13"/>
                <w:szCs w:val="13"/>
                <w:b w:val="1"/>
                <w:bCs w:val="1"/>
                <w:color w:val="auto"/>
                <w:w w:val="96"/>
              </w:rPr>
              <w:t>for Impairment: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June 30, 2020</w:t>
            </w:r>
          </w:p>
        </w:tc>
        <w:tc>
          <w:tcPr>
            <w:tcW w:w="41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3"/>
                <w:szCs w:val="13"/>
                <w:b w:val="1"/>
                <w:bCs w:val="1"/>
                <w:color w:val="auto"/>
              </w:rPr>
              <w:t>Individually</w:t>
            </w:r>
          </w:p>
        </w:tc>
        <w:tc>
          <w:tcPr>
            <w:tcW w:w="24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Collectively</w:t>
            </w:r>
          </w:p>
        </w:tc>
        <w:tc>
          <w:tcPr>
            <w:tcW w:w="24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Individually</w:t>
            </w:r>
          </w:p>
        </w:tc>
        <w:tc>
          <w:tcPr>
            <w:tcW w:w="240" w:type="dxa"/>
            <w:vAlign w:val="bottom"/>
          </w:tcPr>
          <w:p>
            <w:pPr>
              <w:spacing w:after="0"/>
              <w:rPr>
                <w:sz w:val="19"/>
                <w:szCs w:val="19"/>
                <w:color w:val="auto"/>
              </w:rPr>
            </w:pPr>
          </w:p>
        </w:tc>
        <w:tc>
          <w:tcPr>
            <w:tcW w:w="1200" w:type="dxa"/>
            <w:vAlign w:val="bottom"/>
          </w:tcPr>
          <w:p>
            <w:pPr>
              <w:jc w:val="right"/>
              <w:ind w:right="309"/>
              <w:spacing w:after="0"/>
              <w:rPr>
                <w:sz w:val="20"/>
                <w:szCs w:val="20"/>
                <w:color w:val="auto"/>
              </w:rPr>
            </w:pPr>
            <w:r>
              <w:rPr>
                <w:rFonts w:ascii="Arial" w:cs="Arial" w:eastAsia="Arial" w:hAnsi="Arial"/>
                <w:sz w:val="13"/>
                <w:szCs w:val="13"/>
                <w:b w:val="1"/>
                <w:bCs w:val="1"/>
                <w:color w:val="auto"/>
              </w:rPr>
              <w:t>Collectively</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040" w:type="dxa"/>
            <w:vAlign w:val="bottom"/>
            <w:gridSpan w:val="3"/>
            <w:vMerge w:val="continue"/>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6,244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2,152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435,277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5,233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b w:val="1"/>
                <w:bCs w:val="1"/>
                <w:color w:val="auto"/>
              </w:rPr>
              <w:t>974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b w:val="1"/>
                <w:bCs w:val="1"/>
                <w:color w:val="auto"/>
              </w:rPr>
              <w:t>363,097</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3,952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1,479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211,478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22"/>
                <w:szCs w:val="22"/>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1,655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b w:val="1"/>
                <w:bCs w:val="1"/>
                <w:color w:val="auto"/>
              </w:rPr>
              <w:t>435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b w:val="1"/>
                <w:bCs w:val="1"/>
                <w:color w:val="auto"/>
              </w:rPr>
              <w:t>142,238</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1,497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54,732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4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b w:val="1"/>
                <w:bCs w:val="1"/>
                <w:color w:val="auto"/>
              </w:rPr>
              <w:t>947</w:t>
            </w:r>
          </w:p>
        </w:tc>
        <w:tc>
          <w:tcPr>
            <w:tcW w:w="0" w:type="dxa"/>
            <w:vAlign w:val="bottom"/>
          </w:tcPr>
          <w:p>
            <w:pPr>
              <w:spacing w:after="0"/>
              <w:rPr>
                <w:sz w:val="1"/>
                <w:szCs w:val="1"/>
                <w:color w:val="auto"/>
              </w:rPr>
            </w:pPr>
          </w:p>
        </w:tc>
      </w:tr>
      <w:tr>
        <w:trPr>
          <w:trHeight w:val="239"/>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04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88</w:t>
            </w: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18,592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5,040</w:t>
            </w: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1,207,769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3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425,734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3,572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1,433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346,658</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198,702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22"/>
                <w:szCs w:val="22"/>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150,635</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46,412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4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240"/>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04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1,169,426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730" w:right="339" w:bottom="1440" w:gutter="0" w:footer="0" w:header="0"/>
        </w:sectPr>
      </w:pPr>
    </w:p>
    <w:bookmarkStart w:id="23" w:name="page24"/>
    <w:bookmarkEnd w:id="2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Past due loans, segregated by age and class of loans, as of June 30, 2020 and December 31, 2019 were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Portfolio Loans Past Due</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Loans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Accruing</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60" w:type="dxa"/>
            <w:vAlign w:val="bottom"/>
            <w:gridSpan w:val="4"/>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Loans</w:t>
            </w: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90 or More</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Loans 90 or</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30-89 Days</w:t>
            </w: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Days</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Total Past</w:t>
            </w:r>
          </w:p>
        </w:tc>
        <w:tc>
          <w:tcPr>
            <w:tcW w:w="22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7"/>
              </w:rPr>
              <w:t>Current</w:t>
            </w:r>
          </w:p>
        </w:tc>
        <w:tc>
          <w:tcPr>
            <w:tcW w:w="200" w:type="dxa"/>
            <w:vAlign w:val="bottom"/>
          </w:tcPr>
          <w:p>
            <w:pPr>
              <w:spacing w:after="0"/>
              <w:rPr>
                <w:sz w:val="11"/>
                <w:szCs w:val="11"/>
                <w:color w:val="auto"/>
              </w:rPr>
            </w:pPr>
          </w:p>
        </w:tc>
        <w:tc>
          <w:tcPr>
            <w:tcW w:w="10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Portfolio</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More Days</w:t>
            </w:r>
          </w:p>
        </w:tc>
        <w:tc>
          <w:tcPr>
            <w:tcW w:w="140" w:type="dxa"/>
            <w:vAlign w:val="bottom"/>
          </w:tcPr>
          <w:p>
            <w:pPr>
              <w:spacing w:after="0"/>
              <w:rPr>
                <w:sz w:val="11"/>
                <w:szCs w:val="11"/>
                <w:color w:val="auto"/>
              </w:rPr>
            </w:pPr>
          </w:p>
        </w:tc>
        <w:tc>
          <w:tcPr>
            <w:tcW w:w="960" w:type="dxa"/>
            <w:vAlign w:val="bottom"/>
          </w:tcPr>
          <w:p>
            <w:pPr>
              <w:jc w:val="right"/>
              <w:ind w:right="109"/>
              <w:spacing w:after="0" w:line="135" w:lineRule="exact"/>
              <w:rPr>
                <w:sz w:val="20"/>
                <w:szCs w:val="20"/>
                <w:color w:val="auto"/>
              </w:rPr>
            </w:pPr>
            <w:r>
              <w:rPr>
                <w:rFonts w:ascii="Arial" w:cs="Arial" w:eastAsia="Arial" w:hAnsi="Arial"/>
                <w:sz w:val="13"/>
                <w:szCs w:val="13"/>
                <w:b w:val="1"/>
                <w:bCs w:val="1"/>
                <w:color w:val="auto"/>
              </w:rPr>
              <w:t>Non-accrual</w:t>
            </w: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3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Past Due</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6"/>
              </w:rPr>
              <w:t>Past Due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6"/>
              </w:rPr>
              <w:t>Due Loans</w:t>
            </w:r>
          </w:p>
        </w:tc>
        <w:tc>
          <w:tcPr>
            <w:tcW w:w="220" w:type="dxa"/>
            <w:vAlign w:val="bottom"/>
          </w:tcPr>
          <w:p>
            <w:pPr>
              <w:spacing w:after="0"/>
              <w:rPr>
                <w:sz w:val="12"/>
                <w:szCs w:val="12"/>
                <w:color w:val="auto"/>
              </w:rPr>
            </w:pPr>
          </w:p>
        </w:tc>
        <w:tc>
          <w:tcPr>
            <w:tcW w:w="10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3"/>
              </w:rPr>
              <w:t>Loans</w:t>
            </w: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9"/>
              </w:rPr>
              <w:t>Loans</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6"/>
              </w:rPr>
              <w:t>Past Due</w:t>
            </w:r>
          </w:p>
        </w:tc>
        <w:tc>
          <w:tcPr>
            <w:tcW w:w="140" w:type="dxa"/>
            <w:vAlign w:val="bottom"/>
          </w:tcPr>
          <w:p>
            <w:pPr>
              <w:spacing w:after="0"/>
              <w:rPr>
                <w:sz w:val="12"/>
                <w:szCs w:val="12"/>
                <w:color w:val="auto"/>
              </w:rPr>
            </w:pPr>
          </w:p>
        </w:tc>
        <w:tc>
          <w:tcPr>
            <w:tcW w:w="960" w:type="dxa"/>
            <w:vAlign w:val="bottom"/>
          </w:tcPr>
          <w:p>
            <w:pPr>
              <w:jc w:val="right"/>
              <w:ind w:right="289"/>
              <w:spacing w:after="0" w:line="144" w:lineRule="exact"/>
              <w:rPr>
                <w:sz w:val="20"/>
                <w:szCs w:val="20"/>
                <w:color w:val="auto"/>
              </w:rPr>
            </w:pPr>
            <w:r>
              <w:rPr>
                <w:rFonts w:ascii="Arial" w:cs="Arial" w:eastAsia="Arial" w:hAnsi="Arial"/>
                <w:sz w:val="13"/>
                <w:szCs w:val="13"/>
                <w:b w:val="1"/>
                <w:bCs w:val="1"/>
                <w:color w:val="auto"/>
              </w:rPr>
              <w:t>Loans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Real estate:</w:t>
            </w:r>
          </w:p>
        </w:tc>
        <w:tc>
          <w:tcPr>
            <w:tcW w:w="220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20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4,640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1,824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6,464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430,965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437,429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2,152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404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b w:val="1"/>
                <w:bCs w:val="1"/>
                <w:color w:val="auto"/>
              </w:rPr>
              <w:t>1,240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1,644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362,427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364,071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b w:val="1"/>
                <w:bCs w:val="1"/>
                <w:color w:val="auto"/>
              </w:rPr>
              <w:t>266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974</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1,735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211,222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212,957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1,479</w:t>
            </w:r>
          </w:p>
        </w:tc>
        <w:tc>
          <w:tcPr>
            <w:tcW w:w="0" w:type="dxa"/>
            <w:vAlign w:val="bottom"/>
          </w:tcPr>
          <w:p>
            <w:pPr>
              <w:spacing w:after="0"/>
              <w:rPr>
                <w:sz w:val="1"/>
                <w:szCs w:val="1"/>
                <w:color w:val="auto"/>
              </w:rPr>
            </w:pPr>
          </w:p>
        </w:tc>
      </w:tr>
      <w:tr>
        <w:trPr>
          <w:trHeight w:val="264"/>
        </w:trPr>
        <w:tc>
          <w:tcPr>
            <w:tcW w:w="3160" w:type="dxa"/>
            <w:vAlign w:val="bottom"/>
            <w:gridSpan w:val="4"/>
          </w:tcPr>
          <w:p>
            <w:pPr>
              <w:ind w:left="20"/>
              <w:spacing w:after="0"/>
              <w:rPr>
                <w:sz w:val="20"/>
                <w:szCs w:val="20"/>
                <w:color w:val="auto"/>
              </w:rPr>
            </w:pPr>
            <w:r>
              <w:rPr>
                <w:rFonts w:ascii="Arial" w:cs="Arial" w:eastAsia="Arial" w:hAnsi="Arial"/>
                <w:sz w:val="14"/>
                <w:szCs w:val="14"/>
                <w:color w:val="auto"/>
              </w:rPr>
              <w:t>Commercial and Industrial</w:t>
            </w:r>
          </w:p>
        </w:tc>
        <w:tc>
          <w:tcPr>
            <w:tcW w:w="14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3,378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b w:val="1"/>
                <w:bCs w:val="1"/>
                <w:color w:val="auto"/>
              </w:rPr>
              <w:t>364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3,742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138,931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142,673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435</w:t>
            </w:r>
          </w:p>
        </w:tc>
        <w:tc>
          <w:tcPr>
            <w:tcW w:w="0" w:type="dxa"/>
            <w:vAlign w:val="bottom"/>
          </w:tcPr>
          <w:p>
            <w:pPr>
              <w:spacing w:after="0"/>
              <w:rPr>
                <w:sz w:val="1"/>
                <w:szCs w:val="1"/>
                <w:color w:val="auto"/>
              </w:rPr>
            </w:pPr>
          </w:p>
        </w:tc>
      </w:tr>
      <w:tr>
        <w:trPr>
          <w:trHeight w:val="276"/>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2,313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2,316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52,416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54,732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3160" w:type="dxa"/>
            <w:vAlign w:val="bottom"/>
            <w:gridSpan w:val="4"/>
          </w:tcPr>
          <w:p>
            <w:pPr>
              <w:ind w:left="20"/>
              <w:spacing w:after="0"/>
              <w:rPr>
                <w:sz w:val="20"/>
                <w:szCs w:val="20"/>
                <w:color w:val="auto"/>
              </w:rPr>
            </w:pPr>
            <w:r>
              <w:rPr>
                <w:rFonts w:ascii="Arial" w:cs="Arial" w:eastAsia="Arial" w:hAnsi="Arial"/>
                <w:sz w:val="14"/>
                <w:szCs w:val="14"/>
                <w:color w:val="auto"/>
              </w:rPr>
              <w:t>Other consumer</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947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947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14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3,783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1,196,908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1,212,809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4,845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5,804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Real estate:</w:t>
            </w:r>
          </w:p>
        </w:tc>
        <w:tc>
          <w:tcPr>
            <w:tcW w:w="18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424,786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427,926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2,192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1,671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1,946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346,145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348,091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197,946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198,702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60" w:type="dxa"/>
            <w:vAlign w:val="bottom"/>
            <w:gridSpan w:val="4"/>
          </w:tcPr>
          <w:p>
            <w:pPr>
              <w:ind w:left="20"/>
              <w:spacing w:after="0"/>
              <w:rPr>
                <w:sz w:val="20"/>
                <w:szCs w:val="20"/>
                <w:color w:val="auto"/>
              </w:rPr>
            </w:pPr>
            <w:r>
              <w:rPr>
                <w:rFonts w:ascii="Arial" w:cs="Arial" w:eastAsia="Arial" w:hAnsi="Arial"/>
                <w:sz w:val="14"/>
                <w:szCs w:val="14"/>
                <w:color w:val="auto"/>
              </w:rPr>
              <w:t>Commercial and Industrial</w:t>
            </w:r>
          </w:p>
        </w:tc>
        <w:tc>
          <w:tcPr>
            <w:tcW w:w="14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150,584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151,109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76"/>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40,878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46,412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60" w:type="dxa"/>
            <w:vAlign w:val="bottom"/>
            <w:gridSpan w:val="4"/>
          </w:tcPr>
          <w:p>
            <w:pPr>
              <w:ind w:left="20"/>
              <w:spacing w:after="0"/>
              <w:rPr>
                <w:sz w:val="20"/>
                <w:szCs w:val="20"/>
                <w:color w:val="auto"/>
              </w:rPr>
            </w:pPr>
            <w:r>
              <w:rPr>
                <w:rFonts w:ascii="Arial" w:cs="Arial" w:eastAsia="Arial" w:hAnsi="Arial"/>
                <w:sz w:val="14"/>
                <w:szCs w:val="14"/>
                <w:color w:val="auto"/>
              </w:rPr>
              <w:t>Other consumer</w:t>
            </w:r>
          </w:p>
        </w:tc>
        <w:tc>
          <w:tcPr>
            <w:tcW w:w="14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140" w:type="dxa"/>
            <w:vAlign w:val="bottom"/>
            <w:tcBorders>
              <w:top w:val="single" w:sz="8" w:color="CCEEFF"/>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4,468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1,161,624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1,173,525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Loans secured by a one-to-four family residential property in the process of foreclosure at June 30, 2020 and December 31, 2019 was $12 thousand and $481 thousand, respectively.</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30" w:right="339" w:bottom="1440" w:gutter="0" w:footer="0" w:header="0"/>
        </w:sectPr>
      </w:pPr>
    </w:p>
    <w:bookmarkStart w:id="24" w:name="page25"/>
    <w:bookmarkEnd w:id="2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Impaired loans were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Impaired Loans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Unpaid</w:t>
            </w:r>
          </w:p>
        </w:tc>
        <w:tc>
          <w:tcPr>
            <w:tcW w:w="2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Recorded</w:t>
            </w:r>
          </w:p>
        </w:tc>
        <w:tc>
          <w:tcPr>
            <w:tcW w:w="20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Recorded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58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Investment</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Investment</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Total</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June 30, 2020</w:t>
            </w:r>
          </w:p>
        </w:tc>
        <w:tc>
          <w:tcPr>
            <w:tcW w:w="3640" w:type="dxa"/>
            <w:vAlign w:val="bottom"/>
            <w:gridSpan w:val="2"/>
            <w:vMerge w:val="restart"/>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With No</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With</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Recorded</w:t>
            </w:r>
          </w:p>
        </w:tc>
        <w:tc>
          <w:tcPr>
            <w:tcW w:w="200" w:type="dxa"/>
            <w:vAlign w:val="bottom"/>
          </w:tcPr>
          <w:p>
            <w:pPr>
              <w:spacing w:after="0"/>
              <w:rPr>
                <w:sz w:val="11"/>
                <w:szCs w:val="11"/>
                <w:color w:val="auto"/>
              </w:rPr>
            </w:pPr>
          </w:p>
        </w:tc>
        <w:tc>
          <w:tcPr>
            <w:tcW w:w="1020" w:type="dxa"/>
            <w:vAlign w:val="bottom"/>
          </w:tcPr>
          <w:p>
            <w:pPr>
              <w:jc w:val="right"/>
              <w:ind w:right="309"/>
              <w:spacing w:after="0" w:line="135" w:lineRule="exact"/>
              <w:rPr>
                <w:sz w:val="20"/>
                <w:szCs w:val="20"/>
                <w:color w:val="auto"/>
              </w:rPr>
            </w:pPr>
            <w:r>
              <w:rPr>
                <w:rFonts w:ascii="Arial" w:cs="Arial" w:eastAsia="Arial" w:hAnsi="Arial"/>
                <w:sz w:val="13"/>
                <w:szCs w:val="13"/>
                <w:b w:val="1"/>
                <w:bCs w:val="1"/>
                <w:color w:val="auto"/>
              </w:rPr>
              <w:t>Related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6"/>
              </w:rPr>
              <w:t>Balance</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6"/>
              </w:rPr>
              <w:t>Allowance</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6"/>
              </w:rPr>
              <w:t>Allowance</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6"/>
              </w:rPr>
              <w:t>Investment</w:t>
            </w:r>
          </w:p>
        </w:tc>
        <w:tc>
          <w:tcPr>
            <w:tcW w:w="200" w:type="dxa"/>
            <w:vAlign w:val="bottom"/>
          </w:tcPr>
          <w:p>
            <w:pPr>
              <w:spacing w:after="0"/>
              <w:rPr>
                <w:sz w:val="12"/>
                <w:szCs w:val="12"/>
                <w:color w:val="auto"/>
              </w:rPr>
            </w:pPr>
          </w:p>
        </w:tc>
        <w:tc>
          <w:tcPr>
            <w:tcW w:w="1020" w:type="dxa"/>
            <w:vAlign w:val="bottom"/>
          </w:tcPr>
          <w:p>
            <w:pPr>
              <w:jc w:val="right"/>
              <w:ind w:right="229"/>
              <w:spacing w:after="0" w:line="144" w:lineRule="exact"/>
              <w:rPr>
                <w:sz w:val="20"/>
                <w:szCs w:val="20"/>
                <w:color w:val="auto"/>
              </w:rPr>
            </w:pPr>
            <w:r>
              <w:rPr>
                <w:rFonts w:ascii="Arial" w:cs="Arial" w:eastAsia="Arial" w:hAnsi="Arial"/>
                <w:sz w:val="13"/>
                <w:szCs w:val="13"/>
                <w:b w:val="1"/>
                <w:bCs w:val="1"/>
                <w:color w:val="auto"/>
              </w:rPr>
              <w:t>Allowance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58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2,369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2,152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2,152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b w:val="1"/>
                <w:bCs w:val="1"/>
                <w:color w:val="auto"/>
              </w:rPr>
              <w:t>1,099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b w:val="1"/>
                <w:bCs w:val="1"/>
                <w:color w:val="auto"/>
              </w:rPr>
              <w:t>974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b w:val="1"/>
                <w:bCs w:val="1"/>
                <w:color w:val="auto"/>
              </w:rPr>
              <w:t>974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1,556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1,479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1,479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581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234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435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5,605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4,806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5,040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Acquired loans included above</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555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400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400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1,477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1,433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83"/>
        </w:trPr>
        <w:tc>
          <w:tcPr>
            <w:tcW w:w="40" w:type="dxa"/>
            <w:vAlign w:val="bottom"/>
            <w:tcBorders>
              <w:bottom w:val="single" w:sz="8" w:color="CCEEFF"/>
            </w:tcBorders>
          </w:tcPr>
          <w:p>
            <w:pPr>
              <w:spacing w:after="0"/>
              <w:rPr>
                <w:sz w:val="24"/>
                <w:szCs w:val="24"/>
                <w:color w:val="auto"/>
              </w:rPr>
            </w:pPr>
          </w:p>
        </w:tc>
        <w:tc>
          <w:tcPr>
            <w:tcW w:w="4580" w:type="dxa"/>
            <w:vAlign w:val="bottom"/>
            <w:tcBorders>
              <w:bottom w:val="single" w:sz="8" w:color="CCEEFF"/>
            </w:tcBorders>
            <w:gridSpan w:val="3"/>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4,360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3,826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4,099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Acquired loans included above</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1,148</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interest recognized on impaired loans: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Interest Recognized on Impaired Loans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For the Three Months Ended</w:t>
            </w: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Six Months Ended June</w:t>
            </w:r>
          </w:p>
        </w:tc>
      </w:tr>
      <w:tr>
        <w:trPr>
          <w:trHeight w:val="196"/>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7"/>
                <w:szCs w:val="17"/>
                <w:color w:val="auto"/>
              </w:rPr>
            </w:pPr>
          </w:p>
        </w:tc>
        <w:tc>
          <w:tcPr>
            <w:tcW w:w="21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30, 2020</w:t>
            </w:r>
          </w:p>
        </w:tc>
      </w:tr>
      <w:tr>
        <w:trPr>
          <w:trHeight w:val="140"/>
        </w:trPr>
        <w:tc>
          <w:tcPr>
            <w:tcW w:w="6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3"/>
              </w:rPr>
              <w:t>Average</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3"/>
              </w:rPr>
              <w:t>Average</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r>
      <w:tr>
        <w:trPr>
          <w:trHeight w:val="135"/>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Interest</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Pr>
          <w:p>
            <w:pPr>
              <w:spacing w:after="0"/>
              <w:rPr>
                <w:sz w:val="11"/>
                <w:szCs w:val="11"/>
                <w:color w:val="auto"/>
              </w:rPr>
            </w:pPr>
          </w:p>
        </w:tc>
        <w:tc>
          <w:tcPr>
            <w:tcW w:w="940" w:type="dxa"/>
            <w:vAlign w:val="bottom"/>
          </w:tcPr>
          <w:p>
            <w:pPr>
              <w:jc w:val="right"/>
              <w:ind w:right="251"/>
              <w:spacing w:after="0" w:line="135" w:lineRule="exact"/>
              <w:rPr>
                <w:sz w:val="20"/>
                <w:szCs w:val="20"/>
                <w:color w:val="auto"/>
              </w:rPr>
            </w:pPr>
            <w:r>
              <w:rPr>
                <w:rFonts w:ascii="Arial" w:cs="Arial" w:eastAsia="Arial" w:hAnsi="Arial"/>
                <w:sz w:val="13"/>
                <w:szCs w:val="13"/>
                <w:b w:val="1"/>
                <w:bCs w:val="1"/>
                <w:color w:val="auto"/>
              </w:rPr>
              <w:t>Interest</w:t>
            </w:r>
          </w:p>
        </w:tc>
      </w:tr>
      <w:tr>
        <w:trPr>
          <w:trHeight w:val="177"/>
        </w:trPr>
        <w:tc>
          <w:tcPr>
            <w:tcW w:w="63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Investment</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Recognized</w:t>
            </w: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Investment</w:t>
            </w:r>
          </w:p>
        </w:tc>
        <w:tc>
          <w:tcPr>
            <w:tcW w:w="140" w:type="dxa"/>
            <w:vAlign w:val="bottom"/>
          </w:tcPr>
          <w:p>
            <w:pPr>
              <w:spacing w:after="0"/>
              <w:rPr>
                <w:sz w:val="15"/>
                <w:szCs w:val="15"/>
                <w:color w:val="auto"/>
              </w:rPr>
            </w:pPr>
          </w:p>
        </w:tc>
        <w:tc>
          <w:tcPr>
            <w:tcW w:w="940" w:type="dxa"/>
            <w:vAlign w:val="bottom"/>
          </w:tcPr>
          <w:p>
            <w:pPr>
              <w:jc w:val="right"/>
              <w:ind w:right="111"/>
              <w:spacing w:after="0"/>
              <w:rPr>
                <w:sz w:val="20"/>
                <w:szCs w:val="20"/>
                <w:color w:val="auto"/>
              </w:rPr>
            </w:pPr>
            <w:r>
              <w:rPr>
                <w:rFonts w:ascii="Arial" w:cs="Arial" w:eastAsia="Arial" w:hAnsi="Arial"/>
                <w:sz w:val="13"/>
                <w:szCs w:val="13"/>
                <w:b w:val="1"/>
                <w:bCs w:val="1"/>
                <w:color w:val="auto"/>
              </w:rPr>
              <w:t>Recognized</w:t>
            </w:r>
          </w:p>
        </w:tc>
      </w:tr>
      <w:tr>
        <w:trPr>
          <w:trHeight w:val="264"/>
        </w:trPr>
        <w:tc>
          <w:tcPr>
            <w:tcW w:w="632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76"/>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2,373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2,376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4</w:t>
            </w:r>
          </w:p>
        </w:tc>
      </w:tr>
      <w:tr>
        <w:trPr>
          <w:trHeight w:val="264"/>
        </w:trPr>
        <w:tc>
          <w:tcPr>
            <w:tcW w:w="6320" w:type="dxa"/>
            <w:vAlign w:val="bottom"/>
          </w:tcPr>
          <w:p>
            <w:pPr>
              <w:ind w:left="18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b w:val="1"/>
                <w:bCs w:val="1"/>
                <w:color w:val="auto"/>
              </w:rPr>
              <w:t>1,122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rPr>
              <w:t>1,123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b w:val="1"/>
                <w:bCs w:val="1"/>
                <w:color w:val="auto"/>
              </w:rPr>
              <w:t>3</w:t>
            </w:r>
          </w:p>
        </w:tc>
      </w:tr>
      <w:tr>
        <w:trPr>
          <w:trHeight w:val="276"/>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1,556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1,556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9</w:t>
            </w:r>
          </w:p>
        </w:tc>
      </w:tr>
      <w:tr>
        <w:trPr>
          <w:trHeight w:val="264"/>
        </w:trPr>
        <w:tc>
          <w:tcPr>
            <w:tcW w:w="6320" w:type="dxa"/>
            <w:vAlign w:val="bottom"/>
          </w:tcPr>
          <w:p>
            <w:pPr>
              <w:ind w:left="40"/>
              <w:spacing w:after="0"/>
              <w:rPr>
                <w:sz w:val="20"/>
                <w:szCs w:val="20"/>
                <w:color w:val="auto"/>
              </w:rPr>
            </w:pPr>
            <w:r>
              <w:rPr>
                <w:rFonts w:ascii="Arial" w:cs="Arial" w:eastAsia="Arial" w:hAnsi="Arial"/>
                <w:sz w:val="14"/>
                <w:szCs w:val="14"/>
                <w:color w:val="auto"/>
              </w:rPr>
              <w:t>Commercial and Industrial</w:t>
            </w:r>
          </w:p>
        </w:tc>
        <w:tc>
          <w:tcPr>
            <w:tcW w:w="16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b w:val="1"/>
                <w:bCs w:val="1"/>
                <w:color w:val="auto"/>
              </w:rPr>
              <w:t>746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rPr>
              <w:t>747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r>
      <w:tr>
        <w:trPr>
          <w:trHeight w:val="243"/>
        </w:trPr>
        <w:tc>
          <w:tcPr>
            <w:tcW w:w="63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5,797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5,802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16</w:t>
            </w: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730" w:right="339" w:bottom="1440" w:gutter="0" w:footer="0" w:header="0"/>
        </w:sectPr>
      </w:pPr>
    </w:p>
    <w:bookmarkStart w:id="25" w:name="page26"/>
    <w:bookmarkEnd w:id="2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Interest Recognized on Impaired Loans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For the Three Months Ended</w:t>
            </w: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Six Months Ended June</w:t>
            </w:r>
          </w:p>
        </w:tc>
      </w:tr>
      <w:tr>
        <w:trPr>
          <w:trHeight w:val="196"/>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7"/>
                <w:szCs w:val="17"/>
                <w:color w:val="auto"/>
              </w:rPr>
            </w:pPr>
          </w:p>
        </w:tc>
        <w:tc>
          <w:tcPr>
            <w:tcW w:w="21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30, 2019</w:t>
            </w:r>
          </w:p>
        </w:tc>
      </w:tr>
      <w:tr>
        <w:trPr>
          <w:trHeight w:val="140"/>
        </w:trPr>
        <w:tc>
          <w:tcPr>
            <w:tcW w:w="6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3"/>
              </w:rPr>
              <w:t>Average</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3"/>
              </w:rPr>
              <w:t>Average</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r>
      <w:tr>
        <w:trPr>
          <w:trHeight w:val="135"/>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Recorded</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Interest</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Pr>
          <w:p>
            <w:pPr>
              <w:spacing w:after="0"/>
              <w:rPr>
                <w:sz w:val="11"/>
                <w:szCs w:val="11"/>
                <w:color w:val="auto"/>
              </w:rPr>
            </w:pPr>
          </w:p>
        </w:tc>
        <w:tc>
          <w:tcPr>
            <w:tcW w:w="940" w:type="dxa"/>
            <w:vAlign w:val="bottom"/>
          </w:tcPr>
          <w:p>
            <w:pPr>
              <w:jc w:val="right"/>
              <w:ind w:right="251"/>
              <w:spacing w:after="0" w:line="135" w:lineRule="exact"/>
              <w:rPr>
                <w:sz w:val="20"/>
                <w:szCs w:val="20"/>
                <w:color w:val="auto"/>
              </w:rPr>
            </w:pPr>
            <w:r>
              <w:rPr>
                <w:rFonts w:ascii="Arial" w:cs="Arial" w:eastAsia="Arial" w:hAnsi="Arial"/>
                <w:sz w:val="13"/>
                <w:szCs w:val="13"/>
                <w:b w:val="1"/>
                <w:bCs w:val="1"/>
                <w:color w:val="auto"/>
              </w:rPr>
              <w:t>Interest</w:t>
            </w:r>
          </w:p>
        </w:tc>
      </w:tr>
      <w:tr>
        <w:trPr>
          <w:trHeight w:val="177"/>
        </w:trPr>
        <w:tc>
          <w:tcPr>
            <w:tcW w:w="63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Investment</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Recognized</w:t>
            </w: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Investment</w:t>
            </w:r>
          </w:p>
        </w:tc>
        <w:tc>
          <w:tcPr>
            <w:tcW w:w="140" w:type="dxa"/>
            <w:vAlign w:val="bottom"/>
          </w:tcPr>
          <w:p>
            <w:pPr>
              <w:spacing w:after="0"/>
              <w:rPr>
                <w:sz w:val="15"/>
                <w:szCs w:val="15"/>
                <w:color w:val="auto"/>
              </w:rPr>
            </w:pPr>
          </w:p>
        </w:tc>
        <w:tc>
          <w:tcPr>
            <w:tcW w:w="940" w:type="dxa"/>
            <w:vAlign w:val="bottom"/>
          </w:tcPr>
          <w:p>
            <w:pPr>
              <w:jc w:val="right"/>
              <w:ind w:right="111"/>
              <w:spacing w:after="0"/>
              <w:rPr>
                <w:sz w:val="20"/>
                <w:szCs w:val="20"/>
                <w:color w:val="auto"/>
              </w:rPr>
            </w:pPr>
            <w:r>
              <w:rPr>
                <w:rFonts w:ascii="Arial" w:cs="Arial" w:eastAsia="Arial" w:hAnsi="Arial"/>
                <w:sz w:val="13"/>
                <w:szCs w:val="13"/>
                <w:b w:val="1"/>
                <w:bCs w:val="1"/>
                <w:color w:val="auto"/>
              </w:rPr>
              <w:t>Recognized</w:t>
            </w:r>
          </w:p>
        </w:tc>
      </w:tr>
      <w:tr>
        <w:trPr>
          <w:trHeight w:val="264"/>
        </w:trPr>
        <w:tc>
          <w:tcPr>
            <w:tcW w:w="632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76"/>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2,576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w:t>
            </w:r>
          </w:p>
        </w:tc>
      </w:tr>
      <w:tr>
        <w:trPr>
          <w:trHeight w:val="264"/>
        </w:trPr>
        <w:tc>
          <w:tcPr>
            <w:tcW w:w="6320" w:type="dxa"/>
            <w:vAlign w:val="bottom"/>
          </w:tcPr>
          <w:p>
            <w:pPr>
              <w:ind w:left="18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1,573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1,573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76"/>
        </w:trPr>
        <w:tc>
          <w:tcPr>
            <w:tcW w:w="6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w:t>
            </w:r>
          </w:p>
        </w:tc>
      </w:tr>
      <w:tr>
        <w:trPr>
          <w:trHeight w:val="264"/>
        </w:trPr>
        <w:tc>
          <w:tcPr>
            <w:tcW w:w="6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Commercial and Industrial</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1,517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w:t>
            </w:r>
          </w:p>
        </w:tc>
      </w:tr>
      <w:tr>
        <w:trPr>
          <w:trHeight w:val="243"/>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7,841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w:t>
            </w: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Impaired loans include loans acquired on which management has recorded a nonaccretable discount.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doubtful loan has all the weaknesses inherent as a substandard loan with the added characteristic that the weaknesses make collection or liquidation in full, on the basis of currently existing facts, conditions, and values, highly questionable and improbable.</w:t>
      </w:r>
    </w:p>
    <w:p>
      <w:pPr>
        <w:sectPr>
          <w:pgSz w:w="11900" w:h="16838" w:orient="portrait"/>
          <w:cols w:equalWidth="0" w:num="1">
            <w:col w:w="11240"/>
          </w:cols>
          <w:pgMar w:left="320" w:top="73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730" w:right="33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7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table presents the balances of classified loans based on the risk grade. Classified loans include Special Mention, Substandard, and Doubtful loans:</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Portfolio Loan Classifications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 w:type="dxa"/>
            <w:vAlign w:val="bottom"/>
          </w:tcPr>
          <w:p>
            <w:pPr>
              <w:spacing w:after="0"/>
              <w:rPr>
                <w:sz w:val="17"/>
                <w:szCs w:val="17"/>
                <w:color w:val="auto"/>
              </w:rPr>
            </w:pPr>
          </w:p>
        </w:tc>
        <w:tc>
          <w:tcPr>
            <w:tcW w:w="40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7"/>
                <w:szCs w:val="17"/>
                <w:b w:val="1"/>
                <w:bCs w:val="1"/>
                <w:color w:val="auto"/>
                <w:vertAlign w:val="superscript"/>
              </w:rPr>
              <w:t>(1)</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Doubtful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429,307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5,866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2,256</w:t>
            </w:r>
          </w:p>
        </w:tc>
        <w:tc>
          <w:tcPr>
            <w:tcW w:w="100" w:type="dxa"/>
            <w:vAlign w:val="bottom"/>
          </w:tcPr>
          <w:p>
            <w:pPr>
              <w:spacing w:after="0"/>
              <w:rPr>
                <w:sz w:val="22"/>
                <w:szCs w:val="22"/>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437,429</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353,473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364,071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205,266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6,213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1,478</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212,957</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133,916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142,673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54,732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54,732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947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947</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040" w:type="dxa"/>
            <w:vAlign w:val="bottom"/>
            <w:gridSpan w:val="3"/>
          </w:tcPr>
          <w:p>
            <w:pPr>
              <w:ind w:left="24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1,177,641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29,178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5,990</w:t>
            </w:r>
          </w:p>
        </w:tc>
        <w:tc>
          <w:tcPr>
            <w:tcW w:w="100" w:type="dxa"/>
            <w:vAlign w:val="bottom"/>
          </w:tcPr>
          <w:p>
            <w:pPr>
              <w:spacing w:after="0"/>
              <w:rPr>
                <w:sz w:val="24"/>
                <w:szCs w:val="24"/>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1,212,809</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27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425,661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2,265</w:t>
            </w:r>
          </w:p>
        </w:tc>
        <w:tc>
          <w:tcPr>
            <w:tcW w:w="100" w:type="dxa"/>
            <w:vAlign w:val="bottom"/>
          </w:tcPr>
          <w:p>
            <w:pPr>
              <w:spacing w:after="0"/>
              <w:rPr>
                <w:sz w:val="22"/>
                <w:szCs w:val="22"/>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427,926</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340,313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348,091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198,702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198,702</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145,178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151,109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46,412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46,412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3"/>
          </w:tcPr>
          <w:p>
            <w:pPr>
              <w:ind w:left="24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1,157,551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10,850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5,124</w:t>
            </w:r>
          </w:p>
        </w:tc>
        <w:tc>
          <w:tcPr>
            <w:tcW w:w="100" w:type="dxa"/>
            <w:vAlign w:val="bottom"/>
          </w:tcPr>
          <w:p>
            <w:pPr>
              <w:spacing w:after="0"/>
              <w:rPr>
                <w:sz w:val="21"/>
                <w:szCs w:val="21"/>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1,173,525</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jc w:val="right"/>
              <w:ind w:right="2160"/>
              <w:spacing w:after="0"/>
              <w:rPr>
                <w:sz w:val="20"/>
                <w:szCs w:val="20"/>
                <w:color w:val="auto"/>
              </w:rPr>
            </w:pPr>
            <w:r>
              <w:rPr>
                <w:rFonts w:ascii="Arial" w:cs="Arial" w:eastAsia="Arial" w:hAnsi="Arial"/>
                <w:sz w:val="14"/>
                <w:szCs w:val="14"/>
                <w:color w:val="auto"/>
              </w:rPr>
              <w:t>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8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line="207"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Category includes loans graded exceptional, very good, good, satisfactory and pass/watch, in addition to credit cards and consumer credits that are not graded.</w:t>
      </w:r>
    </w:p>
    <w:p>
      <w:pPr>
        <w:spacing w:after="0" w:line="18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Impaired loans also include certain loans that have been modified in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considering the borrower’s sustained repayment performance for a reasonable period, generally six months. The status of TDRs is as follows:</w:t>
      </w: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30" w:right="339" w:bottom="1440" w:gutter="0" w:footer="0" w:header="0"/>
        </w:sectPr>
      </w:pPr>
    </w:p>
    <w:bookmarkStart w:id="27" w:name="page28"/>
    <w:bookmarkEnd w:id="2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Troubled Debt Restructurings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58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Recorded Investment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June 30, 2020</w:t>
            </w:r>
          </w:p>
        </w:tc>
        <w:tc>
          <w:tcPr>
            <w:tcW w:w="3640" w:type="dxa"/>
            <w:vAlign w:val="bottom"/>
            <w:gridSpan w:val="2"/>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Contracts</w:t>
            </w:r>
          </w:p>
        </w:tc>
        <w:tc>
          <w:tcPr>
            <w:tcW w:w="26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Performing</w:t>
            </w:r>
          </w:p>
        </w:tc>
        <w:tc>
          <w:tcPr>
            <w:tcW w:w="20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Nonperforming</w:t>
            </w:r>
          </w:p>
        </w:tc>
        <w:tc>
          <w:tcPr>
            <w:tcW w:w="34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58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580" w:type="dxa"/>
            <w:vAlign w:val="bottom"/>
            <w:gridSpan w:val="3"/>
            <w:vMerge w:val="continue"/>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305</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58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Acquired loans included in total above</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December 31, 2019</w:t>
            </w:r>
          </w:p>
        </w:tc>
        <w:tc>
          <w:tcPr>
            <w:tcW w:w="3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58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58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Acquired loans included in total above</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There were no new TDRs in the six months ended June 30, 2020. The Company had no defaulted TDR loans over the last twelve months.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loan commitments were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Loan Commitments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7"/>
                <w:szCs w:val="17"/>
                <w:color w:val="auto"/>
              </w:rPr>
            </w:pPr>
          </w:p>
        </w:tc>
        <w:tc>
          <w:tcPr>
            <w:tcW w:w="18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7"/>
                <w:szCs w:val="17"/>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7100" w:type="dxa"/>
            <w:vAlign w:val="bottom"/>
          </w:tcPr>
          <w:p>
            <w:pPr>
              <w:ind w:left="40"/>
              <w:spacing w:after="0"/>
              <w:rPr>
                <w:sz w:val="20"/>
                <w:szCs w:val="20"/>
                <w:color w:val="auto"/>
              </w:rPr>
            </w:pPr>
            <w:r>
              <w:rPr>
                <w:rFonts w:ascii="Arial" w:cs="Arial" w:eastAsia="Arial" w:hAnsi="Arial"/>
                <w:sz w:val="14"/>
                <w:szCs w:val="14"/>
                <w:color w:val="auto"/>
              </w:rPr>
              <w:t>Unused lines of credit</w:t>
            </w:r>
          </w:p>
        </w:tc>
        <w:tc>
          <w:tcPr>
            <w:tcW w:w="36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r>
      <w:tr>
        <w:trPr>
          <w:trHeight w:val="276"/>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w:t>
            </w:r>
          </w:p>
        </w:tc>
        <w:tc>
          <w:tcPr>
            <w:tcW w:w="3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Residential</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ind w:right="28"/>
              <w:spacing w:after="0"/>
              <w:rPr>
                <w:sz w:val="20"/>
                <w:szCs w:val="20"/>
                <w:color w:val="auto"/>
              </w:rPr>
            </w:pPr>
            <w:r>
              <w:rPr>
                <w:rFonts w:ascii="Arial" w:cs="Arial" w:eastAsia="Arial" w:hAnsi="Arial"/>
                <w:sz w:val="14"/>
                <w:szCs w:val="14"/>
                <w:b w:val="1"/>
                <w:bCs w:val="1"/>
                <w:color w:val="auto"/>
              </w:rPr>
              <w:t>13,320</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13,754</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Residential - Home Equity</w:t>
            </w:r>
          </w:p>
        </w:tc>
        <w:tc>
          <w:tcPr>
            <w:tcW w:w="3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28,234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26,407</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360" w:type="dxa"/>
            <w:vAlign w:val="bottom"/>
          </w:tcPr>
          <w:p>
            <w:pPr>
              <w:spacing w:after="0"/>
              <w:rPr>
                <w:sz w:val="22"/>
                <w:szCs w:val="22"/>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b w:val="1"/>
                <w:bCs w:val="1"/>
                <w:color w:val="auto"/>
              </w:rPr>
              <w:t>16,806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31,411</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Construction</w:t>
            </w:r>
          </w:p>
        </w:tc>
        <w:tc>
          <w:tcPr>
            <w:tcW w:w="3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92,734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114,999</w:t>
            </w:r>
          </w:p>
        </w:tc>
      </w:tr>
      <w:tr>
        <w:trPr>
          <w:trHeight w:val="264"/>
        </w:trPr>
        <w:tc>
          <w:tcPr>
            <w:tcW w:w="7100" w:type="dxa"/>
            <w:vAlign w:val="bottom"/>
          </w:tcPr>
          <w:p>
            <w:pPr>
              <w:ind w:left="180"/>
              <w:spacing w:after="0"/>
              <w:rPr>
                <w:sz w:val="20"/>
                <w:szCs w:val="20"/>
                <w:color w:val="auto"/>
              </w:rPr>
            </w:pPr>
            <w:r>
              <w:rPr>
                <w:rFonts w:ascii="Arial" w:cs="Arial" w:eastAsia="Arial" w:hAnsi="Arial"/>
                <w:sz w:val="14"/>
                <w:szCs w:val="14"/>
                <w:color w:val="auto"/>
              </w:rPr>
              <w:t>Commercial and Industrial</w:t>
            </w:r>
          </w:p>
        </w:tc>
        <w:tc>
          <w:tcPr>
            <w:tcW w:w="360" w:type="dxa"/>
            <w:vAlign w:val="bottom"/>
          </w:tcPr>
          <w:p>
            <w:pPr>
              <w:spacing w:after="0"/>
              <w:rPr>
                <w:sz w:val="22"/>
                <w:szCs w:val="22"/>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b w:val="1"/>
                <w:bCs w:val="1"/>
                <w:color w:val="auto"/>
              </w:rPr>
              <w:t>57,479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36,442</w:t>
            </w:r>
          </w:p>
        </w:tc>
      </w:tr>
      <w:tr>
        <w:trPr>
          <w:trHeight w:val="276"/>
        </w:trPr>
        <w:tc>
          <w:tcPr>
            <w:tcW w:w="7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credit card</w:t>
            </w:r>
          </w:p>
        </w:tc>
        <w:tc>
          <w:tcPr>
            <w:tcW w:w="3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81,755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37,517</w:t>
            </w:r>
          </w:p>
        </w:tc>
      </w:tr>
      <w:tr>
        <w:trPr>
          <w:trHeight w:val="26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Personal</w:t>
            </w:r>
          </w:p>
        </w:tc>
        <w:tc>
          <w:tcPr>
            <w:tcW w:w="3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290,899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260,573</w:t>
            </w:r>
          </w:p>
        </w:tc>
      </w:tr>
      <w:tr>
        <w:trPr>
          <w:trHeight w:val="20"/>
        </w:trPr>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50"/>
        </w:trPr>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Commitments to originate residential loans held for sale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2,646</w:t>
            </w:r>
          </w:p>
        </w:tc>
      </w:tr>
      <w:tr>
        <w:trPr>
          <w:trHeight w:val="20"/>
        </w:trPr>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51"/>
        </w:trPr>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Letters of credit</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5,305</w:t>
            </w:r>
          </w:p>
        </w:tc>
      </w:tr>
      <w:tr>
        <w:trPr>
          <w:trHeight w:val="20"/>
        </w:trPr>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draw upon their lines in full at any time. Loan commitments generally have variable interest rates, fixed expiration dates, and may require payment of a fee.</w:t>
      </w:r>
    </w:p>
    <w:p>
      <w:pPr>
        <w:sectPr>
          <w:pgSz w:w="11900" w:h="16838" w:orient="portrait"/>
          <w:cols w:equalWidth="0" w:num="1">
            <w:col w:w="11240"/>
          </w:cols>
          <w:pgMar w:left="320" w:top="730" w:right="339" w:bottom="698"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730" w:right="339" w:bottom="698"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generally made on the same terms, including collateral, as outstanding loans. Management is not aware of any accounting loss to be incurred by funding these loan commitments. The Company maintains an estimated reserve for off balance sheet items such as unfunded lines of credit, which is reflected in other liabilities, with changes being charged to or released from operating expense. Activity for this account is as follows for the periods presented:</w:t>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 Balance Sheet Reserve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For the Six Months Ended</w:t>
            </w:r>
          </w:p>
        </w:tc>
      </w:tr>
      <w:tr>
        <w:trPr>
          <w:trHeight w:val="263"/>
        </w:trPr>
        <w:tc>
          <w:tcPr>
            <w:tcW w:w="5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22"/>
                <w:szCs w:val="22"/>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22"/>
                <w:szCs w:val="22"/>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June 30, 2019</w:t>
            </w:r>
          </w:p>
        </w:tc>
      </w:tr>
      <w:tr>
        <w:trPr>
          <w:trHeight w:val="256"/>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1,271</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1,053</w:t>
            </w:r>
          </w:p>
        </w:tc>
      </w:tr>
      <w:tr>
        <w:trPr>
          <w:trHeight w:val="264"/>
        </w:trPr>
        <w:tc>
          <w:tcPr>
            <w:tcW w:w="5080" w:type="dxa"/>
            <w:vAlign w:val="bottom"/>
          </w:tcPr>
          <w:p>
            <w:pPr>
              <w:ind w:left="40"/>
              <w:spacing w:after="0"/>
              <w:rPr>
                <w:sz w:val="20"/>
                <w:szCs w:val="20"/>
                <w:color w:val="auto"/>
              </w:rPr>
            </w:pPr>
            <w:r>
              <w:rPr>
                <w:rFonts w:ascii="Arial" w:cs="Arial" w:eastAsia="Arial" w:hAnsi="Arial"/>
                <w:sz w:val="14"/>
                <w:szCs w:val="14"/>
                <w:color w:val="auto"/>
              </w:rPr>
              <w:t>Provision for off balance sheet credit commitments</w:t>
            </w:r>
          </w:p>
        </w:tc>
        <w:tc>
          <w:tcPr>
            <w:tcW w:w="200" w:type="dxa"/>
            <w:vAlign w:val="bottom"/>
          </w:tcPr>
          <w:p>
            <w:pPr>
              <w:spacing w:after="0"/>
              <w:rPr>
                <w:sz w:val="22"/>
                <w:szCs w:val="22"/>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93</w:t>
            </w:r>
          </w:p>
        </w:tc>
      </w:tr>
      <w:tr>
        <w:trPr>
          <w:trHeight w:val="243"/>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end of period</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1,271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1,146</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makes representations and warranties that loans sold to investors meet their program's guidelines and that the information provided by the borrowers is accurate and complete. In the event of a default on a loan sold, the investor may have the right to make a claim for losses due to document deficiencies, program compliance, early payment default, and fraud or borrower misrepresentations.</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maintains an estimated reserve for potential losses on mortgage loans sold, which is reflected in other liabilities, with changes being charged to or released from operating expense. Activity in this reserve is as follows for the periods presented:</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Mortgage Loan Put-back Reserve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5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22"/>
                <w:szCs w:val="22"/>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22"/>
                <w:szCs w:val="22"/>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June 30, 2019</w:t>
            </w:r>
          </w:p>
        </w:tc>
      </w:tr>
      <w:tr>
        <w:trPr>
          <w:trHeight w:val="256"/>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667</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r>
      <w:tr>
        <w:trPr>
          <w:trHeight w:val="264"/>
        </w:trPr>
        <w:tc>
          <w:tcPr>
            <w:tcW w:w="5080" w:type="dxa"/>
            <w:vAlign w:val="bottom"/>
          </w:tcPr>
          <w:p>
            <w:pPr>
              <w:ind w:left="40"/>
              <w:spacing w:after="0"/>
              <w:rPr>
                <w:sz w:val="20"/>
                <w:szCs w:val="20"/>
                <w:color w:val="auto"/>
              </w:rPr>
            </w:pPr>
            <w:r>
              <w:rPr>
                <w:rFonts w:ascii="Arial" w:cs="Arial" w:eastAsia="Arial" w:hAnsi="Arial"/>
                <w:sz w:val="14"/>
                <w:szCs w:val="14"/>
                <w:color w:val="auto"/>
              </w:rPr>
              <w:t>Provision for mortgage loan put backs</w:t>
            </w:r>
          </w:p>
        </w:tc>
        <w:tc>
          <w:tcPr>
            <w:tcW w:w="2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156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262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67</w:t>
            </w: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Charge-offs</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270"/>
        </w:trPr>
        <w:tc>
          <w:tcPr>
            <w:tcW w:w="5080" w:type="dxa"/>
            <w:vAlign w:val="bottom"/>
          </w:tcPr>
          <w:p>
            <w:pPr>
              <w:ind w:left="40"/>
              <w:spacing w:after="0"/>
              <w:rPr>
                <w:sz w:val="20"/>
                <w:szCs w:val="20"/>
                <w:color w:val="auto"/>
              </w:rPr>
            </w:pPr>
            <w:r>
              <w:rPr>
                <w:rFonts w:ascii="Arial" w:cs="Arial" w:eastAsia="Arial" w:hAnsi="Arial"/>
                <w:sz w:val="14"/>
                <w:szCs w:val="14"/>
                <w:color w:val="auto"/>
              </w:rPr>
              <w:t>Balance at end of period</w:t>
            </w: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823</w:t>
            </w:r>
          </w:p>
        </w:tc>
        <w:tc>
          <w:tcPr>
            <w:tcW w:w="14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823</w:t>
            </w:r>
          </w:p>
        </w:tc>
        <w:tc>
          <w:tcPr>
            <w:tcW w:w="120" w:type="dxa"/>
            <w:vAlign w:val="bottom"/>
            <w:tcBorders>
              <w:top w:val="single" w:sz="8" w:color="auto"/>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527</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30" w:right="339" w:bottom="1440" w:gutter="0" w:footer="0" w:header="0"/>
        </w:sectPr>
      </w:pPr>
    </w:p>
    <w:bookmarkStart w:id="29" w:name="page30"/>
    <w:bookmarkEnd w:id="29"/>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estimating the fair value of the underlying asset, which is impacted by current interest rates and takes into consideration the probability that the rate lock commitments will close or will be funded.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7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Notional amount of open forward sales agreements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33,500</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61,000</w:t>
            </w:r>
          </w:p>
        </w:tc>
      </w:tr>
      <w:tr>
        <w:trPr>
          <w:trHeight w:val="264"/>
        </w:trPr>
        <w:tc>
          <w:tcPr>
            <w:tcW w:w="7180" w:type="dxa"/>
            <w:vAlign w:val="bottom"/>
          </w:tcPr>
          <w:p>
            <w:pPr>
              <w:ind w:left="40"/>
              <w:spacing w:after="0"/>
              <w:rPr>
                <w:sz w:val="20"/>
                <w:szCs w:val="20"/>
                <w:color w:val="auto"/>
              </w:rPr>
            </w:pPr>
            <w:r>
              <w:rPr>
                <w:rFonts w:ascii="Arial" w:cs="Arial" w:eastAsia="Arial" w:hAnsi="Arial"/>
                <w:sz w:val="14"/>
                <w:szCs w:val="14"/>
                <w:color w:val="auto"/>
              </w:rPr>
              <w:t>Fair value of open forward delivery sales agreements</w:t>
            </w:r>
          </w:p>
        </w:tc>
        <w:tc>
          <w:tcPr>
            <w:tcW w:w="3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(178)</w:t>
            </w:r>
          </w:p>
        </w:tc>
        <w:tc>
          <w:tcPr>
            <w:tcW w:w="2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76"/>
        </w:trPr>
        <w:tc>
          <w:tcPr>
            <w:tcW w:w="7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Notional amount of open mandatory delivery commitments</w:t>
            </w:r>
          </w:p>
        </w:tc>
        <w:tc>
          <w:tcPr>
            <w:tcW w:w="3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2,082</w:t>
            </w: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22,888</w:t>
            </w:r>
          </w:p>
        </w:tc>
      </w:tr>
      <w:tr>
        <w:trPr>
          <w:trHeight w:val="264"/>
        </w:trPr>
        <w:tc>
          <w:tcPr>
            <w:tcW w:w="7180" w:type="dxa"/>
            <w:vAlign w:val="bottom"/>
          </w:tcPr>
          <w:p>
            <w:pPr>
              <w:ind w:left="40"/>
              <w:spacing w:after="0"/>
              <w:rPr>
                <w:sz w:val="20"/>
                <w:szCs w:val="20"/>
                <w:color w:val="auto"/>
              </w:rPr>
            </w:pPr>
            <w:r>
              <w:rPr>
                <w:rFonts w:ascii="Arial" w:cs="Arial" w:eastAsia="Arial" w:hAnsi="Arial"/>
                <w:sz w:val="14"/>
                <w:szCs w:val="14"/>
                <w:color w:val="auto"/>
              </w:rPr>
              <w:t>Fair value of open mandatory delivery commitments</w:t>
            </w:r>
          </w:p>
        </w:tc>
        <w:tc>
          <w:tcPr>
            <w:tcW w:w="32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22"/>
                <w:szCs w:val="22"/>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115</w:t>
            </w:r>
          </w:p>
        </w:tc>
      </w:tr>
      <w:tr>
        <w:trPr>
          <w:trHeight w:val="276"/>
        </w:trPr>
        <w:tc>
          <w:tcPr>
            <w:tcW w:w="7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Notional amount of interest rate lock commitments</w:t>
            </w:r>
          </w:p>
        </w:tc>
        <w:tc>
          <w:tcPr>
            <w:tcW w:w="3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40,617</w:t>
            </w: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32,365</w:t>
            </w:r>
          </w:p>
        </w:tc>
      </w:tr>
      <w:tr>
        <w:trPr>
          <w:trHeight w:val="258"/>
        </w:trPr>
        <w:tc>
          <w:tcPr>
            <w:tcW w:w="7180" w:type="dxa"/>
            <w:vAlign w:val="bottom"/>
          </w:tcPr>
          <w:p>
            <w:pPr>
              <w:ind w:left="40"/>
              <w:spacing w:after="0"/>
              <w:rPr>
                <w:sz w:val="20"/>
                <w:szCs w:val="20"/>
                <w:color w:val="auto"/>
              </w:rPr>
            </w:pPr>
            <w:r>
              <w:rPr>
                <w:rFonts w:ascii="Arial" w:cs="Arial" w:eastAsia="Arial" w:hAnsi="Arial"/>
                <w:sz w:val="14"/>
                <w:szCs w:val="14"/>
                <w:color w:val="auto"/>
              </w:rPr>
              <w:t>Fair value of interest rate lock commitments</w:t>
            </w:r>
          </w:p>
        </w:tc>
        <w:tc>
          <w:tcPr>
            <w:tcW w:w="32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b w:val="1"/>
                <w:bCs w:val="1"/>
                <w:color w:val="auto"/>
              </w:rPr>
              <w:t>227</w:t>
            </w:r>
          </w:p>
        </w:tc>
        <w:tc>
          <w:tcPr>
            <w:tcW w:w="240" w:type="dxa"/>
            <w:vAlign w:val="bottom"/>
          </w:tcPr>
          <w:p>
            <w:pPr>
              <w:spacing w:after="0"/>
              <w:rPr>
                <w:sz w:val="22"/>
                <w:szCs w:val="22"/>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30" w:right="339" w:bottom="1440" w:gutter="0" w:footer="0" w:header="0"/>
        </w:sectPr>
      </w:pPr>
    </w:p>
    <w:bookmarkStart w:id="30" w:name="page31"/>
    <w:bookmarkEnd w:id="30"/>
    <w:p>
      <w:pPr>
        <w:ind w:left="4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465455</wp:posOffset>
            </wp:positionH>
            <wp:positionV relativeFrom="page">
              <wp:posOffset>448945</wp:posOffset>
            </wp:positionV>
            <wp:extent cx="63093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936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10795</wp:posOffset>
            </wp:positionV>
            <wp:extent cx="63093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3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Note 7 - Leases</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primary leasing activities relate to certain real estate leases entered into in support of the Company’s branch operations and back office operations. As of January 1, 2019, the Company had leased five of its full service branches and five other locations for corporate/administration activities, operations, and loan production. All property leases under lease agreements have been been designated as operating leases. The Company does not have leases designated as finance leases.</w:t>
      </w:r>
    </w:p>
    <w:p>
      <w:pPr>
        <w:spacing w:after="0" w:line="2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2.26% at June 30, 2020 and 2.24% at December 31, 2019.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June 30, 2020, the Company’s lease ROU assets and related lease liabilities were $3.8 million and $4.2 million, respectively, compared to December 31, 2019 balances of $3.9 million of ROU assets and $4.3 million of lease liabilities, and have remaining terms ranging from 1 - 6 years, including extension options that the Company is reasonably certain will be exercised. As of June 30, 2020, the Company had not entered into any material leases that have not yet commenced. The Company’s lease information is summarized as follows:</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4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 2019</w:t>
            </w:r>
          </w:p>
        </w:tc>
      </w:tr>
      <w:tr>
        <w:trPr>
          <w:trHeight w:val="27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Lease Right of Use Asset:</w:t>
            </w:r>
          </w:p>
        </w:tc>
        <w:tc>
          <w:tcPr>
            <w:tcW w:w="16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Lease asset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5,462</w:t>
            </w:r>
          </w:p>
        </w:tc>
        <w:tc>
          <w:tcPr>
            <w:tcW w:w="120" w:type="dxa"/>
            <w:vAlign w:val="bottom"/>
          </w:tcPr>
          <w:p>
            <w:pPr>
              <w:spacing w:after="0"/>
              <w:rPr>
                <w:sz w:val="22"/>
                <w:szCs w:val="22"/>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5,158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(1,655)</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(1,238)</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lease asset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3,807</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3,920</w:t>
            </w:r>
          </w:p>
        </w:tc>
      </w:tr>
      <w:tr>
        <w:trPr>
          <w:trHeight w:val="250"/>
        </w:trPr>
        <w:tc>
          <w:tcPr>
            <w:tcW w:w="8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Lease Liability:</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4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4,163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4,291</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730" w:right="339" w:bottom="1440" w:gutter="0" w:footer="0" w:header="0"/>
        </w:sectPr>
      </w:pPr>
    </w:p>
    <w:bookmarkStart w:id="31" w:name="page32"/>
    <w:bookmarkEnd w:id="31"/>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Leases (continued)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Payment Obligations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2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70"/>
        </w:trPr>
        <w:tc>
          <w:tcPr>
            <w:tcW w:w="9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due in:</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9220" w:type="dxa"/>
            <w:vAlign w:val="bottom"/>
          </w:tcPr>
          <w:p>
            <w:pPr>
              <w:ind w:left="40"/>
              <w:spacing w:after="0"/>
              <w:rPr>
                <w:sz w:val="20"/>
                <w:szCs w:val="20"/>
                <w:color w:val="auto"/>
              </w:rPr>
            </w:pPr>
            <w:r>
              <w:rPr>
                <w:rFonts w:ascii="Arial" w:cs="Arial" w:eastAsia="Arial" w:hAnsi="Arial"/>
                <w:sz w:val="14"/>
                <w:szCs w:val="14"/>
                <w:color w:val="auto"/>
              </w:rPr>
              <w:t>2020</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276"/>
        </w:trPr>
        <w:tc>
          <w:tcPr>
            <w:tcW w:w="9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264"/>
        </w:trPr>
        <w:tc>
          <w:tcPr>
            <w:tcW w:w="9220" w:type="dxa"/>
            <w:vAlign w:val="bottom"/>
          </w:tcPr>
          <w:p>
            <w:pPr>
              <w:ind w:left="40"/>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76"/>
        </w:trPr>
        <w:tc>
          <w:tcPr>
            <w:tcW w:w="9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64"/>
        </w:trPr>
        <w:tc>
          <w:tcPr>
            <w:tcW w:w="9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56"/>
        </w:trPr>
        <w:tc>
          <w:tcPr>
            <w:tcW w:w="9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future lease payments</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4,317</w:t>
            </w:r>
          </w:p>
        </w:tc>
        <w:tc>
          <w:tcPr>
            <w:tcW w:w="0" w:type="dxa"/>
            <w:vAlign w:val="bottom"/>
          </w:tcPr>
          <w:p>
            <w:pPr>
              <w:spacing w:after="0"/>
              <w:rPr>
                <w:sz w:val="1"/>
                <w:szCs w:val="1"/>
                <w:color w:val="auto"/>
              </w:rPr>
            </w:pPr>
          </w:p>
        </w:tc>
      </w:tr>
      <w:tr>
        <w:trPr>
          <w:trHeight w:val="264"/>
        </w:trPr>
        <w:tc>
          <w:tcPr>
            <w:tcW w:w="9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Discount of cash flows</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Present value of net future lease payments</w:t>
            </w:r>
          </w:p>
        </w:tc>
        <w:tc>
          <w:tcPr>
            <w:tcW w:w="3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4,163</w:t>
            </w:r>
          </w:p>
        </w:tc>
        <w:tc>
          <w:tcPr>
            <w:tcW w:w="0" w:type="dxa"/>
            <w:vAlign w:val="bottom"/>
          </w:tcPr>
          <w:p>
            <w:pPr>
              <w:spacing w:after="0"/>
              <w:rPr>
                <w:sz w:val="1"/>
                <w:szCs w:val="1"/>
                <w:color w:val="auto"/>
              </w:rPr>
            </w:pPr>
          </w:p>
        </w:tc>
      </w:tr>
      <w:tr>
        <w:trPr>
          <w:trHeight w:val="155"/>
        </w:trPr>
        <w:tc>
          <w:tcPr>
            <w:tcW w:w="92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16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for specific attributes of that loan.</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730" w:right="339" w:bottom="1440" w:gutter="0" w:footer="0" w:header="0"/>
        </w:sectPr>
      </w:pPr>
    </w:p>
    <w:bookmarkStart w:id="32" w:name="page33"/>
    <w:bookmarkEnd w:id="32"/>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categorized its financial instruments measured at fair value on a recurring basis as of June 30,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Financial Instruments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0" w:type="dxa"/>
            <w:vAlign w:val="bottom"/>
          </w:tcPr>
          <w:p>
            <w:pPr>
              <w:spacing w:after="0"/>
              <w:rPr>
                <w:sz w:val="11"/>
                <w:szCs w:val="11"/>
                <w:color w:val="auto"/>
              </w:rPr>
            </w:pPr>
          </w:p>
        </w:tc>
        <w:tc>
          <w:tcPr>
            <w:tcW w:w="59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2"/>
        </w:trPr>
        <w:tc>
          <w:tcPr>
            <w:tcW w:w="40" w:type="dxa"/>
            <w:vAlign w:val="bottom"/>
          </w:tcPr>
          <w:p>
            <w:pPr>
              <w:spacing w:after="0"/>
              <w:rPr>
                <w:sz w:val="21"/>
                <w:szCs w:val="21"/>
                <w:color w:val="auto"/>
              </w:rPr>
            </w:pPr>
          </w:p>
        </w:tc>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 Inputs</w:t>
            </w:r>
          </w:p>
        </w:tc>
        <w:tc>
          <w:tcPr>
            <w:tcW w:w="12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Level 3 Inputs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5940" w:type="dxa"/>
            <w:vAlign w:val="bottom"/>
            <w:gridSpan w:val="3"/>
          </w:tcPr>
          <w:p>
            <w:pPr>
              <w:ind w:left="140"/>
              <w:spacing w:after="0"/>
              <w:rPr>
                <w:sz w:val="20"/>
                <w:szCs w:val="20"/>
                <w:color w:val="auto"/>
              </w:rPr>
            </w:pPr>
            <w:r>
              <w:rPr>
                <w:rFonts w:ascii="Arial" w:cs="Arial" w:eastAsia="Arial" w:hAnsi="Arial"/>
                <w:sz w:val="14"/>
                <w:szCs w:val="14"/>
                <w:color w:val="auto"/>
              </w:rPr>
              <w:t>Municipal</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543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543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ind w:left="840"/>
              <w:spacing w:after="0"/>
              <w:rPr>
                <w:sz w:val="20"/>
                <w:szCs w:val="20"/>
                <w:color w:val="auto"/>
              </w:rPr>
            </w:pPr>
            <w:r>
              <w:rPr>
                <w:rFonts w:ascii="Arial" w:cs="Arial" w:eastAsia="Arial" w:hAnsi="Arial"/>
                <w:sz w:val="14"/>
                <w:szCs w:val="14"/>
                <w:b w:val="1"/>
                <w:bCs w:val="1"/>
                <w:color w:val="auto"/>
              </w:rPr>
              <w:t>—</w:t>
            </w:r>
          </w:p>
        </w:tc>
      </w:tr>
      <w:tr>
        <w:trPr>
          <w:trHeight w:val="276"/>
        </w:trPr>
        <w:tc>
          <w:tcPr>
            <w:tcW w:w="40" w:type="dxa"/>
            <w:vAlign w:val="bottom"/>
            <w:shd w:val="clear" w:color="auto" w:fill="CCEEFF"/>
          </w:tcPr>
          <w:p>
            <w:pPr>
              <w:spacing w:after="0"/>
              <w:rPr>
                <w:sz w:val="24"/>
                <w:szCs w:val="24"/>
                <w:color w:val="auto"/>
              </w:rPr>
            </w:pPr>
          </w:p>
        </w:tc>
        <w:tc>
          <w:tcPr>
            <w:tcW w:w="59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Corporate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r>
      <w:tr>
        <w:trPr>
          <w:trHeight w:val="264"/>
        </w:trPr>
        <w:tc>
          <w:tcPr>
            <w:tcW w:w="40" w:type="dxa"/>
            <w:vAlign w:val="bottom"/>
            <w:tcBorders>
              <w:bottom w:val="single" w:sz="8" w:color="CCEEFF"/>
            </w:tcBorders>
          </w:tcPr>
          <w:p>
            <w:pPr>
              <w:spacing w:after="0"/>
              <w:rPr>
                <w:sz w:val="22"/>
                <w:szCs w:val="22"/>
                <w:color w:val="auto"/>
              </w:rPr>
            </w:pPr>
          </w:p>
        </w:tc>
        <w:tc>
          <w:tcPr>
            <w:tcW w:w="594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Mortgage-backed securities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54,016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54,016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w:t>
            </w: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56,796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59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Loans held for sale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116,969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116,969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w:t>
            </w:r>
          </w:p>
        </w:tc>
      </w:tr>
      <w:tr>
        <w:trPr>
          <w:trHeight w:val="210"/>
        </w:trPr>
        <w:tc>
          <w:tcPr>
            <w:tcW w:w="40" w:type="dxa"/>
            <w:vAlign w:val="bottom"/>
            <w:tcBorders>
              <w:bottom w:val="single" w:sz="8" w:color="CCEEFF"/>
            </w:tcBorders>
            <w:shd w:val="clear" w:color="auto" w:fill="CCEEFF"/>
          </w:tcPr>
          <w:p>
            <w:pPr>
              <w:spacing w:after="0"/>
              <w:rPr>
                <w:sz w:val="18"/>
                <w:szCs w:val="18"/>
                <w:color w:val="auto"/>
              </w:rPr>
            </w:pPr>
          </w:p>
        </w:tc>
        <w:tc>
          <w:tcPr>
            <w:tcW w:w="5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40" w:type="dxa"/>
            <w:vAlign w:val="bottom"/>
            <w:gridSpan w:val="3"/>
          </w:tcPr>
          <w:p>
            <w:pPr>
              <w:spacing w:after="0"/>
              <w:rPr>
                <w:sz w:val="20"/>
                <w:szCs w:val="20"/>
                <w:color w:val="auto"/>
              </w:rPr>
            </w:pPr>
            <w:r>
              <w:rPr>
                <w:rFonts w:ascii="Arial" w:cs="Arial" w:eastAsia="Arial" w:hAnsi="Arial"/>
                <w:sz w:val="14"/>
                <w:szCs w:val="14"/>
                <w:color w:val="auto"/>
              </w:rPr>
              <w:t>Derivative liabilities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178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ind w:left="840"/>
              <w:spacing w:after="0"/>
              <w:rPr>
                <w:sz w:val="20"/>
                <w:szCs w:val="20"/>
                <w:color w:val="auto"/>
              </w:rPr>
            </w:pPr>
            <w:r>
              <w:rPr>
                <w:rFonts w:ascii="Arial" w:cs="Arial" w:eastAsia="Arial" w:hAnsi="Arial"/>
                <w:sz w:val="14"/>
                <w:szCs w:val="14"/>
                <w:b w:val="1"/>
                <w:bCs w:val="1"/>
                <w:color w:val="auto"/>
              </w:rPr>
              <w:t>—</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46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5940" w:type="dxa"/>
            <w:vAlign w:val="bottom"/>
            <w:gridSpan w:val="3"/>
          </w:tcPr>
          <w:p>
            <w:pPr>
              <w:ind w:left="140"/>
              <w:spacing w:after="0"/>
              <w:rPr>
                <w:sz w:val="20"/>
                <w:szCs w:val="20"/>
                <w:color w:val="auto"/>
              </w:rPr>
            </w:pPr>
            <w:r>
              <w:rPr>
                <w:rFonts w:ascii="Arial" w:cs="Arial" w:eastAsia="Arial" w:hAnsi="Arial"/>
                <w:sz w:val="14"/>
                <w:szCs w:val="14"/>
                <w:color w:val="auto"/>
              </w:rPr>
              <w:t>U.S. government-sponsored enterprises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r>
      <w:tr>
        <w:trPr>
          <w:trHeight w:val="276"/>
        </w:trPr>
        <w:tc>
          <w:tcPr>
            <w:tcW w:w="40" w:type="dxa"/>
            <w:vAlign w:val="bottom"/>
            <w:shd w:val="clear" w:color="auto" w:fill="CCEEFF"/>
          </w:tcPr>
          <w:p>
            <w:pPr>
              <w:spacing w:after="0"/>
              <w:rPr>
                <w:sz w:val="24"/>
                <w:szCs w:val="24"/>
                <w:color w:val="auto"/>
              </w:rPr>
            </w:pPr>
          </w:p>
        </w:tc>
        <w:tc>
          <w:tcPr>
            <w:tcW w:w="59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Municipal</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264"/>
        </w:trPr>
        <w:tc>
          <w:tcPr>
            <w:tcW w:w="40" w:type="dxa"/>
            <w:vAlign w:val="bottom"/>
          </w:tcPr>
          <w:p>
            <w:pPr>
              <w:spacing w:after="0"/>
              <w:rPr>
                <w:sz w:val="22"/>
                <w:szCs w:val="22"/>
                <w:color w:val="auto"/>
              </w:rPr>
            </w:pPr>
          </w:p>
        </w:tc>
        <w:tc>
          <w:tcPr>
            <w:tcW w:w="5940" w:type="dxa"/>
            <w:vAlign w:val="bottom"/>
            <w:gridSpan w:val="3"/>
          </w:tcPr>
          <w:p>
            <w:pPr>
              <w:ind w:left="140"/>
              <w:spacing w:after="0"/>
              <w:rPr>
                <w:sz w:val="20"/>
                <w:szCs w:val="20"/>
                <w:color w:val="auto"/>
              </w:rPr>
            </w:pPr>
            <w:r>
              <w:rPr>
                <w:rFonts w:ascii="Arial" w:cs="Arial" w:eastAsia="Arial" w:hAnsi="Arial"/>
                <w:sz w:val="14"/>
                <w:szCs w:val="14"/>
                <w:color w:val="auto"/>
              </w:rPr>
              <w:t>Corporate</w:t>
            </w:r>
          </w:p>
        </w:tc>
        <w:tc>
          <w:tcPr>
            <w:tcW w:w="28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2,565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2,565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shd w:val="clear" w:color="auto" w:fill="CCEEFF"/>
          </w:tcPr>
          <w:p>
            <w:pPr>
              <w:spacing w:after="0"/>
              <w:rPr>
                <w:sz w:val="23"/>
                <w:szCs w:val="23"/>
                <w:color w:val="auto"/>
              </w:rPr>
            </w:pPr>
          </w:p>
        </w:tc>
        <w:tc>
          <w:tcPr>
            <w:tcW w:w="59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Mortgage-backed securities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56,736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56,736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283"/>
        </w:trPr>
        <w:tc>
          <w:tcPr>
            <w:tcW w:w="40" w:type="dxa"/>
            <w:vAlign w:val="bottom"/>
            <w:tcBorders>
              <w:bottom w:val="single" w:sz="8" w:color="CCEEFF"/>
            </w:tcBorders>
          </w:tcPr>
          <w:p>
            <w:pPr>
              <w:spacing w:after="0"/>
              <w:rPr>
                <w:sz w:val="24"/>
                <w:szCs w:val="24"/>
                <w:color w:val="auto"/>
              </w:rPr>
            </w:pPr>
          </w:p>
        </w:tc>
        <w:tc>
          <w:tcPr>
            <w:tcW w:w="5940" w:type="dxa"/>
            <w:vAlign w:val="bottom"/>
            <w:tcBorders>
              <w:bottom w:val="single" w:sz="8" w:color="CCEEFF"/>
            </w:tcBorders>
            <w:gridSpan w:val="3"/>
          </w:tcPr>
          <w:p>
            <w:pPr>
              <w:ind w:left="24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60,828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60,828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r>
      <w:tr>
        <w:trPr>
          <w:trHeight w:val="210"/>
        </w:trPr>
        <w:tc>
          <w:tcPr>
            <w:tcW w:w="40" w:type="dxa"/>
            <w:vAlign w:val="bottom"/>
            <w:tcBorders>
              <w:bottom w:val="single" w:sz="8" w:color="CCEEFF"/>
            </w:tcBorders>
            <w:shd w:val="clear" w:color="auto" w:fill="CCEEFF"/>
          </w:tcPr>
          <w:p>
            <w:pPr>
              <w:spacing w:after="0"/>
              <w:rPr>
                <w:sz w:val="18"/>
                <w:szCs w:val="18"/>
                <w:color w:val="auto"/>
              </w:rPr>
            </w:pPr>
          </w:p>
        </w:tc>
        <w:tc>
          <w:tcPr>
            <w:tcW w:w="5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71,030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71,030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59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Derivative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r>
      <w:tr>
        <w:trPr>
          <w:trHeight w:val="210"/>
        </w:trPr>
        <w:tc>
          <w:tcPr>
            <w:tcW w:w="40" w:type="dxa"/>
            <w:vAlign w:val="bottom"/>
            <w:shd w:val="clear" w:color="auto" w:fill="CCEEFF"/>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Derivative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FASB ASC 825-10, and the aggregate unpaid principal amount the Company is contractually entitled to receive at maturity:</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Loans Held for Sale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0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Pr>
          <w:p>
            <w:pPr>
              <w:spacing w:after="0"/>
              <w:rPr>
                <w:sz w:val="17"/>
                <w:szCs w:val="17"/>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Aggregate fair value</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116,969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71,030</w:t>
            </w:r>
          </w:p>
        </w:tc>
      </w:tr>
      <w:tr>
        <w:trPr>
          <w:trHeight w:val="264"/>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Contractual principal</w:t>
            </w:r>
          </w:p>
        </w:tc>
        <w:tc>
          <w:tcPr>
            <w:tcW w:w="3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109,945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67,118</w:t>
            </w:r>
          </w:p>
        </w:tc>
      </w:tr>
      <w:tr>
        <w:trPr>
          <w:trHeight w:val="242"/>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Difference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Company has elected to account for loans held for sale at fair value to eliminate the mismatch that would occur by recording changes in market value on derivative instruments used to hedge loans held for sale while carrying the loans at the lower of cost or market.</w:t>
      </w:r>
    </w:p>
    <w:p>
      <w:pPr>
        <w:sectPr>
          <w:pgSz w:w="11900" w:h="16838" w:orient="portrait"/>
          <w:cols w:equalWidth="0" w:num="1">
            <w:col w:w="11240"/>
          </w:cols>
          <w:pgMar w:left="320" w:top="73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730" w:right="339" w:bottom="1440" w:gutter="0" w:footer="0" w:header="0"/>
          <w:type w:val="continuous"/>
        </w:sectPr>
      </w:pPr>
    </w:p>
    <w:bookmarkStart w:id="33" w:name="page34"/>
    <w:bookmarkEnd w:id="33"/>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Impaired loans </w:t>
      </w:r>
      <w:r>
        <w:rPr>
          <w:rFonts w:ascii="Arial" w:cs="Arial" w:eastAsia="Arial" w:hAnsi="Arial"/>
          <w:sz w:val="18"/>
          <w:szCs w:val="18"/>
          <w:color w:val="auto"/>
        </w:rPr>
        <w:t>- The Company has measured impairment generally based on the fair value of the loan's collateral and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analysis. Fair value is generally determined based upon independent third-party appraisals of the properties, or discounted cash flows based upon the expected proceeds. These assets are included as Level 3 fair values. As of June 30, 2020 and December 31, 2019, the fair values consist of loan balances of $5.0 million and $4.1 million, with specific reserves of $88 thousand and $119 thousand, respectively.</w:t>
      </w:r>
    </w:p>
    <w:p>
      <w:pPr>
        <w:spacing w:after="0" w:line="18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offers and/or appraisals. Cost to sell the real estate was based on standard market factors. The Company has categorized its foreclosed real estate as Level 3.</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categorized its impaired loans and foreclosed real estate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17"/>
                <w:szCs w:val="17"/>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2019</w:t>
            </w:r>
          </w:p>
        </w:tc>
      </w:tr>
      <w:tr>
        <w:trPr>
          <w:trHeight w:val="269"/>
        </w:trPr>
        <w:tc>
          <w:tcPr>
            <w:tcW w:w="7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w:t>
            </w:r>
          </w:p>
        </w:tc>
        <w:tc>
          <w:tcPr>
            <w:tcW w:w="34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60" w:type="dxa"/>
            <w:vAlign w:val="bottom"/>
            <w:tcBorders>
              <w:top w:val="single" w:sz="8" w:color="auto"/>
            </w:tcBorders>
            <w:shd w:val="clear" w:color="auto" w:fill="CCEEFF"/>
          </w:tcPr>
          <w:p>
            <w:pPr>
              <w:spacing w:after="0"/>
              <w:rPr>
                <w:sz w:val="23"/>
                <w:szCs w:val="23"/>
                <w:color w:val="auto"/>
              </w:rPr>
            </w:pPr>
          </w:p>
        </w:tc>
      </w:tr>
      <w:tr>
        <w:trPr>
          <w:trHeight w:val="264"/>
        </w:trPr>
        <w:tc>
          <w:tcPr>
            <w:tcW w:w="7060" w:type="dxa"/>
            <w:vAlign w:val="bottom"/>
          </w:tcPr>
          <w:p>
            <w:pPr>
              <w:ind w:left="40"/>
              <w:spacing w:after="0"/>
              <w:rPr>
                <w:sz w:val="20"/>
                <w:szCs w:val="20"/>
                <w:color w:val="auto"/>
              </w:rPr>
            </w:pPr>
            <w:r>
              <w:rPr>
                <w:rFonts w:ascii="Arial" w:cs="Arial" w:eastAsia="Arial" w:hAnsi="Arial"/>
                <w:sz w:val="14"/>
                <w:szCs w:val="14"/>
                <w:color w:val="auto"/>
              </w:rPr>
              <w:t>Level 1 inputs</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Level 2 inputs</w:t>
            </w:r>
          </w:p>
        </w:tc>
        <w:tc>
          <w:tcPr>
            <w:tcW w:w="34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Level 3 inputs</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4,952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3,980</w:t>
            </w:r>
          </w:p>
        </w:tc>
      </w:tr>
      <w:tr>
        <w:trPr>
          <w:trHeight w:val="242"/>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3,980</w:t>
            </w: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1"/>
        </w:trPr>
        <w:tc>
          <w:tcPr>
            <w:tcW w:w="7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0"/>
        </w:trPr>
        <w:tc>
          <w:tcPr>
            <w:tcW w:w="7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Foreclosed real estate</w:t>
            </w: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4"/>
        </w:trPr>
        <w:tc>
          <w:tcPr>
            <w:tcW w:w="7060" w:type="dxa"/>
            <w:vAlign w:val="bottom"/>
          </w:tcPr>
          <w:p>
            <w:pPr>
              <w:ind w:left="40"/>
              <w:spacing w:after="0"/>
              <w:rPr>
                <w:sz w:val="20"/>
                <w:szCs w:val="20"/>
                <w:color w:val="auto"/>
              </w:rPr>
            </w:pPr>
            <w:r>
              <w:rPr>
                <w:rFonts w:ascii="Arial" w:cs="Arial" w:eastAsia="Arial" w:hAnsi="Arial"/>
                <w:sz w:val="14"/>
                <w:szCs w:val="14"/>
                <w:color w:val="auto"/>
              </w:rPr>
              <w:t>Level 1 inputs</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Level 2 inputs</w:t>
            </w:r>
          </w:p>
        </w:tc>
        <w:tc>
          <w:tcPr>
            <w:tcW w:w="34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Level 3 inputs</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3,326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2,384</w:t>
            </w:r>
          </w:p>
        </w:tc>
      </w:tr>
      <w:tr>
        <w:trPr>
          <w:trHeight w:val="243"/>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2,384</w:t>
            </w: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provides information describing the unobservable inputs used in Level 3 fair value measurements at June 30, 2020 and December 31, 2019:</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546"/>
        </w:trPr>
        <w:tc>
          <w:tcPr>
            <w:tcW w:w="2160" w:type="dxa"/>
            <w:vAlign w:val="bottom"/>
            <w:tcBorders>
              <w:bottom w:val="single" w:sz="8" w:color="CCEEFF"/>
            </w:tcBorders>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24"/>
                <w:szCs w:val="24"/>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 of Inputs</w:t>
            </w:r>
          </w:p>
        </w:tc>
      </w:tr>
      <w:tr>
        <w:trPr>
          <w:trHeight w:val="193"/>
        </w:trPr>
        <w:tc>
          <w:tcPr>
            <w:tcW w:w="216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Discounts to appraisals or cash flows for estimated holding</w:t>
            </w:r>
          </w:p>
        </w:tc>
        <w:tc>
          <w:tcPr>
            <w:tcW w:w="1800" w:type="dxa"/>
            <w:vAlign w:val="bottom"/>
            <w:shd w:val="clear" w:color="auto" w:fill="CCEEFF"/>
          </w:tcPr>
          <w:p>
            <w:pPr>
              <w:spacing w:after="0"/>
              <w:rPr>
                <w:sz w:val="16"/>
                <w:szCs w:val="16"/>
                <w:color w:val="auto"/>
              </w:rPr>
            </w:pPr>
          </w:p>
        </w:tc>
      </w:tr>
      <w:tr>
        <w:trPr>
          <w:trHeight w:val="184"/>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Impaired Loans</w:t>
            </w:r>
          </w:p>
        </w:tc>
        <w:tc>
          <w:tcPr>
            <w:tcW w:w="3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Appraised Value/Discounted Cash Flows</w:t>
            </w:r>
          </w:p>
        </w:tc>
        <w:tc>
          <w:tcPr>
            <w:tcW w:w="4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and/or selling costs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 to 25%</w:t>
            </w:r>
          </w:p>
        </w:tc>
      </w:tr>
      <w:tr>
        <w:trPr>
          <w:trHeight w:val="194"/>
        </w:trPr>
        <w:tc>
          <w:tcPr>
            <w:tcW w:w="21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gridSpan w:val="2"/>
          </w:tcPr>
          <w:p>
            <w:pPr>
              <w:jc w:val="center"/>
              <w:ind w:right="120"/>
              <w:spacing w:after="0"/>
              <w:rPr>
                <w:sz w:val="20"/>
                <w:szCs w:val="20"/>
                <w:color w:val="auto"/>
              </w:rPr>
            </w:pPr>
            <w:r>
              <w:rPr>
                <w:rFonts w:ascii="Arial" w:cs="Arial" w:eastAsia="Arial" w:hAnsi="Arial"/>
                <w:sz w:val="14"/>
                <w:szCs w:val="14"/>
                <w:color w:val="auto"/>
              </w:rPr>
              <w:t>Discounts to appraisals for estimated holding and/or selling</w:t>
            </w:r>
          </w:p>
        </w:tc>
        <w:tc>
          <w:tcPr>
            <w:tcW w:w="1800" w:type="dxa"/>
            <w:vAlign w:val="bottom"/>
          </w:tcPr>
          <w:p>
            <w:pPr>
              <w:spacing w:after="0"/>
              <w:rPr>
                <w:sz w:val="16"/>
                <w:szCs w:val="16"/>
                <w:color w:val="auto"/>
              </w:rPr>
            </w:pPr>
          </w:p>
        </w:tc>
      </w:tr>
      <w:tr>
        <w:trPr>
          <w:trHeight w:val="172"/>
        </w:trPr>
        <w:tc>
          <w:tcPr>
            <w:tcW w:w="2160" w:type="dxa"/>
            <w:vAlign w:val="bottom"/>
          </w:tcPr>
          <w:p>
            <w:pPr>
              <w:ind w:left="40"/>
              <w:spacing w:after="0"/>
              <w:rPr>
                <w:sz w:val="20"/>
                <w:szCs w:val="20"/>
                <w:color w:val="auto"/>
              </w:rPr>
            </w:pPr>
            <w:r>
              <w:rPr>
                <w:rFonts w:ascii="Arial" w:cs="Arial" w:eastAsia="Arial" w:hAnsi="Arial"/>
                <w:sz w:val="14"/>
                <w:szCs w:val="14"/>
                <w:color w:val="auto"/>
              </w:rPr>
              <w:t>Foreclosed Real Estate</w:t>
            </w:r>
          </w:p>
        </w:tc>
        <w:tc>
          <w:tcPr>
            <w:tcW w:w="3040" w:type="dxa"/>
            <w:vAlign w:val="bottom"/>
            <w:gridSpan w:val="2"/>
          </w:tcPr>
          <w:p>
            <w:pPr>
              <w:jc w:val="center"/>
              <w:ind w:right="120"/>
              <w:spacing w:after="0"/>
              <w:rPr>
                <w:sz w:val="20"/>
                <w:szCs w:val="20"/>
                <w:color w:val="auto"/>
              </w:rPr>
            </w:pPr>
            <w:r>
              <w:rPr>
                <w:rFonts w:ascii="Arial" w:cs="Arial" w:eastAsia="Arial" w:hAnsi="Arial"/>
                <w:sz w:val="14"/>
                <w:szCs w:val="14"/>
                <w:color w:val="auto"/>
              </w:rPr>
              <w:t>Appraised Value/Comparable Sales</w:t>
            </w:r>
          </w:p>
        </w:tc>
        <w:tc>
          <w:tcPr>
            <w:tcW w:w="4240" w:type="dxa"/>
            <w:vAlign w:val="bottom"/>
            <w:gridSpan w:val="2"/>
          </w:tcPr>
          <w:p>
            <w:pPr>
              <w:jc w:val="center"/>
              <w:ind w:right="100"/>
              <w:spacing w:after="0"/>
              <w:rPr>
                <w:sz w:val="20"/>
                <w:szCs w:val="20"/>
                <w:color w:val="auto"/>
              </w:rPr>
            </w:pPr>
            <w:r>
              <w:rPr>
                <w:rFonts w:ascii="Arial" w:cs="Arial" w:eastAsia="Arial" w:hAnsi="Arial"/>
                <w:sz w:val="14"/>
                <w:szCs w:val="14"/>
                <w:color w:val="auto"/>
              </w:rPr>
              <w:t>costs</w:t>
            </w:r>
          </w:p>
        </w:tc>
        <w:tc>
          <w:tcPr>
            <w:tcW w:w="1800" w:type="dxa"/>
            <w:vAlign w:val="bottom"/>
          </w:tcPr>
          <w:p>
            <w:pPr>
              <w:jc w:val="center"/>
              <w:spacing w:after="0"/>
              <w:rPr>
                <w:sz w:val="20"/>
                <w:szCs w:val="20"/>
                <w:color w:val="auto"/>
              </w:rPr>
            </w:pPr>
            <w:r>
              <w:rPr>
                <w:rFonts w:ascii="Arial" w:cs="Arial" w:eastAsia="Arial" w:hAnsi="Arial"/>
                <w:sz w:val="14"/>
                <w:szCs w:val="14"/>
                <w:color w:val="auto"/>
              </w:rPr>
              <w:t>11 to 25%</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ectPr>
          <w:pgSz w:w="11900" w:h="16838" w:orient="portrait"/>
          <w:cols w:equalWidth="0" w:num="1">
            <w:col w:w="11240"/>
          </w:cols>
          <w:pgMar w:left="320" w:top="730"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730" w:right="339" w:bottom="1440" w:gutter="0" w:footer="0" w:header="0"/>
          <w:type w:val="continuous"/>
        </w:sectPr>
      </w:pPr>
    </w:p>
    <w:bookmarkStart w:id="34" w:name="page35"/>
    <w:bookmarkEnd w:id="34"/>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may not be 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fair value of the Company’s loan portfolio has always included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20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19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fair value of cash and cash equivalents and investments in restricted stocks is the carrying amount. Restricted stock includes equity of the Federal Reserve and other banker’s banks.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20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20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table below presents the carrying amount, fair value, and placement in the fair value hierarchy of the Company’s financial instruments.</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30" w:right="339" w:bottom="1440" w:gutter="0" w:footer="0" w:header="0"/>
        </w:sectPr>
      </w:pPr>
    </w:p>
    <w:bookmarkStart w:id="35" w:name="page36"/>
    <w:bookmarkEnd w:id="35"/>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Selected Financial Instruments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55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2"/>
                <w:szCs w:val="22"/>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2"/>
                <w:szCs w:val="22"/>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Fair Value</w:t>
            </w:r>
          </w:p>
        </w:tc>
      </w:tr>
      <w:tr>
        <w:trPr>
          <w:trHeight w:val="269"/>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Financial assets</w:t>
            </w:r>
          </w:p>
        </w:tc>
        <w:tc>
          <w:tcPr>
            <w:tcW w:w="3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5520" w:type="dxa"/>
            <w:vAlign w:val="bottom"/>
          </w:tcPr>
          <w:p>
            <w:pPr>
              <w:ind w:left="180"/>
              <w:spacing w:after="0"/>
              <w:rPr>
                <w:sz w:val="20"/>
                <w:szCs w:val="20"/>
                <w:color w:val="auto"/>
              </w:rPr>
            </w:pPr>
            <w:r>
              <w:rPr>
                <w:rFonts w:ascii="Arial" w:cs="Arial" w:eastAsia="Arial" w:hAnsi="Arial"/>
                <w:sz w:val="14"/>
                <w:szCs w:val="14"/>
                <w:color w:val="auto"/>
              </w:rPr>
              <w:t>Level 1</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due from banks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10,530</w:t>
            </w: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Interest bearing deposits at other financial institutions</w:t>
            </w:r>
          </w:p>
        </w:tc>
        <w:tc>
          <w:tcPr>
            <w:tcW w:w="3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180,379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180,379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102,447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102,447</w:t>
            </w: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Federal funds sold</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1,847</w:t>
            </w:r>
          </w:p>
        </w:tc>
      </w:tr>
      <w:tr>
        <w:trPr>
          <w:trHeight w:val="264"/>
        </w:trPr>
        <w:tc>
          <w:tcPr>
            <w:tcW w:w="5520" w:type="dxa"/>
            <w:vAlign w:val="bottom"/>
          </w:tcPr>
          <w:p>
            <w:pPr>
              <w:ind w:left="180"/>
              <w:spacing w:after="0"/>
              <w:rPr>
                <w:sz w:val="20"/>
                <w:szCs w:val="20"/>
                <w:color w:val="auto"/>
              </w:rPr>
            </w:pPr>
            <w:r>
              <w:rPr>
                <w:rFonts w:ascii="Arial" w:cs="Arial" w:eastAsia="Arial" w:hAnsi="Arial"/>
                <w:sz w:val="14"/>
                <w:szCs w:val="14"/>
                <w:color w:val="auto"/>
              </w:rPr>
              <w:t>Level 3</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Loans receivable, net </w:t>
            </w:r>
            <w:r>
              <w:rPr>
                <w:rFonts w:ascii="Arial" w:cs="Arial" w:eastAsia="Arial" w:hAnsi="Arial"/>
                <w:sz w:val="17"/>
                <w:szCs w:val="17"/>
                <w:color w:val="auto"/>
                <w:vertAlign w:val="superscript"/>
              </w:rPr>
              <w:t>(1)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1,422,443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1,427,006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1,157,820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1,155,922</w:t>
            </w: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Restricted investments</w:t>
            </w:r>
          </w:p>
        </w:tc>
        <w:tc>
          <w:tcPr>
            <w:tcW w:w="3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4,085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4,085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3,966</w:t>
            </w:r>
          </w:p>
        </w:tc>
      </w:tr>
      <w:tr>
        <w:trPr>
          <w:trHeight w:val="276"/>
        </w:trPr>
        <w:tc>
          <w:tcPr>
            <w:tcW w:w="5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Financial liabilities</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Level 1</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Noninterest bearing deposits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563,995</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563,995</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291,777</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291,777</w:t>
            </w:r>
          </w:p>
        </w:tc>
      </w:tr>
      <w:tr>
        <w:trPr>
          <w:trHeight w:val="276"/>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Level 3</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Interest bearing deposits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1,044,731</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1,047,975</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933,644</w:t>
            </w:r>
          </w:p>
        </w:tc>
        <w:tc>
          <w:tcPr>
            <w:tcW w:w="10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934,349</w:t>
            </w: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FHLB advances and other borrowed funds</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42,948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42,974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47,678</w:t>
            </w:r>
          </w:p>
        </w:tc>
      </w:tr>
      <w:tr>
        <w:trPr>
          <w:trHeight w:val="204"/>
        </w:trPr>
        <w:tc>
          <w:tcPr>
            <w:tcW w:w="5520" w:type="dxa"/>
            <w:vAlign w:val="bottom"/>
          </w:tcPr>
          <w:p>
            <w:pPr>
              <w:spacing w:after="0"/>
              <w:rPr>
                <w:sz w:val="20"/>
                <w:szCs w:val="20"/>
                <w:color w:val="auto"/>
              </w:rPr>
            </w:pPr>
            <w:r>
              <w:rPr>
                <w:rFonts w:ascii="Arial" w:cs="Arial" w:eastAsia="Arial" w:hAnsi="Arial"/>
                <w:sz w:val="14"/>
                <w:szCs w:val="14"/>
                <w:color w:val="auto"/>
              </w:rPr>
              <w:t>________________________</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20" w:type="dxa"/>
            <w:vAlign w:val="bottom"/>
          </w:tcPr>
          <w:p>
            <w:pPr>
              <w:jc w:val="right"/>
              <w:ind w:right="55"/>
              <w:spacing w:after="0"/>
              <w:rPr>
                <w:sz w:val="20"/>
                <w:szCs w:val="20"/>
                <w:color w:val="auto"/>
              </w:rPr>
            </w:pPr>
            <w:r>
              <w:rPr>
                <w:rFonts w:ascii="Arial" w:cs="Arial" w:eastAsia="Arial" w:hAnsi="Arial"/>
                <w:sz w:val="9"/>
                <w:szCs w:val="9"/>
                <w:color w:val="auto"/>
                <w:w w:val="90"/>
              </w:rPr>
              <w:t>(1)</w:t>
            </w:r>
          </w:p>
        </w:tc>
        <w:tc>
          <w:tcPr>
            <w:tcW w:w="2960" w:type="dxa"/>
            <w:vAlign w:val="bottom"/>
            <w:vMerge w:val="restart"/>
          </w:tcPr>
          <w:p>
            <w:pPr>
              <w:ind w:left="120"/>
              <w:spacing w:after="0"/>
              <w:rPr>
                <w:sz w:val="20"/>
                <w:szCs w:val="20"/>
                <w:color w:val="auto"/>
              </w:rPr>
            </w:pPr>
            <w:r>
              <w:rPr>
                <w:rFonts w:ascii="Arial" w:cs="Arial" w:eastAsia="Arial" w:hAnsi="Arial"/>
                <w:sz w:val="14"/>
                <w:szCs w:val="14"/>
                <w:color w:val="auto"/>
              </w:rPr>
              <w:t>Includes SBA-PPP loans and portfolio loans.</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2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30" w:right="339" w:bottom="1440" w:gutter="0" w:footer="0" w:header="0"/>
        </w:sectPr>
      </w:pPr>
    </w:p>
    <w:bookmarkStart w:id="36" w:name="page37"/>
    <w:bookmarkEnd w:id="36"/>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68408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40855"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408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Company’s reportable segments represent product line divisions and are viewed separately for strategic planning purposes by management. The four segments include Commercial Banking, Capital Bank Home Loans (the Company’s mortgage loan division),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Company’s credit card division) and the Corporate Office. The following schedule presents financial information for each reportable segment at June 30, 2020.</w:t>
      </w:r>
    </w:p>
    <w:p>
      <w:pPr>
        <w:spacing w:after="0" w:line="3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June 30, 2020</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29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4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Bank</w:t>
            </w:r>
          </w:p>
        </w:tc>
        <w:tc>
          <w:tcPr>
            <w:tcW w:w="22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CBHL</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7"/>
                <w:szCs w:val="17"/>
                <w:b w:val="1"/>
                <w:bCs w:val="1"/>
                <w:color w:val="auto"/>
                <w:vertAlign w:val="superscript"/>
              </w:rPr>
              <w:t>®</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7"/>
                <w:szCs w:val="17"/>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Consolidated</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16,345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690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4,375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5,318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22,000</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2,735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b w:val="1"/>
                <w:bCs w:val="1"/>
                <w:color w:val="auto"/>
              </w:rPr>
              <w:t>387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3,376</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34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13,610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303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4,375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(4,690)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18,624</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Provision for loan losses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3,083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3,300</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34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10,527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303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4,158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(4,690)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15,324</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183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b w:val="1"/>
                <w:bCs w:val="1"/>
                <w:color w:val="auto"/>
              </w:rPr>
              <w:t>10,802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2,913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13,899</w:t>
            </w: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8,187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7,274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22,703</w:t>
            </w:r>
          </w:p>
        </w:tc>
      </w:tr>
      <w:tr>
        <w:trPr>
          <w:trHeight w:val="283"/>
        </w:trPr>
        <w:tc>
          <w:tcPr>
            <w:tcW w:w="40" w:type="dxa"/>
            <w:vAlign w:val="bottom"/>
            <w:tcBorders>
              <w:bottom w:val="single" w:sz="8" w:color="CCEEFF"/>
            </w:tcBorders>
          </w:tcPr>
          <w:p>
            <w:pPr>
              <w:spacing w:after="0"/>
              <w:rPr>
                <w:sz w:val="24"/>
                <w:szCs w:val="24"/>
                <w:color w:val="auto"/>
              </w:rPr>
            </w:pPr>
          </w:p>
        </w:tc>
        <w:tc>
          <w:tcPr>
            <w:tcW w:w="3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b w:val="1"/>
                <w:bCs w:val="1"/>
                <w:color w:val="auto"/>
              </w:rPr>
              <w:t>Net income before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2,523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3,831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4,929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(4,690)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6,520</w:t>
            </w:r>
          </w:p>
        </w:tc>
      </w:tr>
      <w:tr>
        <w:trPr>
          <w:trHeight w:val="250"/>
        </w:trPr>
        <w:tc>
          <w:tcPr>
            <w:tcW w:w="4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96"/>
        </w:trPr>
        <w:tc>
          <w:tcPr>
            <w:tcW w:w="40" w:type="dxa"/>
            <w:vAlign w:val="bottom"/>
            <w:tcBorders>
              <w:bottom w:val="single" w:sz="8" w:color="CCEEFF"/>
            </w:tcBorders>
          </w:tcPr>
          <w:p>
            <w:pPr>
              <w:spacing w:after="0"/>
              <w:rPr>
                <w:sz w:val="24"/>
                <w:szCs w:val="24"/>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1,608,651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118,026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62,823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164,459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(131,594)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1,822,365</w:t>
            </w:r>
          </w:p>
        </w:tc>
      </w:tr>
      <w:tr>
        <w:trPr>
          <w:trHeight w:val="251"/>
        </w:trPr>
        <w:tc>
          <w:tcPr>
            <w:tcW w:w="4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June 30, 2019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29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14,521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20,289</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3,321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3,758</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34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11,200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509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4,593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4,187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16,531</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Provision for loan losses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677</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34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10,712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509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4,404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4,187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15,854</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3,805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5,927</w:t>
            </w:r>
          </w:p>
        </w:tc>
      </w:tr>
      <w:tr>
        <w:trPr>
          <w:trHeight w:val="276"/>
        </w:trPr>
        <w:tc>
          <w:tcPr>
            <w:tcW w:w="40" w:type="dxa"/>
            <w:vAlign w:val="bottom"/>
            <w:shd w:val="clear" w:color="auto" w:fill="CCEEFF"/>
          </w:tcPr>
          <w:p>
            <w:pPr>
              <w:spacing w:after="0"/>
              <w:rPr>
                <w:sz w:val="24"/>
                <w:szCs w:val="24"/>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3,459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16,210</w:t>
            </w:r>
          </w:p>
        </w:tc>
      </w:tr>
      <w:tr>
        <w:trPr>
          <w:trHeight w:val="277"/>
        </w:trPr>
        <w:tc>
          <w:tcPr>
            <w:tcW w:w="40" w:type="dxa"/>
            <w:vAlign w:val="bottom"/>
            <w:tcBorders>
              <w:bottom w:val="single" w:sz="8" w:color="CCEEFF"/>
            </w:tcBorders>
          </w:tcPr>
          <w:p>
            <w:pPr>
              <w:spacing w:after="0"/>
              <w:rPr>
                <w:sz w:val="24"/>
                <w:szCs w:val="24"/>
                <w:color w:val="auto"/>
              </w:rPr>
            </w:pPr>
          </w:p>
        </w:tc>
        <w:tc>
          <w:tcPr>
            <w:tcW w:w="3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b w:val="1"/>
                <w:bCs w:val="1"/>
                <w:color w:val="auto"/>
              </w:rPr>
              <w:t>Net income before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3,068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855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1,503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4,103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5,571</w:t>
            </w:r>
          </w:p>
        </w:tc>
      </w:tr>
      <w:tr>
        <w:trPr>
          <w:trHeight w:val="250"/>
        </w:trPr>
        <w:tc>
          <w:tcPr>
            <w:tcW w:w="4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1,106,021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49,157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42,621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142,831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(106,473)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1,234,157</w:t>
            </w: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730" w:right="339" w:bottom="1440" w:gutter="0" w:footer="0" w:header="0"/>
        </w:sectPr>
      </w:pPr>
    </w:p>
    <w:bookmarkStart w:id="37" w:name="page38"/>
    <w:bookmarkEnd w:id="37"/>
    <w:p>
      <w:pPr>
        <w:ind w:lef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Segments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For the Six Months Ended June 30, 2020</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274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4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Bank</w:t>
            </w:r>
          </w:p>
        </w:tc>
        <w:tc>
          <w:tcPr>
            <w:tcW w:w="22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CBHL</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7"/>
                <w:szCs w:val="17"/>
                <w:b w:val="1"/>
                <w:bCs w:val="1"/>
                <w:color w:val="auto"/>
                <w:vertAlign w:val="superscript"/>
              </w:rPr>
              <w:t>®</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7"/>
                <w:szCs w:val="17"/>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Consolidated</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32,452</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9,081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8,780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(7,624)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43,744</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6,322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596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570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7,433</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34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26,130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9,081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8,210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(7,569)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36,311</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Provision for loan losses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5,275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434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5,709</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34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20,855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8,647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8,210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(7,569)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30,602</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409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15,147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4,921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20,479</w:t>
            </w: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16,891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10,722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12,726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40,547</w:t>
            </w:r>
          </w:p>
        </w:tc>
      </w:tr>
      <w:tr>
        <w:trPr>
          <w:trHeight w:val="283"/>
        </w:trPr>
        <w:tc>
          <w:tcPr>
            <w:tcW w:w="40" w:type="dxa"/>
            <w:vAlign w:val="bottom"/>
            <w:tcBorders>
              <w:bottom w:val="single" w:sz="8" w:color="CCEEFF"/>
            </w:tcBorders>
          </w:tcPr>
          <w:p>
            <w:pPr>
              <w:spacing w:after="0"/>
              <w:rPr>
                <w:sz w:val="24"/>
                <w:szCs w:val="24"/>
                <w:color w:val="auto"/>
              </w:rPr>
            </w:pPr>
          </w:p>
        </w:tc>
        <w:tc>
          <w:tcPr>
            <w:tcW w:w="3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b w:val="1"/>
                <w:bCs w:val="1"/>
                <w:color w:val="auto"/>
              </w:rPr>
              <w:t>Net income before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4,884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8,004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(7,569)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10,534</w:t>
            </w:r>
          </w:p>
        </w:tc>
      </w:tr>
      <w:tr>
        <w:trPr>
          <w:trHeight w:val="250"/>
        </w:trPr>
        <w:tc>
          <w:tcPr>
            <w:tcW w:w="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1,608,651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118,026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62,823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164,459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(131,594)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1,822,365</w:t>
            </w:r>
          </w:p>
        </w:tc>
      </w:tr>
      <w:tr>
        <w:trPr>
          <w:trHeight w:val="250"/>
        </w:trPr>
        <w:tc>
          <w:tcPr>
            <w:tcW w:w="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For the Six Months Ended June 30, 2019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74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28,432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38,607</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6,563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7,332</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34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21,869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8,182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7,735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31,275</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Provision for loan losses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798</w:t>
            </w: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34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Net interest income after provision</w:t>
            </w: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21,469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7,834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7,685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30,477</w:t>
            </w:r>
          </w:p>
        </w:tc>
      </w:tr>
      <w:tr>
        <w:trPr>
          <w:trHeight w:val="264"/>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6,210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10,019</w:t>
            </w:r>
          </w:p>
        </w:tc>
      </w:tr>
      <w:tr>
        <w:trPr>
          <w:trHeight w:val="276"/>
        </w:trPr>
        <w:tc>
          <w:tcPr>
            <w:tcW w:w="40" w:type="dxa"/>
            <w:vAlign w:val="bottom"/>
            <w:shd w:val="clear" w:color="auto" w:fill="CCEEFF"/>
          </w:tcPr>
          <w:p>
            <w:pPr>
              <w:spacing w:after="0"/>
              <w:rPr>
                <w:sz w:val="24"/>
                <w:szCs w:val="24"/>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30,540</w:t>
            </w:r>
          </w:p>
        </w:tc>
      </w:tr>
      <w:tr>
        <w:trPr>
          <w:trHeight w:val="277"/>
        </w:trPr>
        <w:tc>
          <w:tcPr>
            <w:tcW w:w="40" w:type="dxa"/>
            <w:vAlign w:val="bottom"/>
            <w:tcBorders>
              <w:bottom w:val="single" w:sz="8" w:color="CCEEFF"/>
            </w:tcBorders>
          </w:tcPr>
          <w:p>
            <w:pPr>
              <w:spacing w:after="0"/>
              <w:rPr>
                <w:sz w:val="24"/>
                <w:szCs w:val="24"/>
                <w:color w:val="auto"/>
              </w:rPr>
            </w:pPr>
          </w:p>
        </w:tc>
        <w:tc>
          <w:tcPr>
            <w:tcW w:w="3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b w:val="1"/>
                <w:bCs w:val="1"/>
                <w:color w:val="auto"/>
              </w:rPr>
              <w:t>Net income before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6,554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1,056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2,114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7,532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9,956</w:t>
            </w:r>
          </w:p>
        </w:tc>
      </w:tr>
      <w:tr>
        <w:trPr>
          <w:trHeight w:val="250"/>
        </w:trPr>
        <w:tc>
          <w:tcPr>
            <w:tcW w:w="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1,106,021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49,157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42,621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142,831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(106,473)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1,234,157</w:t>
            </w:r>
          </w:p>
        </w:tc>
      </w:tr>
      <w:tr>
        <w:trPr>
          <w:trHeight w:val="20"/>
        </w:trPr>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3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SAFE HARBOR STATEMENT</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“plan,” “estimate,” “could,” “project,” “seek,” “should,” “will,” or “would,” or the negative of these words and phrases or similar words and phrases.</w:t>
      </w:r>
    </w:p>
    <w:p>
      <w:pPr>
        <w:spacing w:after="0" w:line="21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the foregoing, the COVID-19 pandemic is adversely affecting us, our customers, counterparties, employees and third party service providers, and the ultimate extent of the impact on our business, financial position, results of operations, liquidity, and prospects is uncertain. Continued deterioration in general business and economic conditions, including further increases in unemployment rates, or turbulence in domestic or global financial markets could adversely affect our revenues and the values of our assets and liabilities, reduce the availability of funding, lead to a tightening of credit, and further increase stock price volatility, which could result in impairment to our goodwill in future periods. Changes to statutes, regulations, or regulatory policies or practices as a result of, or in response to COVID-19, could affect us in substantial and unpredictable ways, including the potential adverse impact of loan modifications and payment deferrals implemented consistent with recent regulatory guidance. The following factors, among others, could cause our financial performance to differ materially from that expressed in such forward-looking statements: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COVID-19 Pandemic</w:t>
      </w:r>
    </w:p>
    <w:p>
      <w:pPr>
        <w:spacing w:after="0" w:line="247" w:lineRule="exact"/>
        <w:rPr>
          <w:sz w:val="20"/>
          <w:szCs w:val="20"/>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responsive actions related to the COVID-19 pandemic may adversely affect our business, financial condition, results of operations, liquidity, and cash flow. It is impossible to predict, with reliability, the extent of any such impact;</w:t>
      </w:r>
    </w:p>
    <w:p>
      <w:pPr>
        <w:spacing w:after="0" w:line="197"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 health officials have recommended and mandated precautions to mitigate the spread of COVID-19, including prohibitions on congregating in heavily populated areas and shelter-in-place orders or similar measures. As a result, we have temporarily closed certain of our branches and other locations over the past several months. Our results could be adversely impacted by these closures and other actions taken to contain the impact of COVID-19, and the extent of such impact will depend on future developments, which are highly uncertain and cannot be reliably predicted;</w:t>
      </w:r>
    </w:p>
    <w:p>
      <w:pPr>
        <w:spacing w:after="0" w:line="20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while we expect the impacts of COVID-19 to have an adverse effect on our business, financial condition and results of operations, we are unable to predict, with any reliability, the extent or nature of these impacts at this time;</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residential mortgage banking, consumer credit card and commercial businesses may be adversely affected by the effect of the COVID-19 pandemic and other circumstances;</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33" w:right="339" w:bottom="1440" w:gutter="0" w:footer="0" w:header="0"/>
        </w:sectPr>
      </w:pPr>
    </w:p>
    <w:bookmarkStart w:id="39" w:name="page40"/>
    <w:bookmarkEnd w:id="39"/>
    <w:p>
      <w:pPr>
        <w:ind w:left="328" w:right="20" w:hanging="328"/>
        <w:spacing w:after="0" w:line="261"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adequacy of reserves, including our allowance for loan losses, may be impacted by effects of the COVID-19 pandemic and other circumstances;</w:t>
      </w:r>
    </w:p>
    <w:p>
      <w:pPr>
        <w:spacing w:after="0" w:line="197"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quality within the Company’s loan portfolio and the value of collateral securing our loans may deteriorate and be adversely impacted by the effects and duration of the COVID-19 pandemic and other circumstances;</w:t>
      </w:r>
    </w:p>
    <w:p>
      <w:pPr>
        <w:spacing w:after="0" w:line="197"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allowance for loan losses may increase if borrowers experience financial difficulties, which will adversely affect our results of operations; the net worth and liquidity of loan guarantors may decline, impairing their ability to honor their commitments to us;</w:t>
      </w:r>
    </w:p>
    <w:p>
      <w:pPr>
        <w:spacing w:after="0" w:line="197" w:lineRule="exact"/>
        <w:rPr>
          <w:rFonts w:ascii="Arial" w:cs="Arial" w:eastAsia="Arial" w:hAnsi="Arial"/>
          <w:sz w:val="18"/>
          <w:szCs w:val="18"/>
          <w:color w:val="auto"/>
        </w:rPr>
      </w:pPr>
    </w:p>
    <w:p>
      <w:pPr>
        <w:jc w:val="both"/>
        <w:ind w:left="328" w:hanging="328"/>
        <w:spacing w:after="0" w:line="256"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economy is unable to substantially reopen, and high levels of unemployment continue for an extended period of time, loan delinquencies, problem assets, and foreclosures may increase, resulting in increased charges and reduced income; collateral for loans, especially real estate, may decline in value, which could cause loan losses to increase;</w:t>
      </w:r>
    </w:p>
    <w:p>
      <w:pPr>
        <w:spacing w:after="0" w:line="20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 risks associated with our business could be adversely affected by the COVID-19 pandemic and other circumstances;</w:t>
      </w:r>
    </w:p>
    <w:p>
      <w:pPr>
        <w:spacing w:after="0" w:line="225"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important deposit customer relationships and our reputation could be impacted by the COVID-19 pandemic and other circumstances;</w:t>
      </w:r>
    </w:p>
    <w:p>
      <w:pPr>
        <w:spacing w:after="0" w:line="197"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 may be impacted by the COVID-19 pandemic and other circumstances;</w:t>
      </w:r>
    </w:p>
    <w:p>
      <w:pPr>
        <w:spacing w:after="0" w:line="197"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fair value of our investment securities that are beyond our control could be impacted by the COVID-19 pandemic duration;</w:t>
      </w:r>
    </w:p>
    <w:p>
      <w:pPr>
        <w:spacing w:after="0" w:line="197"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 as an effect of the COVID-19 pandemic and other circumstances could increase;</w:t>
      </w:r>
    </w:p>
    <w:p>
      <w:pPr>
        <w:spacing w:after="0" w:line="197" w:lineRule="exact"/>
        <w:rPr>
          <w:rFonts w:ascii="Arial" w:cs="Arial" w:eastAsia="Arial" w:hAnsi="Arial"/>
          <w:sz w:val="18"/>
          <w:szCs w:val="18"/>
          <w:color w:val="auto"/>
        </w:rPr>
      </w:pPr>
    </w:p>
    <w:p>
      <w:pPr>
        <w:ind w:left="328" w:right="20" w:hanging="328"/>
        <w:spacing w:after="0" w:line="261"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risk management framework may be impacted by the COVID-19 pandemic as our cyber security risks are increased as the result of an increase in the number of employees working remotely;</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General Economic Conditions</w:t>
      </w:r>
    </w:p>
    <w:p>
      <w:pPr>
        <w:spacing w:after="0" w:line="247" w:lineRule="exact"/>
        <w:rPr>
          <w:sz w:val="20"/>
          <w:szCs w:val="20"/>
          <w:color w:val="auto"/>
        </w:rPr>
      </w:pPr>
    </w:p>
    <w:p>
      <w:pPr>
        <w:ind w:left="328" w:hanging="328"/>
        <w:spacing w:after="0" w:line="261"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conditions (including interest rate environment, government economic and monetary policies, the strength of global financial markets and inflation and deflation) that impact the financial services industry as a whole and/or our business;</w:t>
      </w:r>
    </w:p>
    <w:p>
      <w:pPr>
        <w:spacing w:after="0" w:line="197"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97"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Maryland metropolitan areas and the effect of changes in the economic, political and environmental conditions on these markets;</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General Business Operations</w:t>
      </w:r>
    </w:p>
    <w:p>
      <w:pPr>
        <w:spacing w:after="0" w:line="247" w:lineRule="exact"/>
        <w:rPr>
          <w:sz w:val="20"/>
          <w:szCs w:val="20"/>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5248"/>
        <w:spacing w:after="0"/>
        <w:rPr>
          <w:rFonts w:ascii="Arial" w:cs="Arial" w:eastAsia="Arial" w:hAnsi="Arial"/>
          <w:sz w:val="18"/>
          <w:szCs w:val="18"/>
          <w:color w:val="auto"/>
        </w:rPr>
      </w:pPr>
      <w:r>
        <w:rPr>
          <w:rFonts w:ascii="Arial" w:cs="Arial" w:eastAsia="Arial" w:hAnsi="Arial"/>
          <w:sz w:val="18"/>
          <w:szCs w:val="18"/>
          <w:color w:val="auto"/>
        </w:rPr>
        <w:t>38</w:t>
      </w:r>
    </w:p>
    <w:p>
      <w:pPr>
        <w:sectPr>
          <w:pgSz w:w="11900" w:h="16838" w:orient="portrait"/>
          <w:cols w:equalWidth="0" w:num="1">
            <w:col w:w="10908"/>
          </w:cols>
          <w:pgMar w:left="652" w:top="355" w:right="339" w:bottom="1440" w:gutter="0" w:footer="0" w:header="0"/>
        </w:sectPr>
      </w:pPr>
    </w:p>
    <w:bookmarkStart w:id="40" w:name="page41"/>
    <w:bookmarkEnd w:id="40"/>
    <w:p>
      <w:pPr>
        <w:ind w:left="328" w:right="20" w:hanging="328"/>
        <w:spacing w:after="0" w:line="261"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material risks of non-payment or other unfavorable consequences;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225" w:lineRule="exact"/>
        <w:rPr>
          <w:rFonts w:ascii="Arial" w:cs="Arial" w:eastAsia="Arial" w:hAnsi="Arial"/>
          <w:sz w:val="18"/>
          <w:szCs w:val="18"/>
          <w:color w:val="auto"/>
        </w:rPr>
      </w:pPr>
    </w:p>
    <w:p>
      <w:pPr>
        <w:ind w:left="328" w:right="20" w:hanging="328"/>
        <w:spacing w:after="0" w:line="261"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207"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possible impact of uncertainty about the future of </w:t>
      </w:r>
      <w:r>
        <w:rPr>
          <w:rFonts w:ascii="Arial" w:cs="Arial" w:eastAsia="Arial" w:hAnsi="Arial"/>
          <w:sz w:val="18"/>
          <w:szCs w:val="18"/>
          <w:i w:val="1"/>
          <w:iCs w:val="1"/>
          <w:color w:val="auto"/>
        </w:rPr>
        <w:t>LIBOR</w:t>
      </w:r>
      <w:r>
        <w:rPr>
          <w:rFonts w:ascii="Arial" w:cs="Arial" w:eastAsia="Arial" w:hAnsi="Arial"/>
          <w:sz w:val="18"/>
          <w:szCs w:val="18"/>
          <w:color w:val="auto"/>
        </w:rPr>
        <w:t xml:space="preserve"> on our net interest income;</w:t>
      </w:r>
    </w:p>
    <w:p>
      <w:pPr>
        <w:spacing w:after="0" w:line="243" w:lineRule="exact"/>
        <w:rPr>
          <w:rFonts w:ascii="Arial" w:cs="Arial" w:eastAsia="Arial" w:hAnsi="Arial"/>
          <w:sz w:val="18"/>
          <w:szCs w:val="18"/>
          <w:color w:val="auto"/>
        </w:rPr>
      </w:pPr>
    </w:p>
    <w:p>
      <w:pPr>
        <w:jc w:val="both"/>
        <w:ind w:left="328" w:hanging="328"/>
        <w:spacing w:after="0" w:line="256"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to the decline in the Federal Reserve Board’s target federal funds rate to near 0%, the yield on our assets may decline to a greater extent than the decline in our cost of interest-bearing liabilities, reducing our net interest margin and spread and reducing net income;</w:t>
      </w:r>
    </w:p>
    <w:p>
      <w:pPr>
        <w:spacing w:after="0" w:line="201"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 and our ability to remediate any future material weakness in our internal controls over financial reporting;</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225"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OpenSky credit card division, including compliance with applicable consumer finance and fraud prevention regulations;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repurchase loans originated for sale by our mortgage banking division;</w:t>
      </w:r>
    </w:p>
    <w:p>
      <w:pPr>
        <w:spacing w:after="0" w:line="225" w:lineRule="exact"/>
        <w:rPr>
          <w:rFonts w:ascii="Arial" w:cs="Arial" w:eastAsia="Arial" w:hAnsi="Arial"/>
          <w:sz w:val="18"/>
          <w:szCs w:val="18"/>
          <w:color w:val="auto"/>
        </w:rPr>
      </w:pPr>
    </w:p>
    <w:p>
      <w:pPr>
        <w:ind w:left="328" w:right="20" w:hanging="328"/>
        <w:spacing w:after="0" w:line="261"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197" w:lineRule="exact"/>
        <w:rPr>
          <w:rFonts w:ascii="Arial" w:cs="Arial" w:eastAsia="Arial" w:hAnsi="Arial"/>
          <w:sz w:val="18"/>
          <w:szCs w:val="18"/>
          <w:color w:val="auto"/>
        </w:rPr>
      </w:pPr>
    </w:p>
    <w:p>
      <w:pPr>
        <w:ind w:left="328" w:right="20" w:hanging="328"/>
        <w:spacing w:after="0" w:line="261"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Deposit Insurance Corporation premiums may increase if the agency experiences additional resolution costs;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225" w:lineRule="exact"/>
        <w:rPr>
          <w:rFonts w:ascii="Arial" w:cs="Arial" w:eastAsia="Arial" w:hAnsi="Arial"/>
          <w:sz w:val="18"/>
          <w:szCs w:val="18"/>
          <w:color w:val="auto"/>
        </w:rPr>
      </w:pPr>
    </w:p>
    <w:p>
      <w:pPr>
        <w:ind w:left="328" w:hanging="328"/>
        <w:spacing w:after="0" w:line="261"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 and</w:t>
      </w:r>
    </w:p>
    <w:p>
      <w:pPr>
        <w:spacing w:after="0" w:line="200" w:lineRule="exact"/>
        <w:rPr>
          <w:sz w:val="20"/>
          <w:szCs w:val="20"/>
          <w:color w:val="auto"/>
        </w:rPr>
      </w:pPr>
    </w:p>
    <w:p>
      <w:pPr>
        <w:spacing w:after="0" w:line="389"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8"/>
          </w:cols>
          <w:pgMar w:left="652" w:top="355" w:right="339" w:bottom="1440" w:gutter="0" w:footer="0" w:header="0"/>
        </w:sectPr>
      </w:pPr>
    </w:p>
    <w:bookmarkStart w:id="41" w:name="page42"/>
    <w:bookmarkEnd w:id="41"/>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2019 in addition to Part II, Item 1A - Risk Factors of this Quarterly Report on Form 10-Q and other reports as filed with the SEC.</w:t>
      </w:r>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Capital Bancorp, Inc. (the “Company”) was incorporated in 1998 in Maryland to act as the bank holding company for Capital Bank, N.A. (the “Bank”) which received its charter in 1999 and began operations in 1999. The Bank is headquartered in Rockville, Maryland and serves the Washington, D.C. and Baltimore, Maryland metropolitan areas through five commercial bank branches, five mortgage offices, two loan production offices, a limited service branch and three corporate and operations facilities located in key markets throughout our operating area. We serve businesses, not-for-profit associations and entrepreneurs throughout the region by partnering with them to design tailored financial solutions supported by customized technology and “client first” advice.</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2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Commercial Banking division accounts for the majority of the Bank’s total assets. Our commercial bankers provide high quality service, customized solutions and tailored advice to commercial clients in our operating markets.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Capital Bank Home Loan (“CBHL”) division originates conventional and government-guaranteed residential mortgage loans on a nationwide basis primarily for sale into the secondary market and in certain, limited circumstances for the Bank’s loan portfolio.</w:t>
      </w:r>
    </w:p>
    <w:p>
      <w:pPr>
        <w:spacing w:after="0" w:line="19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8"/>
          <w:szCs w:val="18"/>
          <w:color w:val="auto"/>
        </w:rPr>
        <w:t>Our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division provides secured credit cards on a nationwide basis to under-banked populations and those looking to rebuild their credit scores.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cards operate on a fully digital and mobile enabled platform with all marketing and application procedures conducted through website and mobile applications. A deposit equal to the full credit limit of the card is made into a noninterest-bearing demand account with the Bank when the account is opened and the deposit is required to be maintained throughout the life of the card. Using our proprietary scoring model, which considers credit score and repayment history (typically a minimum of six months of on-time repayments, but ultimately determined on a case-by-case basis), 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also offers certain existing customers an unsecured line in excess of their secured line of credit.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55" w:right="3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b w:val="1"/>
          <w:bCs w:val="1"/>
          <w:u w:val="single" w:color="auto"/>
          <w:color w:val="auto"/>
        </w:rPr>
        <w:t>COVID-19 Pandemic</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recent outbreak of COVID-19, which was declared a pandemic by the World Health Organization on March 11, 2020, has led to adverse impacts on economic conditions and created uncertainty in financial markets. Correspondingly, in early March 2020, the Company began preparing for potential disruptions and government limitations on activity in the markets in which we serve. Our team activated our Business Continuity Program and was able to quickly execute on multiple initiatives to adjust our operations to protect the health and safety of our employees and clients. Currently, a significant portion of our our workforce is working remotely without materially impacting our productivity while continuing to provide a high level of customer service. Since the beginning of the crisis, we have been in close contact with our clients, assessing the level of impact on their businesses, and providing relief programs according to each client’s specific situation and qualifications. With the exception of one, the Company’s branches remain temporarily closed. We have enhanced awareness of digital banking offerings and limited the number of customers in the branch and have taken steps to comply with various government directives regarding “social distancing,” as well as enhanced cleaning and disinfecting of all surface areas to protect our clients and employees.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Small Business Administration’s Paycheck Protection Program</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were able to quickly establish our process for participating in the Small Business Administration’s Paycheck Protection Program that enabled our clients to utilize this valuable resource. SBA-PPP loans are designed to provide assistance for small businesses during the COVID-19 pandemic to help meet the costs associated with payroll, mortgage interest, rent and utilities. These loans are 100% guaranteed by the SBA and, under certain circumstances, forgiveness of the loan, by the SBA, is granted to the borrower. Forgiveness is also based on the small business maintaining or quickly rehiring their employees and maintaining salary levels for their employees. SBA-PPP loans do not require any collateral or personal guarantees. Through June 30, 2020, over 1,220 SBA-PPP loans have been processed for approximately $236.3 million in the first and second rounds of the program. These efforts have allowed us to further strengthen and deepen our client relationships, while positively impacting thousands of individuals and businesses. We are also closely monitoring the credit quality of the loan portfolio and we monitor line of credit draws for deviation from normal activity to improve loan performance and reduce credit risk.</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Short-term Modifications for Borrowers</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keeping with regulatory guidance to work with borrowers during this unprecedented situation and as outlined in Section 4013 of the Coronavirus Aid, Relief, and Economic Security Act (“CARES Act”), the Company is providing loan modifications where appropriate, including potential interest only payments or payment deferrals for clients that are adversely affected by the COVID-19 pandemic. Section 4013 of the CARES Act also addressed COVID-19 related modifications and specified that such modifications made on loans that were current as of December 31, 2019 are not TDRs. In accordance with interagency guidance issued in April 2020, these short-term modifications made to a borrower affected by the COVID-19 pandemic and governmental shutdown orders, such as payment deferrals, fee waivers and extensions of repayment terms, do not need to be identified as TDRs if the loans were current at the time a modification plan was implemented. As of June 30, 2020, we deferred payments of principal and/or interest on a short-term basis for commercial and consumer loans with an aggregate balance of $144.4 million or approximately 11.9% of portfolio loans receivable.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33" w:right="3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monitoring our liquidity position on an ongoing basis as the circumstances surrounding the pandemic continue to evolve. The Company has several available sources of on and off-balance sheet liquidity. Currently, the Company has not needed to tap into these available liquidity sources . The potential for increased reliance on available liquidity sources may be required based on the effects of the pandemic and their impact on the level of deposits and other factors. Additional discussion on our liquidity as of the report date is reflected in the “Liquidity” section of management’s discussion and analysis.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Capital</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June 30, 2020, the Bank exceeded all the capital requirements to which it was subject and based on the most recent notification from its primary federal regulator is considered to be well-capitalized. There are no conditions or events since that notification that management believes would change the Bank’s classification. We are closely monitoring our capital position and are taking appropriate steps to ensure our level of capital remains strong. Our capital, while significant, may deteriorate in future periods due to the impact of the pandemic and limit our ability to pay dividends.</w:t>
      </w: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5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1100" w:type="dxa"/>
            <w:vAlign w:val="bottom"/>
            <w:tcBorders>
              <w:bottom w:val="single" w:sz="8" w:color="auto"/>
            </w:tcBorders>
          </w:tcPr>
          <w:p>
            <w:pPr>
              <w:spacing w:after="0"/>
              <w:rPr>
                <w:sz w:val="17"/>
                <w:szCs w:val="17"/>
                <w:color w:val="auto"/>
              </w:rPr>
            </w:pPr>
          </w:p>
        </w:tc>
      </w:tr>
      <w:tr>
        <w:trPr>
          <w:trHeight w:val="263"/>
        </w:trPr>
        <w:tc>
          <w:tcPr>
            <w:tcW w:w="62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 Change</w:t>
            </w:r>
          </w:p>
        </w:tc>
      </w:tr>
      <w:tr>
        <w:trPr>
          <w:trHeight w:val="248"/>
        </w:trPr>
        <w:tc>
          <w:tcPr>
            <w:tcW w:w="62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
        </w:trPr>
        <w:tc>
          <w:tcPr>
            <w:tcW w:w="6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22,000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63"/>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3,376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3,758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(10.2)%</w:t>
            </w:r>
          </w:p>
        </w:tc>
      </w:tr>
      <w:tr>
        <w:trPr>
          <w:trHeight w:val="257"/>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18,624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63"/>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loan losses</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3,300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387.4 %</w:t>
            </w:r>
          </w:p>
        </w:tc>
      </w:tr>
      <w:tr>
        <w:trPr>
          <w:trHeight w:val="257"/>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 after provision</w:t>
            </w: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15,324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60"/>
        </w:trPr>
        <w:tc>
          <w:tcPr>
            <w:tcW w:w="628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900" w:type="dxa"/>
            <w:vAlign w:val="bottom"/>
          </w:tcPr>
          <w:p>
            <w:pPr>
              <w:spacing w:after="0"/>
              <w:rPr>
                <w:sz w:val="22"/>
                <w:szCs w:val="22"/>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b w:val="1"/>
                <w:bCs w:val="1"/>
                <w:color w:val="auto"/>
                <w:w w:val="98"/>
              </w:rPr>
              <w:t>13,899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5,927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134.5 %</w:t>
            </w:r>
          </w:p>
        </w:tc>
      </w:tr>
      <w:tr>
        <w:trPr>
          <w:trHeight w:val="273"/>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expenses</w:t>
            </w:r>
          </w:p>
        </w:tc>
        <w:tc>
          <w:tcPr>
            <w:tcW w:w="9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22,703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16,210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40.1 %</w:t>
            </w:r>
          </w:p>
        </w:tc>
      </w:tr>
      <w:tr>
        <w:trPr>
          <w:trHeight w:val="247"/>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Net income before income taxes</w:t>
            </w:r>
          </w:p>
        </w:tc>
        <w:tc>
          <w:tcPr>
            <w:tcW w:w="900" w:type="dxa"/>
            <w:vAlign w:val="bottom"/>
          </w:tcPr>
          <w:p>
            <w:pPr>
              <w:spacing w:after="0"/>
              <w:rPr>
                <w:sz w:val="21"/>
                <w:szCs w:val="21"/>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b w:val="1"/>
                <w:bCs w:val="1"/>
                <w:color w:val="auto"/>
              </w:rPr>
              <w:t>6,520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5,571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17.0 %</w:t>
            </w:r>
          </w:p>
        </w:tc>
      </w:tr>
      <w:tr>
        <w:trPr>
          <w:trHeight w:val="273"/>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9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1,759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r>
      <w:tr>
        <w:trPr>
          <w:trHeight w:val="24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Net income</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4,761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18.3 %</w:t>
            </w:r>
          </w:p>
        </w:tc>
      </w:tr>
      <w:tr>
        <w:trPr>
          <w:trHeight w:val="20"/>
        </w:trPr>
        <w:tc>
          <w:tcPr>
            <w:tcW w:w="6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income for the three months ended June 30, 2020 increased 18.3 percent to $4.8 million from $4.0 million for the three months ended June 30, 2019. The increase was primarily the result of higher levels of interest income and mortgage banking revenue, included in noninterest income, offset by an increase in the loan loss provision of $3.3 million in the current quarter, which was the result of macro-economic deterioration from the COVID-19 worldwide pandemic. Noninterest expense was $22.7 million for the three months ended June 30, 2020, compared to $16.2 million for the three months ended June 30, 2019, an increase of $6.4 million or 40.1%. The increase was primarily driven by a $3.2 million, or 39.3%, increase in salaries and benefits period over period. In addition, there was an increase of $2.0 million in data processing expenses, resulting from the increase in credit cards and in the number of loan and deposits accounts as compared to the three months ended June 30, 2019.</w:t>
      </w:r>
    </w:p>
    <w:p>
      <w:pPr>
        <w:spacing w:after="0" w:line="200" w:lineRule="exact"/>
        <w:rPr>
          <w:sz w:val="20"/>
          <w:szCs w:val="20"/>
          <w:color w:val="auto"/>
        </w:rPr>
      </w:pP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Six Months Ended June 30,</w:t>
            </w:r>
          </w:p>
        </w:tc>
        <w:tc>
          <w:tcPr>
            <w:tcW w:w="1220" w:type="dxa"/>
            <w:vAlign w:val="bottom"/>
            <w:tcBorders>
              <w:bottom w:val="single" w:sz="8" w:color="auto"/>
            </w:tcBorders>
          </w:tcPr>
          <w:p>
            <w:pPr>
              <w:spacing w:after="0"/>
              <w:rPr>
                <w:sz w:val="17"/>
                <w:szCs w:val="17"/>
                <w:color w:val="auto"/>
              </w:rPr>
            </w:pPr>
          </w:p>
        </w:tc>
      </w:tr>
      <w:tr>
        <w:trPr>
          <w:trHeight w:val="263"/>
        </w:trPr>
        <w:tc>
          <w:tcPr>
            <w:tcW w:w="6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 Change</w:t>
            </w:r>
          </w:p>
        </w:tc>
      </w:tr>
      <w:tr>
        <w:trPr>
          <w:trHeight w:val="248"/>
        </w:trPr>
        <w:tc>
          <w:tcPr>
            <w:tcW w:w="60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
        </w:trPr>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0"/>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43,744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38,607</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6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7,433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7,332</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w:t>
            </w:r>
          </w:p>
        </w:tc>
      </w:tr>
      <w:tr>
        <w:trPr>
          <w:trHeight w:val="257"/>
        </w:trPr>
        <w:tc>
          <w:tcPr>
            <w:tcW w:w="608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Net interest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36,311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31,275</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6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loan losses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5,709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615.4%</w:t>
            </w:r>
          </w:p>
        </w:tc>
      </w:tr>
      <w:tr>
        <w:trPr>
          <w:trHeight w:val="256"/>
        </w:trPr>
        <w:tc>
          <w:tcPr>
            <w:tcW w:w="608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Net interest income after provision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30,602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30,477</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60"/>
        </w:trPr>
        <w:tc>
          <w:tcPr>
            <w:tcW w:w="608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34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20,479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10,019</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104.4%</w:t>
            </w:r>
          </w:p>
        </w:tc>
      </w:tr>
      <w:tr>
        <w:trPr>
          <w:trHeight w:val="27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expenses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40,547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30,540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47"/>
        </w:trPr>
        <w:tc>
          <w:tcPr>
            <w:tcW w:w="6080" w:type="dxa"/>
            <w:vAlign w:val="bottom"/>
          </w:tcPr>
          <w:p>
            <w:pPr>
              <w:ind w:left="260"/>
              <w:spacing w:after="0"/>
              <w:rPr>
                <w:sz w:val="20"/>
                <w:szCs w:val="20"/>
                <w:color w:val="auto"/>
              </w:rPr>
            </w:pPr>
            <w:r>
              <w:rPr>
                <w:rFonts w:ascii="Arial" w:cs="Arial" w:eastAsia="Arial" w:hAnsi="Arial"/>
                <w:sz w:val="16"/>
                <w:szCs w:val="16"/>
                <w:b w:val="1"/>
                <w:bCs w:val="1"/>
                <w:color w:val="auto"/>
              </w:rPr>
              <w:t>Net income before income taxes</w:t>
            </w:r>
          </w:p>
        </w:tc>
        <w:tc>
          <w:tcPr>
            <w:tcW w:w="34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10,534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9,956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2,839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2,614</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40"/>
        </w:trPr>
        <w:tc>
          <w:tcPr>
            <w:tcW w:w="6080" w:type="dxa"/>
            <w:vAlign w:val="bottom"/>
          </w:tcPr>
          <w:p>
            <w:pPr>
              <w:ind w:left="26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7,695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7,342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income for the six months ended June 30, 2020 was $7.7 million, an increase of approximately $354 thousand, or 4.8%, from net income for the six months ended June 30, 2019 of $7.3 million. The increase was primarily due to increased interest and noninterest income, offset by higher noninterest expenses and an increased provision for loan losses of $5.7 million. Noninterest income increased $10.5 million over the period primarily due to increased mortgage banking revenue of $8.0 million and credit card fees of $1.5 million. Increases in noninterest income were offset by higher levels of mortgage origination commissions and data processing costs included in noninterest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4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analyze our ability to generate income from interest earning assets and control the interest expenses of our liabilities, measured as net interest income, through our net interest margin and net interest spread.</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333" w:right="339" w:bottom="1440" w:gutter="0" w:footer="0" w:header="0"/>
          <w:type w:val="continuous"/>
        </w:sectPr>
      </w:pPr>
    </w:p>
    <w:bookmarkStart w:id="45" w:name="page46"/>
    <w:bookmarkEnd w:id="45"/>
    <w:p>
      <w:pPr>
        <w:jc w:val="both"/>
        <w:spacing w:after="0" w:line="253" w:lineRule="auto"/>
        <w:rPr>
          <w:sz w:val="20"/>
          <w:szCs w:val="20"/>
          <w:color w:val="auto"/>
        </w:rPr>
      </w:pPr>
      <w:r>
        <w:rPr>
          <w:rFonts w:ascii="Arial" w:cs="Arial" w:eastAsia="Arial" w:hAnsi="Arial"/>
          <w:sz w:val="18"/>
          <w:szCs w:val="18"/>
          <w:color w:val="auto"/>
        </w:rPr>
        <w:t>Net interest income is the difference between the interest and fees earned on interest earning assets, such as loans and securities, and the interest expense incurred in connection with interest bearing liabilities, such as deposits and borrowings, which are used to fund those assets. Net interest margin is a ratio calculated as net interest income divided by average interest earning assets for the same period. Net interest spread is the difference between average interest rates earned on interest earning assets and average interest rates paid on interest bearing liabilities.</w:t>
      </w:r>
    </w:p>
    <w:p>
      <w:pPr>
        <w:spacing w:after="0" w:line="2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 bearing liabilities, as well as in the volume and types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Maryland metropolitan areas, as well as developments affecting the real estate, technology, government services, hospitality and tourism and financial services sectors within our target markets and throughout the Washington, D.C. and Baltimore, Maryland metropolitan areas. Our ability to respond to changes in these factors by using effective asset-liability management techniques is critical to maintaining the stability of our net interest income and net interest margin as our primary sources of earnings.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55" w:right="339" w:bottom="1440" w:gutter="0" w:footer="0" w:header="0"/>
        </w:sectPr>
      </w:pPr>
    </w:p>
    <w:bookmarkStart w:id="46" w:name="page47"/>
    <w:bookmarkEnd w:id="46"/>
    <w:p>
      <w:pPr>
        <w:jc w:val="both"/>
        <w:ind w:firstLine="324"/>
        <w:spacing w:after="0" w:line="256" w:lineRule="auto"/>
        <w:rPr>
          <w:sz w:val="20"/>
          <w:szCs w:val="20"/>
          <w:color w:val="auto"/>
        </w:rPr>
      </w:pPr>
      <w:r>
        <w:rPr>
          <w:rFonts w:ascii="Arial" w:cs="Arial" w:eastAsia="Arial" w:hAnsi="Arial"/>
          <w:sz w:val="18"/>
          <w:szCs w:val="18"/>
          <w:color w:val="auto"/>
        </w:rPr>
        <w:t>The following table shows the average outstanding balance of each principal category of our assets, liabilities and stockholders’ equity, together with the average yields on our assets and the average costs of our liabilities for the periods indicated. Such yields and costs are calculated by dividing income or expense by the average daily balances of the corresponding assets or liabilities for the same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7"/>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7"/>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5"/>
                <w:szCs w:val="15"/>
                <w:color w:val="auto"/>
              </w:rPr>
            </w:pPr>
          </w:p>
        </w:tc>
        <w:tc>
          <w:tcPr>
            <w:tcW w:w="860" w:type="dxa"/>
            <w:vAlign w:val="bottom"/>
          </w:tcPr>
          <w:p>
            <w:pPr>
              <w:jc w:val="center"/>
              <w:ind w:right="27"/>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860" w:type="dxa"/>
            <w:vAlign w:val="bottom"/>
          </w:tcPr>
          <w:p>
            <w:pPr>
              <w:jc w:val="center"/>
              <w:ind w:right="47"/>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rPr>
              <w:t>Expense</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Expense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41"/>
        </w:trPr>
        <w:tc>
          <w:tcPr>
            <w:tcW w:w="3700" w:type="dxa"/>
            <w:vAlign w:val="bottom"/>
          </w:tcPr>
          <w:p>
            <w:pPr>
              <w:ind w:left="40"/>
              <w:spacing w:after="0"/>
              <w:rPr>
                <w:sz w:val="20"/>
                <w:szCs w:val="20"/>
                <w:color w:val="auto"/>
              </w:rPr>
            </w:pPr>
            <w:r>
              <w:rPr>
                <w:rFonts w:ascii="Arial" w:cs="Arial" w:eastAsia="Arial" w:hAnsi="Arial"/>
                <w:sz w:val="11"/>
                <w:szCs w:val="11"/>
                <w:i w:val="1"/>
                <w:iCs w:val="1"/>
                <w:color w:val="auto"/>
              </w:rPr>
              <w:t>($ in thousands)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00" w:type="dxa"/>
            <w:vAlign w:val="bottom"/>
          </w:tcPr>
          <w:p>
            <w:pPr>
              <w:ind w:left="40"/>
              <w:spacing w:after="0"/>
              <w:rPr>
                <w:sz w:val="20"/>
                <w:szCs w:val="20"/>
                <w:color w:val="auto"/>
              </w:rPr>
            </w:pPr>
            <w:r>
              <w:rPr>
                <w:rFonts w:ascii="Arial" w:cs="Arial" w:eastAsia="Arial" w:hAnsi="Arial"/>
                <w:sz w:val="14"/>
                <w:szCs w:val="14"/>
                <w:color w:val="auto"/>
              </w:rPr>
              <w:t>Interest earning assets: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79,854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0.09%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64"/>
        </w:trPr>
        <w:tc>
          <w:tcPr>
            <w:tcW w:w="3700" w:type="dxa"/>
            <w:vAlign w:val="bottom"/>
          </w:tcPr>
          <w:p>
            <w:pPr>
              <w:ind w:left="200"/>
              <w:spacing w:after="0"/>
              <w:rPr>
                <w:sz w:val="20"/>
                <w:szCs w:val="20"/>
                <w:color w:val="auto"/>
              </w:rPr>
            </w:pPr>
            <w:r>
              <w:rPr>
                <w:rFonts w:ascii="Arial" w:cs="Arial" w:eastAsia="Arial" w:hAnsi="Arial"/>
                <w:sz w:val="14"/>
                <w:szCs w:val="14"/>
                <w:color w:val="auto"/>
              </w:rPr>
              <w:t>Federal funds sold</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1,889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0.05%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securities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58,860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64"/>
        </w:trPr>
        <w:tc>
          <w:tcPr>
            <w:tcW w:w="3700" w:type="dxa"/>
            <w:vAlign w:val="bottom"/>
          </w:tcPr>
          <w:p>
            <w:pPr>
              <w:ind w:left="200"/>
              <w:spacing w:after="0"/>
              <w:rPr>
                <w:sz w:val="20"/>
                <w:szCs w:val="20"/>
                <w:color w:val="auto"/>
              </w:rPr>
            </w:pPr>
            <w:r>
              <w:rPr>
                <w:rFonts w:ascii="Arial" w:cs="Arial" w:eastAsia="Arial" w:hAnsi="Arial"/>
                <w:sz w:val="14"/>
                <w:szCs w:val="14"/>
                <w:color w:val="auto"/>
              </w:rPr>
              <w:t>Restricted investments</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4,152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5.46%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4,428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78,254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70"/>
        </w:trPr>
        <w:tc>
          <w:tcPr>
            <w:tcW w:w="3700" w:type="dxa"/>
            <w:vAlign w:val="bottom"/>
          </w:tcPr>
          <w:p>
            <w:pPr>
              <w:ind w:left="200"/>
              <w:spacing w:after="0"/>
              <w:rPr>
                <w:sz w:val="20"/>
                <w:szCs w:val="20"/>
                <w:color w:val="auto"/>
              </w:rPr>
            </w:pPr>
            <w:r>
              <w:rPr>
                <w:rFonts w:ascii="Arial" w:cs="Arial" w:eastAsia="Arial" w:hAnsi="Arial"/>
                <w:sz w:val="14"/>
                <w:szCs w:val="14"/>
                <w:color w:val="auto"/>
              </w:rPr>
              <w:t>SBA-PPP loans receivable</w:t>
            </w: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166,033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1,011</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Portfolio loans receivable</w:t>
            </w:r>
            <w:r>
              <w:rPr>
                <w:rFonts w:ascii="Arial" w:cs="Arial" w:eastAsia="Arial" w:hAnsi="Arial"/>
                <w:sz w:val="17"/>
                <w:szCs w:val="17"/>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1,199,338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19,911</w:t>
            </w:r>
          </w:p>
        </w:tc>
        <w:tc>
          <w:tcPr>
            <w:tcW w:w="80" w:type="dxa"/>
            <w:vAlign w:val="bottom"/>
            <w:tcBorders>
              <w:bottom w:val="single" w:sz="8" w:color="auto"/>
            </w:tcBorders>
            <w:shd w:val="clear" w:color="auto" w:fill="CCEEFF"/>
          </w:tcPr>
          <w:p>
            <w:pPr>
              <w:spacing w:after="0"/>
              <w:rPr>
                <w:sz w:val="23"/>
                <w:szCs w:val="2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6.68%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1,024,306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19,123</w:t>
            </w:r>
          </w:p>
        </w:tc>
        <w:tc>
          <w:tcPr>
            <w:tcW w:w="100" w:type="dxa"/>
            <w:vAlign w:val="bottom"/>
            <w:shd w:val="clear" w:color="auto" w:fill="CCEEFF"/>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44"/>
        </w:trPr>
        <w:tc>
          <w:tcPr>
            <w:tcW w:w="3700" w:type="dxa"/>
            <w:vAlign w:val="bottom"/>
          </w:tcPr>
          <w:p>
            <w:pPr>
              <w:ind w:left="340"/>
              <w:spacing w:after="0"/>
              <w:rPr>
                <w:sz w:val="20"/>
                <w:szCs w:val="20"/>
                <w:color w:val="auto"/>
              </w:rPr>
            </w:pPr>
            <w:r>
              <w:rPr>
                <w:rFonts w:ascii="Arial" w:cs="Arial" w:eastAsia="Arial" w:hAnsi="Arial"/>
                <w:sz w:val="14"/>
                <w:szCs w:val="14"/>
                <w:color w:val="auto"/>
              </w:rPr>
              <w:t>Total interest earning assets</w:t>
            </w:r>
          </w:p>
        </w:tc>
        <w:tc>
          <w:tcPr>
            <w:tcW w:w="1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1,588,380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22,000</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1,146,084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20,289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64"/>
        </w:trPr>
        <w:tc>
          <w:tcPr>
            <w:tcW w:w="3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Noninterest earning assets</w:t>
            </w:r>
          </w:p>
        </w:tc>
        <w:tc>
          <w:tcPr>
            <w:tcW w:w="180" w:type="dxa"/>
            <w:vAlign w:val="bottom"/>
            <w:tcBorders>
              <w:top w:val="single" w:sz="8" w:color="CCEEFF"/>
              <w:bottom w:val="single" w:sz="8" w:color="auto"/>
            </w:tcBorders>
            <w:shd w:val="clear" w:color="auto" w:fill="CCEEFF"/>
          </w:tcPr>
          <w:p>
            <w:pPr>
              <w:spacing w:after="0"/>
              <w:rPr>
                <w:sz w:val="22"/>
                <w:szCs w:val="22"/>
                <w:color w:val="auto"/>
              </w:rPr>
            </w:pPr>
          </w:p>
        </w:tc>
        <w:tc>
          <w:tcPr>
            <w:tcW w:w="116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24,459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auto"/>
            </w:tcBorders>
            <w:shd w:val="clear" w:color="auto" w:fill="CCEEFF"/>
          </w:tcPr>
          <w:p>
            <w:pPr>
              <w:spacing w:after="0"/>
              <w:rPr>
                <w:sz w:val="22"/>
                <w:szCs w:val="22"/>
                <w:color w:val="auto"/>
              </w:rPr>
            </w:pPr>
          </w:p>
        </w:tc>
        <w:tc>
          <w:tcPr>
            <w:tcW w:w="116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70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1,612,839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1,163,317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bearing liabilities: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00" w:type="dxa"/>
            <w:vAlign w:val="bottom"/>
          </w:tcPr>
          <w:p>
            <w:pPr>
              <w:ind w:left="200"/>
              <w:spacing w:after="0"/>
              <w:rPr>
                <w:sz w:val="20"/>
                <w:szCs w:val="20"/>
                <w:color w:val="auto"/>
              </w:rPr>
            </w:pPr>
            <w:r>
              <w:rPr>
                <w:rFonts w:ascii="Arial" w:cs="Arial" w:eastAsia="Arial" w:hAnsi="Arial"/>
                <w:sz w:val="14"/>
                <w:szCs w:val="14"/>
                <w:color w:val="auto"/>
              </w:rPr>
              <w:t>Interest bearing demand accounts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182,095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171</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0.38%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96,702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Savings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0.05%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64"/>
        </w:trPr>
        <w:tc>
          <w:tcPr>
            <w:tcW w:w="3700" w:type="dxa"/>
            <w:vAlign w:val="bottom"/>
          </w:tcPr>
          <w:p>
            <w:pPr>
              <w:ind w:left="200"/>
              <w:spacing w:after="0"/>
              <w:rPr>
                <w:sz w:val="20"/>
                <w:szCs w:val="20"/>
                <w:color w:val="auto"/>
              </w:rPr>
            </w:pPr>
            <w:r>
              <w:rPr>
                <w:rFonts w:ascii="Arial" w:cs="Arial" w:eastAsia="Arial" w:hAnsi="Arial"/>
                <w:sz w:val="14"/>
                <w:szCs w:val="14"/>
                <w:color w:val="auto"/>
              </w:rPr>
              <w:t>Money market accounts</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472,802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1,279</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333,248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7"/>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Time deposits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282,695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1,503</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277,402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1,669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Borrowed funds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44,672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422</w:t>
            </w: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3.80%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63,083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563</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56"/>
        </w:trPr>
        <w:tc>
          <w:tcPr>
            <w:tcW w:w="3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bearing liabilities</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986,786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3,376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774,012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3,758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4"/>
                <w:szCs w:val="14"/>
                <w:color w:val="auto"/>
              </w:rPr>
              <w:t>Noninterest bearing liabilities: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Noninterest bearing liabilities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tcPr>
          <w:p>
            <w:pPr>
              <w:ind w:left="200"/>
              <w:spacing w:after="0"/>
              <w:rPr>
                <w:sz w:val="20"/>
                <w:szCs w:val="20"/>
                <w:color w:val="auto"/>
              </w:rPr>
            </w:pPr>
            <w:r>
              <w:rPr>
                <w:rFonts w:ascii="Arial" w:cs="Arial" w:eastAsia="Arial" w:hAnsi="Arial"/>
                <w:sz w:val="14"/>
                <w:szCs w:val="14"/>
                <w:color w:val="auto"/>
              </w:rPr>
              <w:t>Noninterest bearing deposits</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464,702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251,408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Stockholders’ equity</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139,704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121,934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700" w:type="dxa"/>
            <w:vAlign w:val="bottom"/>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1,612,839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1,163,317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7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700" w:type="dxa"/>
            <w:vAlign w:val="bottom"/>
          </w:tcPr>
          <w:p>
            <w:pPr>
              <w:ind w:left="40"/>
              <w:spacing w:after="0"/>
              <w:rPr>
                <w:sz w:val="20"/>
                <w:szCs w:val="20"/>
                <w:color w:val="auto"/>
              </w:rPr>
            </w:pPr>
            <w:r>
              <w:rPr>
                <w:rFonts w:ascii="Arial" w:cs="Arial" w:eastAsia="Arial" w:hAnsi="Arial"/>
                <w:sz w:val="14"/>
                <w:szCs w:val="14"/>
                <w:color w:val="auto"/>
              </w:rPr>
              <w:t>Net interest spread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4.19%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37"/>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18,624</w:t>
            </w: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16,531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7"/>
                <w:szCs w:val="17"/>
                <w:color w:val="auto"/>
                <w:vertAlign w:val="superscript"/>
              </w:rPr>
              <w:t>(3)</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4.72%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-4180840</wp:posOffset>
            </wp:positionV>
            <wp:extent cx="565785" cy="3429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 cy="342900"/>
                    </a:xfrm>
                    <a:prstGeom prst="rect">
                      <a:avLst/>
                    </a:prstGeom>
                    <a:noFill/>
                  </pic:spPr>
                </pic:pic>
              </a:graphicData>
            </a:graphic>
          </wp:anchor>
        </w:drawing>
      </w:r>
    </w:p>
    <w:p>
      <w:pPr>
        <w:ind w:left="340" w:hanging="332"/>
        <w:spacing w:after="0" w:line="230" w:lineRule="auto"/>
        <w:tabs>
          <w:tab w:leader="none" w:pos="340" w:val="left"/>
        </w:tabs>
        <w:numPr>
          <w:ilvl w:val="0"/>
          <w:numId w:val="11"/>
        </w:numPr>
        <w:rPr>
          <w:rFonts w:ascii="Arial" w:cs="Arial" w:eastAsia="Arial" w:hAnsi="Arial"/>
          <w:sz w:val="7"/>
          <w:szCs w:val="7"/>
          <w:color w:val="auto"/>
        </w:rPr>
      </w:pPr>
      <w:r>
        <w:rPr>
          <w:rFonts w:ascii="Arial" w:cs="Arial" w:eastAsia="Arial" w:hAnsi="Arial"/>
          <w:sz w:val="11"/>
          <w:szCs w:val="11"/>
          <w:color w:val="auto"/>
        </w:rPr>
        <w:t>Annualized.</w:t>
      </w:r>
    </w:p>
    <w:p>
      <w:pPr>
        <w:ind w:left="340" w:hanging="332"/>
        <w:spacing w:after="0" w:line="230" w:lineRule="auto"/>
        <w:tabs>
          <w:tab w:leader="none" w:pos="340" w:val="left"/>
        </w:tabs>
        <w:numPr>
          <w:ilvl w:val="0"/>
          <w:numId w:val="11"/>
        </w:numPr>
        <w:rPr>
          <w:rFonts w:ascii="Arial" w:cs="Arial" w:eastAsia="Arial" w:hAnsi="Arial"/>
          <w:sz w:val="7"/>
          <w:szCs w:val="7"/>
          <w:color w:val="auto"/>
        </w:rPr>
      </w:pPr>
      <w:r>
        <w:rPr>
          <w:rFonts w:ascii="Arial" w:cs="Arial" w:eastAsia="Arial" w:hAnsi="Arial"/>
          <w:sz w:val="11"/>
          <w:szCs w:val="11"/>
          <w:color w:val="auto"/>
        </w:rPr>
        <w:t>Includes nonaccrual loans.</w:t>
      </w:r>
    </w:p>
    <w:p>
      <w:pPr>
        <w:ind w:left="340" w:hanging="332"/>
        <w:spacing w:after="0"/>
        <w:tabs>
          <w:tab w:leader="none" w:pos="340" w:val="left"/>
        </w:tabs>
        <w:numPr>
          <w:ilvl w:val="0"/>
          <w:numId w:val="11"/>
        </w:numPr>
        <w:rPr>
          <w:rFonts w:ascii="Arial" w:cs="Arial" w:eastAsia="Arial" w:hAnsi="Arial"/>
          <w:sz w:val="7"/>
          <w:szCs w:val="7"/>
          <w:color w:val="auto"/>
        </w:rPr>
      </w:pPr>
      <w:r>
        <w:rPr>
          <w:rFonts w:ascii="Arial" w:cs="Arial" w:eastAsia="Arial" w:hAnsi="Arial"/>
          <w:sz w:val="11"/>
          <w:szCs w:val="11"/>
          <w:color w:val="auto"/>
        </w:rPr>
        <w:t>For the three months ended June 30, 2019 and 2020, SBA-PPP loans and credit card loans collectively accounted for 142 and 76 basis points of the reported net interest margin, respectively.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55" w:right="339" w:bottom="1440" w:gutter="0" w:footer="0" w:header="0"/>
        </w:sectPr>
      </w:pPr>
    </w:p>
    <w:bookmarkStart w:id="47" w:name="page48"/>
    <w:bookmarkEnd w:id="47"/>
    <w:p>
      <w:pPr>
        <w:jc w:val="both"/>
        <w:ind w:firstLine="324"/>
        <w:spacing w:after="0" w:line="254" w:lineRule="auto"/>
        <w:rPr>
          <w:sz w:val="20"/>
          <w:szCs w:val="20"/>
          <w:color w:val="auto"/>
        </w:rPr>
      </w:pPr>
      <w:r>
        <w:rPr>
          <w:rFonts w:ascii="Arial" w:cs="Arial" w:eastAsia="Arial" w:hAnsi="Arial"/>
          <w:sz w:val="18"/>
          <w:szCs w:val="18"/>
          <w:color w:val="auto"/>
        </w:rPr>
        <w:t>The following table presents information regarding the dollar amount of changes in interest income and interest expense for the periods indicated for each major component of interest earning assets and interest bearing liabilities and distinguishes between the changes attributable to changes in volume and changes attributable to changes in interest rates. For purposes of this table, changes attributable to both rate and volume that cannot be segregated have been proportionately allocated to both volume and rate.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Three Months Ended June 30, 2020</w:t>
            </w:r>
          </w:p>
        </w:tc>
        <w:tc>
          <w:tcPr>
            <w:tcW w:w="180" w:type="dxa"/>
            <w:vAlign w:val="bottom"/>
          </w:tcPr>
          <w:p>
            <w:pPr>
              <w:spacing w:after="0"/>
              <w:rPr>
                <w:sz w:val="16"/>
                <w:szCs w:val="16"/>
                <w:color w:val="auto"/>
              </w:rPr>
            </w:pPr>
          </w:p>
        </w:tc>
        <w:tc>
          <w:tcPr>
            <w:tcW w:w="2880" w:type="dxa"/>
            <w:vAlign w:val="bottom"/>
            <w:gridSpan w:val="6"/>
            <w:vMerge w:val="restart"/>
          </w:tcPr>
          <w:p>
            <w:pPr>
              <w:jc w:val="center"/>
              <w:ind w:left="348"/>
              <w:spacing w:after="0"/>
              <w:rPr>
                <w:sz w:val="20"/>
                <w:szCs w:val="20"/>
                <w:color w:val="auto"/>
              </w:rPr>
            </w:pPr>
            <w:r>
              <w:rPr>
                <w:rFonts w:ascii="Arial" w:cs="Arial" w:eastAsia="Arial" w:hAnsi="Arial"/>
                <w:sz w:val="14"/>
                <w:szCs w:val="14"/>
                <w:b w:val="1"/>
                <w:bCs w:val="1"/>
                <w:color w:val="auto"/>
              </w:rPr>
              <w:t>Six Months Ended June 30, 2020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80" w:type="dxa"/>
            <w:vAlign w:val="bottom"/>
            <w:gridSpan w:val="6"/>
            <w:vMerge w:val="continue"/>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Compared to the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Compared to the</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Three Months Ended June 30, 2019</w:t>
            </w:r>
          </w:p>
        </w:tc>
        <w:tc>
          <w:tcPr>
            <w:tcW w:w="180" w:type="dxa"/>
            <w:vAlign w:val="bottom"/>
          </w:tcPr>
          <w:p>
            <w:pPr>
              <w:spacing w:after="0"/>
              <w:rPr>
                <w:sz w:val="23"/>
                <w:szCs w:val="23"/>
                <w:color w:val="auto"/>
              </w:rPr>
            </w:pPr>
          </w:p>
        </w:tc>
        <w:tc>
          <w:tcPr>
            <w:tcW w:w="2880" w:type="dxa"/>
            <w:vAlign w:val="bottom"/>
            <w:gridSpan w:val="6"/>
            <w:vMerge w:val="restart"/>
          </w:tcPr>
          <w:p>
            <w:pPr>
              <w:jc w:val="center"/>
              <w:ind w:left="348"/>
              <w:spacing w:after="0"/>
              <w:rPr>
                <w:sz w:val="20"/>
                <w:szCs w:val="20"/>
                <w:color w:val="auto"/>
              </w:rPr>
            </w:pPr>
            <w:r>
              <w:rPr>
                <w:rFonts w:ascii="Arial" w:cs="Arial" w:eastAsia="Arial" w:hAnsi="Arial"/>
                <w:sz w:val="14"/>
                <w:szCs w:val="14"/>
                <w:b w:val="1"/>
                <w:bCs w:val="1"/>
                <w:color w:val="auto"/>
              </w:rPr>
              <w:t>Six Months Ended June 30, 2019</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
        </w:trPr>
        <w:tc>
          <w:tcPr>
            <w:tcW w:w="38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gridSpan w:val="6"/>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480"/>
              <w:spacing w:after="0"/>
              <w:rPr>
                <w:sz w:val="20"/>
                <w:szCs w:val="20"/>
                <w:color w:val="auto"/>
              </w:rPr>
            </w:pPr>
            <w:r>
              <w:rPr>
                <w:rFonts w:ascii="Arial" w:cs="Arial" w:eastAsia="Arial" w:hAnsi="Arial"/>
                <w:sz w:val="14"/>
                <w:szCs w:val="14"/>
                <w:b w:val="1"/>
                <w:bCs w:val="1"/>
                <w:color w:val="auto"/>
              </w:rPr>
              <w:t>Change Due To</w:t>
            </w:r>
          </w:p>
        </w:tc>
        <w:tc>
          <w:tcPr>
            <w:tcW w:w="180" w:type="dxa"/>
            <w:vAlign w:val="bottom"/>
          </w:tcPr>
          <w:p>
            <w:pPr>
              <w:spacing w:after="0"/>
              <w:rPr>
                <w:sz w:val="17"/>
                <w:szCs w:val="17"/>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7"/>
                <w:szCs w:val="17"/>
                <w:color w:val="auto"/>
              </w:rPr>
            </w:pPr>
          </w:p>
        </w:tc>
        <w:tc>
          <w:tcPr>
            <w:tcW w:w="2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Change Due To</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8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80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(in thousands)</w:t>
            </w:r>
          </w:p>
        </w:tc>
        <w:tc>
          <w:tcPr>
            <w:tcW w:w="220" w:type="dxa"/>
            <w:vAlign w:val="bottom"/>
          </w:tcPr>
          <w:p>
            <w:pPr>
              <w:spacing w:after="0"/>
              <w:rPr>
                <w:sz w:val="17"/>
                <w:szCs w:val="17"/>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Volume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Variance</w:t>
            </w: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Volume</w:t>
            </w:r>
          </w:p>
        </w:tc>
        <w:tc>
          <w:tcPr>
            <w:tcW w:w="140" w:type="dxa"/>
            <w:vAlign w:val="bottom"/>
          </w:tcPr>
          <w:p>
            <w:pPr>
              <w:spacing w:after="0"/>
              <w:rPr>
                <w:sz w:val="17"/>
                <w:szCs w:val="17"/>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Rate</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Variance</w:t>
            </w:r>
          </w:p>
        </w:tc>
        <w:tc>
          <w:tcPr>
            <w:tcW w:w="0" w:type="dxa"/>
            <w:vAlign w:val="bottom"/>
          </w:tcPr>
          <w:p>
            <w:pPr>
              <w:spacing w:after="0"/>
              <w:rPr>
                <w:sz w:val="1"/>
                <w:szCs w:val="1"/>
                <w:color w:val="auto"/>
              </w:rPr>
            </w:pPr>
          </w:p>
        </w:tc>
      </w:tr>
      <w:tr>
        <w:trPr>
          <w:trHeight w:val="44"/>
        </w:trPr>
        <w:tc>
          <w:tcPr>
            <w:tcW w:w="38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3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Interest Income: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38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deposits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3800" w:type="dxa"/>
            <w:vAlign w:val="bottom"/>
          </w:tcPr>
          <w:p>
            <w:pPr>
              <w:ind w:left="200"/>
              <w:spacing w:after="0"/>
              <w:rPr>
                <w:sz w:val="20"/>
                <w:szCs w:val="20"/>
                <w:color w:val="auto"/>
              </w:rPr>
            </w:pPr>
            <w:r>
              <w:rPr>
                <w:rFonts w:ascii="Arial" w:cs="Arial" w:eastAsia="Arial" w:hAnsi="Arial"/>
                <w:sz w:val="14"/>
                <w:szCs w:val="14"/>
                <w:color w:val="auto"/>
              </w:rPr>
              <w:t>Federal funds sold</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securities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64"/>
        </w:trPr>
        <w:tc>
          <w:tcPr>
            <w:tcW w:w="3800" w:type="dxa"/>
            <w:vAlign w:val="bottom"/>
          </w:tcPr>
          <w:p>
            <w:pPr>
              <w:ind w:left="200"/>
              <w:spacing w:after="0"/>
              <w:rPr>
                <w:sz w:val="20"/>
                <w:szCs w:val="20"/>
                <w:color w:val="auto"/>
              </w:rPr>
            </w:pPr>
            <w:r>
              <w:rPr>
                <w:rFonts w:ascii="Arial" w:cs="Arial" w:eastAsia="Arial" w:hAnsi="Arial"/>
                <w:sz w:val="14"/>
                <w:szCs w:val="14"/>
                <w:color w:val="auto"/>
              </w:rPr>
              <w:t>Restricted stock</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6"/>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 held for sale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4"/>
        </w:trPr>
        <w:tc>
          <w:tcPr>
            <w:tcW w:w="3800" w:type="dxa"/>
            <w:vAlign w:val="bottom"/>
          </w:tcPr>
          <w:p>
            <w:pPr>
              <w:ind w:left="200"/>
              <w:spacing w:after="0"/>
              <w:rPr>
                <w:sz w:val="20"/>
                <w:szCs w:val="20"/>
                <w:color w:val="auto"/>
              </w:rPr>
            </w:pPr>
            <w:r>
              <w:rPr>
                <w:rFonts w:ascii="Arial" w:cs="Arial" w:eastAsia="Arial" w:hAnsi="Arial"/>
                <w:sz w:val="14"/>
                <w:szCs w:val="14"/>
                <w:color w:val="auto"/>
              </w:rPr>
              <w:t>SBA-PPP loans receivable</w:t>
            </w:r>
          </w:p>
        </w:tc>
        <w:tc>
          <w:tcPr>
            <w:tcW w:w="2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1,011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70"/>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Portfolio loans receivable</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2,159</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5,968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4,003</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interest income</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1,613</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270"/>
        </w:trPr>
        <w:tc>
          <w:tcPr>
            <w:tcW w:w="3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00" w:type="dxa"/>
            <w:vAlign w:val="bottom"/>
          </w:tcPr>
          <w:p>
            <w:pPr>
              <w:ind w:left="40"/>
              <w:spacing w:after="0"/>
              <w:rPr>
                <w:sz w:val="20"/>
                <w:szCs w:val="20"/>
                <w:color w:val="auto"/>
              </w:rPr>
            </w:pPr>
            <w:r>
              <w:rPr>
                <w:rFonts w:ascii="Arial" w:cs="Arial" w:eastAsia="Arial" w:hAnsi="Arial"/>
                <w:sz w:val="14"/>
                <w:szCs w:val="14"/>
                <w:b w:val="1"/>
                <w:bCs w:val="1"/>
                <w:color w:val="auto"/>
              </w:rPr>
              <w:t>Interest Expense:</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demand accounts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64"/>
        </w:trPr>
        <w:tc>
          <w:tcPr>
            <w:tcW w:w="3800" w:type="dxa"/>
            <w:vAlign w:val="bottom"/>
          </w:tcPr>
          <w:p>
            <w:pPr>
              <w:ind w:left="200"/>
              <w:spacing w:after="0"/>
              <w:rPr>
                <w:sz w:val="20"/>
                <w:szCs w:val="20"/>
                <w:color w:val="auto"/>
              </w:rPr>
            </w:pPr>
            <w:r>
              <w:rPr>
                <w:rFonts w:ascii="Arial" w:cs="Arial" w:eastAsia="Arial" w:hAnsi="Arial"/>
                <w:sz w:val="14"/>
                <w:szCs w:val="14"/>
                <w:color w:val="auto"/>
              </w:rPr>
              <w:t>Savings</w:t>
            </w:r>
          </w:p>
        </w:tc>
        <w:tc>
          <w:tcPr>
            <w:tcW w:w="2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Money market accounts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64"/>
        </w:trPr>
        <w:tc>
          <w:tcPr>
            <w:tcW w:w="3800" w:type="dxa"/>
            <w:vAlign w:val="bottom"/>
          </w:tcPr>
          <w:p>
            <w:pPr>
              <w:ind w:left="200"/>
              <w:spacing w:after="0"/>
              <w:rPr>
                <w:sz w:val="20"/>
                <w:szCs w:val="20"/>
                <w:color w:val="auto"/>
              </w:rPr>
            </w:pPr>
            <w:r>
              <w:rPr>
                <w:rFonts w:ascii="Arial" w:cs="Arial" w:eastAsia="Arial" w:hAnsi="Arial"/>
                <w:sz w:val="14"/>
                <w:szCs w:val="14"/>
                <w:color w:val="auto"/>
              </w:rPr>
              <w:t>Time deposits</w:t>
            </w:r>
          </w:p>
        </w:tc>
        <w:tc>
          <w:tcPr>
            <w:tcW w:w="2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70"/>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Borrowed funds</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interest expense</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interest income increased by $2.1 million, or 12.7%, for the second quarter of 2020 compared to the second quarter of 2019 as average total interest earning assets increased from $1.1 billion to $ 1.6 billion. The increase in average interest earning assets was primarily driven by an increase in average portfolio loan balances of $175.0 million, or 17.1%, from an average of $1.0 billion for the quarter ended June 30, 2019 to $1.2 billion for the quarter ended June 30, 2020. Average interest earning assets were also boosted by the SBA-PPP loans which averaged $166 million above the prior year period. Reflective of the decreasing interest rate environment beginning in the third quarter of 2019, the annualized yield on interest earning assets decreased 153 basis points, from 7.10% for the three months ended June 30, 2019 to 5.57% for the three months ended June 30, 2020.</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Average interest bearing liabilities increased by $212.8 million, or 27.5%, from $774.0 million for the second quarter of 2019 to $986.8 million for the second quarter of 2020. The increase was due to growth of $231.2 million, or 32.5%, in the average balance of interest bearing deposits and an increase in the average balance of borrowed funds of $18.4 million, or 29%. The annualized average interest rate paid on interest bearing liabilities decreased 57 basis points to 1.38% for the second quarter of 2020 from 1.95% for the second quarter of 2019. The average annualized interest rate on interest bearing deposits and borrowed funds decreased by 197 basis points and 22 basis points, respectively. The decreases in the annualized average interest rates reflect interest rate decreases in 2019 and 2020.</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net interest margin decreased 107 basis points to 4.72% for the three months ended June 30, 2020, from 5.79% for the three months ended June 30, 2019. Excluding credit cards and SBA-PPP loans, the Company’s annualized net interest margin was 3.96% for the three months ended June 30, 2020, down 41 basis points from 4.37% for the three months ended June 30, 2019. The year over year net interest margin decrease of 107 basis points was primarily due to the decreasing rate environment. The Company’s net interest spread was 4.19% and 5.15% for the three months ended June 30, 2020 and 2019, respectively.</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355" w:right="339" w:bottom="1440" w:gutter="0" w:footer="0" w:header="0"/>
          <w:type w:val="continuous"/>
        </w:sectPr>
      </w:pPr>
    </w:p>
    <w:bookmarkStart w:id="48" w:name="page49"/>
    <w:bookmarkEnd w:id="48"/>
    <w:p>
      <w:pPr>
        <w:jc w:val="both"/>
        <w:ind w:firstLine="324"/>
        <w:spacing w:after="0" w:line="252" w:lineRule="auto"/>
        <w:rPr>
          <w:sz w:val="20"/>
          <w:szCs w:val="20"/>
          <w:color w:val="auto"/>
        </w:rPr>
      </w:pPr>
      <w:r>
        <w:rPr>
          <w:rFonts w:ascii="Arial" w:cs="Arial" w:eastAsia="Arial" w:hAnsi="Arial"/>
          <w:sz w:val="18"/>
          <w:szCs w:val="18"/>
          <w:color w:val="auto"/>
        </w:rPr>
        <w:t>For the six months ended June 30, 2020, net interest income increased by $5.0 million, or 16.1%, from the six months ended June 30, 2019 as average total interest earning assets increased from $1.1 billion to $1.5 billion. The increase in average interest earning assets was primarily driven by an increase in average portfolio loan balances of $175.2 million, or 17.3%, from an average balance of $1.0 billion to $1.2 billion for the same period. Reflective of the decreasing interest rate environment beginning in the third quarter of 2019, the annualized yield on interest earning assets decreased 101 basis points, from 6.94% for the six months ended June 30, 2019 to 5.93% for the six months ended June 30, 2020.</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six months ended June 30, 2020, average interest bearing liabilities increased by $206.4 million, or 27.2%, from $759.5 million to $965.9 million period over period . The increase was due to growth of $205.8 million, or 28.8%, in the average balance of interest bearing deposits and an increase in the average balance of borrowed funds of $ 611 thousand, or 1.4%. The annualized average interest rate paid on interest bearing liabilities decreased 40 basis points for the six months ended June 30, 2020 compared to the six months ended June 30, 2019. The average annualized interest rate on interest bearing deposits and borrowed funds decreased by 153 basis points and 19 basis points, respectively. The decreases in the annualized average interest rates reflect interest rate decreases in 2019 and 2020.</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net interest margin decreased 61 basis points to 4.38% for the six months ended June 30, 2020, from 4.99% for the six months ended June 30, 2019. Excluding credit cards and SBA-PPP loans, the annualized net interest margin was 3.96% for the six months ended June 30, 2020, down 38 basis points from 4.34% for the six months ended June 30, 2019. The year over year net interest margin decrease of 71 basis points resulted from the decreasing rate environment. Net interest spread was 4.38% and 4.99%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55"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42"/>
        </w:trPr>
        <w:tc>
          <w:tcPr>
            <w:tcW w:w="370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00" w:type="dxa"/>
            <w:vAlign w:val="bottom"/>
          </w:tcPr>
          <w:p>
            <w:pPr>
              <w:ind w:left="40"/>
              <w:spacing w:after="0"/>
              <w:rPr>
                <w:sz w:val="20"/>
                <w:szCs w:val="20"/>
                <w:color w:val="auto"/>
              </w:rPr>
            </w:pPr>
            <w:r>
              <w:rPr>
                <w:rFonts w:ascii="Arial" w:cs="Arial" w:eastAsia="Arial" w:hAnsi="Arial"/>
                <w:sz w:val="14"/>
                <w:szCs w:val="14"/>
                <w:color w:val="auto"/>
              </w:rPr>
              <w:t>Interest earning assets: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88,238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0.63%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64"/>
        </w:trPr>
        <w:tc>
          <w:tcPr>
            <w:tcW w:w="3700" w:type="dxa"/>
            <w:vAlign w:val="bottom"/>
          </w:tcPr>
          <w:p>
            <w:pPr>
              <w:ind w:left="200"/>
              <w:spacing w:after="0"/>
              <w:rPr>
                <w:sz w:val="20"/>
                <w:szCs w:val="20"/>
                <w:color w:val="auto"/>
              </w:rPr>
            </w:pPr>
            <w:r>
              <w:rPr>
                <w:rFonts w:ascii="Arial" w:cs="Arial" w:eastAsia="Arial" w:hAnsi="Arial"/>
                <w:sz w:val="14"/>
                <w:szCs w:val="14"/>
                <w:color w:val="auto"/>
              </w:rPr>
              <w:t>Federal funds sold</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1,479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1,869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securities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59,628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64"/>
        </w:trPr>
        <w:tc>
          <w:tcPr>
            <w:tcW w:w="3700" w:type="dxa"/>
            <w:vAlign w:val="bottom"/>
          </w:tcPr>
          <w:p>
            <w:pPr>
              <w:ind w:left="200"/>
              <w:spacing w:after="0"/>
              <w:rPr>
                <w:sz w:val="20"/>
                <w:szCs w:val="20"/>
                <w:color w:val="auto"/>
              </w:rPr>
            </w:pPr>
            <w:r>
              <w:rPr>
                <w:rFonts w:ascii="Arial" w:cs="Arial" w:eastAsia="Arial" w:hAnsi="Arial"/>
                <w:sz w:val="14"/>
                <w:szCs w:val="14"/>
                <w:color w:val="auto"/>
              </w:rPr>
              <w:t>Restricted investments</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4,035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60,180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264"/>
        </w:trPr>
        <w:tc>
          <w:tcPr>
            <w:tcW w:w="3700" w:type="dxa"/>
            <w:vAlign w:val="bottom"/>
          </w:tcPr>
          <w:p>
            <w:pPr>
              <w:ind w:left="200"/>
              <w:spacing w:after="0"/>
              <w:rPr>
                <w:sz w:val="20"/>
                <w:szCs w:val="20"/>
                <w:color w:val="auto"/>
              </w:rPr>
            </w:pPr>
            <w:r>
              <w:rPr>
                <w:rFonts w:ascii="Arial" w:cs="Arial" w:eastAsia="Arial" w:hAnsi="Arial"/>
                <w:sz w:val="14"/>
                <w:szCs w:val="14"/>
                <w:color w:val="auto"/>
              </w:rPr>
              <w:t>SBA-PPP loans receivable</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83,060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1,011</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Portfolio loans receivable</w:t>
            </w:r>
            <w:r>
              <w:rPr>
                <w:rFonts w:ascii="Arial" w:cs="Arial" w:eastAsia="Arial" w:hAnsi="Arial"/>
                <w:sz w:val="17"/>
                <w:szCs w:val="17"/>
                <w:color w:val="auto"/>
                <w:vertAlign w:val="superscript"/>
              </w:rPr>
              <w:t>(2)</w:t>
            </w: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1,187,170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40,619</w:t>
            </w:r>
          </w:p>
        </w:tc>
        <w:tc>
          <w:tcPr>
            <w:tcW w:w="1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1,011,971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36,616</w:t>
            </w:r>
          </w:p>
        </w:tc>
        <w:tc>
          <w:tcPr>
            <w:tcW w:w="1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interest earning assets</w:t>
            </w:r>
          </w:p>
        </w:tc>
        <w:tc>
          <w:tcPr>
            <w:tcW w:w="1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1,483,790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43,744</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5.93%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1,121,085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38,607</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26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earning assets</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21,279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70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1,505,069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1,135,797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7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bearing liabilities: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00" w:type="dxa"/>
            <w:vAlign w:val="bottom"/>
          </w:tcPr>
          <w:p>
            <w:pPr>
              <w:ind w:left="200"/>
              <w:spacing w:after="0"/>
              <w:rPr>
                <w:sz w:val="20"/>
                <w:szCs w:val="20"/>
                <w:color w:val="auto"/>
              </w:rPr>
            </w:pPr>
            <w:r>
              <w:rPr>
                <w:rFonts w:ascii="Arial" w:cs="Arial" w:eastAsia="Arial" w:hAnsi="Arial"/>
                <w:sz w:val="14"/>
                <w:szCs w:val="14"/>
                <w:color w:val="auto"/>
              </w:rPr>
              <w:t>Interest bearing demand accounts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162,985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398</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0.49%</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87,416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Savings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64"/>
        </w:trPr>
        <w:tc>
          <w:tcPr>
            <w:tcW w:w="3700" w:type="dxa"/>
            <w:vAlign w:val="bottom"/>
          </w:tcPr>
          <w:p>
            <w:pPr>
              <w:ind w:left="200"/>
              <w:spacing w:after="0"/>
              <w:rPr>
                <w:sz w:val="20"/>
                <w:szCs w:val="20"/>
                <w:color w:val="auto"/>
              </w:rPr>
            </w:pPr>
            <w:r>
              <w:rPr>
                <w:rFonts w:ascii="Arial" w:cs="Arial" w:eastAsia="Arial" w:hAnsi="Arial"/>
                <w:sz w:val="14"/>
                <w:szCs w:val="14"/>
                <w:color w:val="auto"/>
              </w:rPr>
              <w:t>Money market accounts</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459,865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2,967</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325,173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2,748</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Time deposits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293,374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3,198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298,805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3,517</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Borrowed funds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45,214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866</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44,603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894</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56"/>
        </w:trPr>
        <w:tc>
          <w:tcPr>
            <w:tcW w:w="3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bearing liabilities</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965,901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7,433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759,457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7,332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58"/>
        </w:trPr>
        <w:tc>
          <w:tcPr>
            <w:tcW w:w="3700" w:type="dxa"/>
            <w:vAlign w:val="bottom"/>
          </w:tcPr>
          <w:p>
            <w:pPr>
              <w:ind w:left="40"/>
              <w:spacing w:after="0"/>
              <w:rPr>
                <w:sz w:val="20"/>
                <w:szCs w:val="20"/>
                <w:color w:val="auto"/>
              </w:rPr>
            </w:pPr>
            <w:r>
              <w:rPr>
                <w:rFonts w:ascii="Arial" w:cs="Arial" w:eastAsia="Arial" w:hAnsi="Arial"/>
                <w:sz w:val="14"/>
                <w:szCs w:val="14"/>
                <w:color w:val="auto"/>
              </w:rPr>
              <w:t>Noninterest bearing liabilities: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Noninterest bearing liabilities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20,744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tcPr>
          <w:p>
            <w:pPr>
              <w:ind w:left="200"/>
              <w:spacing w:after="0"/>
              <w:rPr>
                <w:sz w:val="20"/>
                <w:szCs w:val="20"/>
                <w:color w:val="auto"/>
              </w:rPr>
            </w:pPr>
            <w:r>
              <w:rPr>
                <w:rFonts w:ascii="Arial" w:cs="Arial" w:eastAsia="Arial" w:hAnsi="Arial"/>
                <w:sz w:val="14"/>
                <w:szCs w:val="14"/>
                <w:color w:val="auto"/>
              </w:rPr>
              <w:t>Noninterest bearing deposits</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379,881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242,443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Stockholders’ equity</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138,543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120,041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700" w:type="dxa"/>
            <w:vAlign w:val="bottom"/>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1,505,069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1,135,797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interest spread</w:t>
            </w: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36,311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31,275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7"/>
                <w:szCs w:val="17"/>
                <w:color w:val="auto"/>
                <w:vertAlign w:val="superscript"/>
              </w:rPr>
              <w:t>(3)</w:t>
            </w: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4.92%</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line="20" w:lineRule="exact"/>
              <w:rPr>
                <w:sz w:val="1"/>
                <w:szCs w:val="1"/>
                <w:color w:val="auto"/>
              </w:rPr>
            </w:pPr>
          </w:p>
        </w:tc>
      </w:tr>
      <w:tr>
        <w:trPr>
          <w:trHeight w:val="242"/>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9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7"/>
          <w:szCs w:val="7"/>
          <w:color w:val="auto"/>
        </w:rPr>
      </w:pPr>
      <w:r>
        <w:rPr>
          <w:rFonts w:ascii="Arial" w:cs="Arial" w:eastAsia="Arial" w:hAnsi="Arial"/>
          <w:sz w:val="11"/>
          <w:szCs w:val="11"/>
          <w:color w:val="auto"/>
        </w:rPr>
        <w:t>Annualized</w:t>
      </w:r>
    </w:p>
    <w:p>
      <w:pPr>
        <w:ind w:left="340" w:hanging="332"/>
        <w:spacing w:after="0" w:line="230" w:lineRule="auto"/>
        <w:tabs>
          <w:tab w:leader="none" w:pos="340" w:val="left"/>
        </w:tabs>
        <w:numPr>
          <w:ilvl w:val="0"/>
          <w:numId w:val="12"/>
        </w:numPr>
        <w:rPr>
          <w:rFonts w:ascii="Arial" w:cs="Arial" w:eastAsia="Arial" w:hAnsi="Arial"/>
          <w:sz w:val="7"/>
          <w:szCs w:val="7"/>
          <w:color w:val="auto"/>
        </w:rPr>
      </w:pPr>
      <w:r>
        <w:rPr>
          <w:rFonts w:ascii="Arial" w:cs="Arial" w:eastAsia="Arial" w:hAnsi="Arial"/>
          <w:sz w:val="11"/>
          <w:szCs w:val="11"/>
          <w:color w:val="auto"/>
        </w:rPr>
        <w:t>Includes nonaccrual loans.</w:t>
      </w:r>
    </w:p>
    <w:p>
      <w:pPr>
        <w:ind w:left="340" w:hanging="332"/>
        <w:spacing w:after="0"/>
        <w:tabs>
          <w:tab w:leader="none" w:pos="340" w:val="left"/>
        </w:tabs>
        <w:numPr>
          <w:ilvl w:val="0"/>
          <w:numId w:val="12"/>
        </w:numPr>
        <w:rPr>
          <w:rFonts w:ascii="Arial" w:cs="Arial" w:eastAsia="Arial" w:hAnsi="Arial"/>
          <w:sz w:val="7"/>
          <w:szCs w:val="7"/>
          <w:color w:val="auto"/>
        </w:rPr>
      </w:pPr>
      <w:r>
        <w:rPr>
          <w:rFonts w:ascii="Arial" w:cs="Arial" w:eastAsia="Arial" w:hAnsi="Arial"/>
          <w:sz w:val="11"/>
          <w:szCs w:val="11"/>
          <w:color w:val="auto"/>
        </w:rPr>
        <w:t>For the six months ended June 30, 2019 and 2020, SBA-PPP loans and credit card loans collectively accounted for 129 and 96 basis points of the reported net interest margin,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43"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The provision for loan losses is a charge to income in order to bring our allowance for loan losses to a level deemed appropriate by management. For a description of the factors taken into account by our management in determining the allowance for loan losses see “Financial Condition—Allowance for Loan Losses.”</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provision for loan losses was $3.3 million and $677 thousand for the three months ended June 30, 2020 and 2019, respectively. For the quarter ended June 30, 2020, uncertainty surrounding the deterioration of the macro-economic environment related to the COVID-19 pandemic resulted in a $3.3 million provision. Net charge-offs amounted to $134 thousand for the three months ended June 30, 2020, compared to $118 thousand for the three months ended June 30, 2019. The increase in net charge-offs for the three months ended June 30, 2020 was primarily due to increases in charge-offs of $55 thousand in the credit card portfolio, offset by a decrease in charge-offs in the commercial and industrial portfolio of $28 thousand.</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333" w:right="339" w:bottom="1440" w:gutter="0" w:footer="0" w:header="0"/>
          <w:type w:val="continuous"/>
        </w:sectPr>
      </w:pPr>
    </w:p>
    <w:bookmarkStart w:id="50" w:name="page51"/>
    <w:bookmarkEnd w:id="50"/>
    <w:p>
      <w:pPr>
        <w:jc w:val="both"/>
        <w:ind w:firstLine="324"/>
        <w:spacing w:after="0" w:line="253" w:lineRule="auto"/>
        <w:rPr>
          <w:sz w:val="20"/>
          <w:szCs w:val="20"/>
          <w:color w:val="auto"/>
        </w:rPr>
      </w:pPr>
      <w:r>
        <w:rPr>
          <w:rFonts w:ascii="Arial" w:cs="Arial" w:eastAsia="Arial" w:hAnsi="Arial"/>
          <w:sz w:val="18"/>
          <w:szCs w:val="18"/>
          <w:color w:val="auto"/>
        </w:rPr>
        <w:t>The provision for loan losses was $ 5.7 million and $798 thousand for the six months ended June 30, 2020 and 2019, respectively. Net charge-offs amounted to $ 330 thousand for the six months ended June 30, 2020, compared to $192 thousand for the six months ended June 30, 2019. The increase in net charge-offs for the six months ended June 30, 2020 was primarily due to increases in charge-offs of $141 thousand in the credit card portfolio. Our allowance for loan losses as a percent of portfolio loans was 1.54% and 1.14% at June 30, 2020 and December 31,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4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primary sources of recurring noninterest income are service charges on deposit accounts, certain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0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NONINTEREST INCOME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6"/>
          </w:tcPr>
          <w:p>
            <w:pPr>
              <w:jc w:val="right"/>
              <w:ind w:right="70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6"/>
          </w:tcPr>
          <w:p>
            <w:pPr>
              <w:jc w:val="right"/>
              <w:ind w:right="86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3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22"/>
                <w:szCs w:val="22"/>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340" w:type="dxa"/>
            <w:vAlign w:val="bottom"/>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48"/>
        </w:trPr>
        <w:tc>
          <w:tcPr>
            <w:tcW w:w="372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2"/>
        </w:trPr>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income:</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4"/>
        </w:trPr>
        <w:tc>
          <w:tcPr>
            <w:tcW w:w="3720" w:type="dxa"/>
            <w:vAlign w:val="bottom"/>
          </w:tcPr>
          <w:p>
            <w:pPr>
              <w:ind w:left="200"/>
              <w:spacing w:after="0"/>
              <w:rPr>
                <w:sz w:val="20"/>
                <w:szCs w:val="20"/>
                <w:color w:val="auto"/>
              </w:rPr>
            </w:pPr>
            <w:r>
              <w:rPr>
                <w:rFonts w:ascii="Arial" w:cs="Arial" w:eastAsia="Arial" w:hAnsi="Arial"/>
                <w:sz w:val="14"/>
                <w:szCs w:val="14"/>
                <w:color w:val="auto"/>
              </w:rPr>
              <w:t>Service charges on deposit accounts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110</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259</w:t>
            </w:r>
          </w:p>
        </w:tc>
        <w:tc>
          <w:tcPr>
            <w:tcW w:w="100" w:type="dxa"/>
            <w:vAlign w:val="bottom"/>
          </w:tcPr>
          <w:p>
            <w:pPr>
              <w:spacing w:after="0"/>
              <w:rPr>
                <w:sz w:val="22"/>
                <w:szCs w:val="22"/>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9.7 %</w:t>
            </w:r>
          </w:p>
        </w:tc>
      </w:tr>
      <w:tr>
        <w:trPr>
          <w:trHeight w:val="276"/>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Credit card fees</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1,970</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42.1 %</w:t>
            </w:r>
          </w:p>
        </w:tc>
      </w:tr>
      <w:tr>
        <w:trPr>
          <w:trHeight w:val="264"/>
        </w:trPr>
        <w:tc>
          <w:tcPr>
            <w:tcW w:w="3720" w:type="dxa"/>
            <w:vAlign w:val="bottom"/>
          </w:tcPr>
          <w:p>
            <w:pPr>
              <w:ind w:left="200"/>
              <w:spacing w:after="0"/>
              <w:rPr>
                <w:sz w:val="20"/>
                <w:szCs w:val="20"/>
                <w:color w:val="auto"/>
              </w:rPr>
            </w:pPr>
            <w:r>
              <w:rPr>
                <w:rFonts w:ascii="Arial" w:cs="Arial" w:eastAsia="Arial" w:hAnsi="Arial"/>
                <w:sz w:val="14"/>
                <w:szCs w:val="14"/>
                <w:color w:val="auto"/>
              </w:rPr>
              <w:t>Mortgage banking revenue</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10,119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3,715</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172.4 %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14,136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6,091</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132.1 %</w:t>
            </w:r>
          </w:p>
        </w:tc>
      </w:tr>
      <w:tr>
        <w:trPr>
          <w:trHeight w:val="276"/>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Gain on sale of securities</w:t>
            </w: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64"/>
        </w:trPr>
        <w:tc>
          <w:tcPr>
            <w:tcW w:w="37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fees and charges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758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871.8 %</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1,163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470.1 %</w:t>
            </w:r>
          </w:p>
        </w:tc>
      </w:tr>
      <w:tr>
        <w:trPr>
          <w:trHeight w:val="243"/>
        </w:trPr>
        <w:tc>
          <w:tcPr>
            <w:tcW w:w="3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noninterest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10,019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104.4 %</w:t>
            </w:r>
          </w:p>
        </w:tc>
      </w:tr>
      <w:tr>
        <w:trPr>
          <w:trHeight w:val="20"/>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Noninterest income increased $ 8.0 million, or 135%, to $13.9 million for the three months ended June 30, 2020 from $5.9 million for the three months ended June 30, 2019. The increase was primarily due to mortgage banking revenue, which increased by $6.4 million, or 172%, during the second quarter of 2020 compared to the second quarter of 2019. Due to the overall lower interest rate environment accelerating refinances in the current year, purchase volume as a percentage of loan originations declined to 31% for the second quarter of 2020, compared to 79.1% for the second quarter of 2019. Proceeds from the sale of loans held for sale amounted to $280.2 million for the three months ended June 30, 2020 compared to $109.1 million for the three months ended June 30, 2019.</w:t>
      </w:r>
    </w:p>
    <w:p>
      <w:pPr>
        <w:spacing w:after="0" w:line="20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credit card issuances continued at higher levels, totaling 172 thousand for the three months ended June 30, 2020, compared to 37 thousand for the three months ended June 30, 2019. Credit card fees correspondingly increased $943 thousand to $2.9 million for the three months ended June 30, 2020 from $2.0 million for the three months ended June 30, 2019.</w:t>
      </w:r>
    </w:p>
    <w:p>
      <w:pPr>
        <w:spacing w:after="0" w:line="2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Noninterest income increased $10.5 million, or 104%, to $20.5 million for the six months ended June 30, 2020 compared to $10.0 million for the six months ended June 30, 2019. The increase was primarily due to mortgage banking revenue, which increased by $8.0 million, or 132%, during the six months ended June 30, 2020 compared to the six months ended June 30, 2019. Purchase volume as a percentage of loan originations was 31.8% for the six months ended June 30, 2020, compared to 78.8% for the six months ended June 30, 2019. Proceeds from the sale of loans held for sale amounted to $462.3 million for the six months ended June 30, 2020 compared to $183.2 million for the six months ended June 30, 2019.</w:t>
      </w:r>
    </w:p>
    <w:p>
      <w:pPr>
        <w:spacing w:after="0" w:line="206"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OpenSky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credit card fees increased $1.5 million to $4.9 million for the six months ended June 30, 2020 from $3.5 million for the six months ended June 30, 2019 primarily due to an increase in credit card accounts.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5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Noninterest Expense</w:t>
      </w:r>
    </w:p>
    <w:p>
      <w:pPr>
        <w:spacing w:after="0" w:line="24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NONINTEREST EXPENSE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right"/>
              <w:ind w:right="728"/>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6"/>
          </w:tcPr>
          <w:p>
            <w:pPr>
              <w:jc w:val="right"/>
              <w:ind w:right="84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3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22"/>
                <w:szCs w:val="22"/>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48"/>
        </w:trPr>
        <w:tc>
          <w:tcPr>
            <w:tcW w:w="36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82"/>
        </w:trPr>
        <w:tc>
          <w:tcPr>
            <w:tcW w:w="362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0"/>
        </w:trPr>
        <w:tc>
          <w:tcPr>
            <w:tcW w:w="3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Salaries and employee benefits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11,296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39.3 %</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19,753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14,898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60"/>
        </w:trPr>
        <w:tc>
          <w:tcPr>
            <w:tcW w:w="3620" w:type="dxa"/>
            <w:vAlign w:val="bottom"/>
          </w:tcPr>
          <w:p>
            <w:pPr>
              <w:ind w:left="200"/>
              <w:spacing w:after="0"/>
              <w:rPr>
                <w:sz w:val="20"/>
                <w:szCs w:val="20"/>
                <w:color w:val="auto"/>
              </w:rPr>
            </w:pPr>
            <w:r>
              <w:rPr>
                <w:rFonts w:ascii="Arial" w:cs="Arial" w:eastAsia="Arial" w:hAnsi="Arial"/>
                <w:sz w:val="16"/>
                <w:szCs w:val="16"/>
                <w:color w:val="auto"/>
              </w:rPr>
              <w:t>Occupancy and equipment</w:t>
            </w:r>
          </w:p>
        </w:tc>
        <w:tc>
          <w:tcPr>
            <w:tcW w:w="2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1,152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1,102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2,330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2,196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6.1%</w:t>
            </w:r>
          </w:p>
        </w:tc>
      </w:tr>
      <w:tr>
        <w:trPr>
          <w:trHeight w:val="280"/>
        </w:trPr>
        <w:tc>
          <w:tcPr>
            <w:tcW w:w="3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894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46.8 %</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1,664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60"/>
        </w:trPr>
        <w:tc>
          <w:tcPr>
            <w:tcW w:w="3620" w:type="dxa"/>
            <w:vAlign w:val="bottom"/>
          </w:tcPr>
          <w:p>
            <w:pPr>
              <w:ind w:left="200"/>
              <w:spacing w:after="0"/>
              <w:rPr>
                <w:sz w:val="20"/>
                <w:szCs w:val="20"/>
                <w:color w:val="auto"/>
              </w:rPr>
            </w:pPr>
            <w:r>
              <w:rPr>
                <w:rFonts w:ascii="Arial" w:cs="Arial" w:eastAsia="Arial" w:hAnsi="Arial"/>
                <w:sz w:val="16"/>
                <w:szCs w:val="16"/>
                <w:color w:val="auto"/>
              </w:rPr>
              <w:t>Data processing</w:t>
            </w:r>
          </w:p>
        </w:tc>
        <w:tc>
          <w:tcPr>
            <w:tcW w:w="2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5,667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3,716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52.5 %</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9,784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7,029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39.2%</w:t>
            </w:r>
          </w:p>
        </w:tc>
      </w:tr>
      <w:tr>
        <w:trPr>
          <w:trHeight w:val="280"/>
        </w:trPr>
        <w:tc>
          <w:tcPr>
            <w:tcW w:w="3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Advertising</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60"/>
        </w:trPr>
        <w:tc>
          <w:tcPr>
            <w:tcW w:w="3620" w:type="dxa"/>
            <w:vAlign w:val="bottom"/>
          </w:tcPr>
          <w:p>
            <w:pPr>
              <w:ind w:left="200"/>
              <w:spacing w:after="0"/>
              <w:rPr>
                <w:sz w:val="20"/>
                <w:szCs w:val="20"/>
                <w:color w:val="auto"/>
              </w:rPr>
            </w:pPr>
            <w:r>
              <w:rPr>
                <w:rFonts w:ascii="Arial" w:cs="Arial" w:eastAsia="Arial" w:hAnsi="Arial"/>
                <w:sz w:val="16"/>
                <w:szCs w:val="16"/>
                <w:color w:val="auto"/>
              </w:rPr>
              <w:t>Loan processing</w:t>
            </w:r>
          </w:p>
        </w:tc>
        <w:tc>
          <w:tcPr>
            <w:tcW w:w="2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740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117.6 %</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b w:val="1"/>
                <w:bCs w:val="1"/>
                <w:color w:val="auto"/>
              </w:rPr>
              <w:t>1,187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645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84.0%</w:t>
            </w:r>
          </w:p>
        </w:tc>
      </w:tr>
      <w:tr>
        <w:trPr>
          <w:trHeight w:val="280"/>
        </w:trPr>
        <w:tc>
          <w:tcPr>
            <w:tcW w:w="3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real estate expense, net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156.0%</w:t>
            </w:r>
          </w:p>
        </w:tc>
      </w:tr>
      <w:tr>
        <w:trPr>
          <w:trHeight w:val="263"/>
        </w:trPr>
        <w:tc>
          <w:tcPr>
            <w:tcW w:w="3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2,266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1,773</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27.7 %</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4,459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3,521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26.6%</w:t>
            </w:r>
          </w:p>
        </w:tc>
      </w:tr>
      <w:tr>
        <w:trPr>
          <w:trHeight w:val="240"/>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noninterest expense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22,703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16,210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39.6 %</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40,547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30,540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Noninterest expense amounted to $22.7 million for the three months ended June 30, 2020, an increase of $6.5 million, or 40.1%, compared to $16.2 million for the three months ended June 30, 2019. The increase was primarily due to increases in salaries and employee benefits, which include commissions paid on mortgage originations, data processing expenses, advertising, and other expenses. Commissions paid on mortgage originations increased 310.3% from $682 thousand to $2.8 million, reflective of significantly higher levels of mortgage originations. The increase in employees is reflective of the organic growth of the Company and includes 13 new employees in the revenue producing teams of the commercial banking and mortgage banking divisions. In addition, there was an increase of $2.0 million in data processing expense reflecting the higher volume of open credit cards and higher loan and deposit balances during the period.</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Noninterest expense amounted to $40.5 million for the six months ended June 30, 2020, an increase of $10 million, or 32.8%, compared to $30.5 million for the six months ended June 30, 2019. The increase was primarily due to increases in salaries and employee benefits, which include commissions paid on mortgage originations, data processing expenses, advertising, and other expenses. Commissions paid on mortgage originations increased 88.5% from $2.8 million to $5.4 million, reflective of higher levels of mortgage originations. Another component of the increase in salary and employee benefits expense resulted from a 5.6% increase in employees to 244 at June 30, 2020, from 231 at June 30, 2019. The increase in employees is reflective of the organic growth of the Company and includes 13 new employees in the revenue producing teams of the commercial banking and mortgage banking divisions. In addition, there was an increase of $2.8 million in data processing expense reflecting the higher volume of open credit cards and higher loan and deposit balances during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4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amount of income tax expense we incur is influenced by our pre-tax income and our other nondeductible expenses. Deferred tax assets and liabilities are reflected at current income tax rates in effect for the period in which the deferred tax assets and liabilities are expected to be realized or settled. As changes in tax laws or rates are enacted, deferred tax assets and liabilities are adjusted through the provision for income taxes. Valuation allowances are established when necessary to reduce deferred tax assets to the amount expected to be realized.</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324"/>
        <w:spacing w:after="0" w:line="254" w:lineRule="auto"/>
        <w:rPr>
          <w:sz w:val="20"/>
          <w:szCs w:val="20"/>
          <w:color w:val="auto"/>
        </w:rPr>
      </w:pPr>
      <w:r>
        <w:rPr>
          <w:rFonts w:ascii="Arial" w:cs="Arial" w:eastAsia="Arial" w:hAnsi="Arial"/>
          <w:sz w:val="18"/>
          <w:szCs w:val="18"/>
          <w:color w:val="auto"/>
        </w:rPr>
        <w:t>Income tax expense was $1.8 million for the three months ended June 30, 2020 compared to $1.5 million for the three months ended June 30, 2019. Our effective tax rates were approximately 27.0% and 27.8% for the 2020 and 2019 periods, respectively. For the six months ended June 30, 2020, income tax expense was $ 2.8 million compared to $2.6 million for the six months ended June 30, 2019, with effective tax rates of 27.0% and 26.3% for 2020 and 2019,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June 30, 2020, total assets increased $ 394 million from December 31, 2019 to approximately $1.8 billion. The increase was primarily attributable to the origination and funding of $ 236.3 million of SBA-PPP loans supplemented with strong organic deposit growth during the second quarter of 2020. Federal funds sold, loans receivable, interest bearing deposits at other financial institutions and loans held for sale increased. Premises and equipment and investment securities decreased over the period. Noninterest bearing deposits increased to $564 million at June 30, 2020 from $292 million at December 31, 2019 and interest bearing deposits increased to $1.0 billion from $934 million in the period. Stockholders’ equity increased $8.8 million, or 6.6%, to $142.1 million at June 30, 2020, primarily due to earnings.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Bearing Deposits at Other Financial Institutions</w:t>
      </w:r>
    </w:p>
    <w:p>
      <w:pPr>
        <w:spacing w:after="0" w:line="24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June 30, 2020, interest bearing deposits at other financial institutions increased $77.9 million, or 76.1%, to $180.4 million from $102.4 million at December 31, 2019. The increase was primarily due to increased deposits from customer fiduciary accounts.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4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investment portfolio decreased by 6.6%, or approximately $4.0 million, from $60.8 million at December 31, 2019, to $56.8 million at June 30, 2020 primarily as a result of $ 5.0 million of paydowns received on mortgage-backed securities, offset by an increased unrealized gain on securities of $2.4 million. Year to date calls and maturities total $1.3 million. To supplement interest income earned on our loan portfolio, we invest in high quality mortgage-backed securities, government agency bonds, and high quality municipal and corporate bonds.</w:t>
      </w: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55" w:right="339" w:bottom="1440" w:gutter="0" w:footer="0" w:header="0"/>
        </w:sectPr>
      </w:pPr>
    </w:p>
    <w:bookmarkStart w:id="53" w:name="page54"/>
    <w:bookmarkEnd w:id="53"/>
    <w:p>
      <w:pPr>
        <w:jc w:val="both"/>
        <w:ind w:firstLine="324"/>
        <w:spacing w:after="0" w:line="261" w:lineRule="auto"/>
        <w:rPr>
          <w:sz w:val="20"/>
          <w:szCs w:val="20"/>
          <w:color w:val="auto"/>
        </w:rPr>
      </w:pPr>
      <w:r>
        <w:rPr>
          <w:rFonts w:ascii="Arial" w:cs="Arial" w:eastAsia="Arial" w:hAnsi="Arial"/>
          <w:sz w:val="18"/>
          <w:szCs w:val="18"/>
          <w:color w:val="auto"/>
        </w:rPr>
        <w:t>The following tables summarize the contractual maturities and weighted-average yields of investment securities at June 30, 2020 and the amortized cost and carrying value of those securities as of the indicated dates.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MATURITIES</w:t>
      </w:r>
    </w:p>
    <w:p>
      <w:pPr>
        <w:spacing w:after="0" w:line="37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b w:val="1"/>
                <w:bCs w:val="1"/>
                <w:color w:val="auto"/>
              </w:rPr>
              <w:t>More Than Five Years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One Year or Less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Through 10 Years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More Than 10 Years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89"/>
              </w:rPr>
              <w:t>Total</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Weighted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Weighted</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Weighted</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00"/>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57"/>
        </w:trPr>
        <w:tc>
          <w:tcPr>
            <w:tcW w:w="3160" w:type="dxa"/>
            <w:vAlign w:val="bottom"/>
            <w:vMerge w:val="continue"/>
          </w:tcPr>
          <w:p>
            <w:pPr>
              <w:spacing w:after="0"/>
              <w:rPr>
                <w:sz w:val="13"/>
                <w:szCs w:val="13"/>
                <w:color w:val="auto"/>
              </w:rPr>
            </w:pPr>
          </w:p>
        </w:tc>
        <w:tc>
          <w:tcPr>
            <w:tcW w:w="880" w:type="dxa"/>
            <w:vAlign w:val="bottom"/>
            <w:gridSpan w:val="3"/>
          </w:tcPr>
          <w:p>
            <w:pPr>
              <w:ind w:left="100"/>
              <w:spacing w:after="0"/>
              <w:rPr>
                <w:sz w:val="20"/>
                <w:szCs w:val="20"/>
                <w:color w:val="auto"/>
              </w:rPr>
            </w:pPr>
            <w:r>
              <w:rPr>
                <w:rFonts w:ascii="Arial" w:cs="Arial" w:eastAsia="Arial" w:hAnsi="Arial"/>
                <w:sz w:val="11"/>
                <w:szCs w:val="11"/>
                <w:b w:val="1"/>
                <w:bCs w:val="1"/>
                <w:color w:val="auto"/>
              </w:rPr>
              <w:t>Book Value</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Average Yield</w:t>
            </w: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Book Value</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Average Yield</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Book Value</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Average Yield</w:t>
            </w: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Book Value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Fair Value</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248"/>
        </w:trPr>
        <w:tc>
          <w:tcPr>
            <w:tcW w:w="31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Securities Available for Sale:</w:t>
            </w: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160" w:type="dxa"/>
            <w:vAlign w:val="bottom"/>
          </w:tcPr>
          <w:p>
            <w:pPr>
              <w:ind w:left="40"/>
              <w:spacing w:after="0"/>
              <w:rPr>
                <w:sz w:val="20"/>
                <w:szCs w:val="20"/>
                <w:color w:val="auto"/>
              </w:rPr>
            </w:pPr>
            <w:r>
              <w:rPr>
                <w:rFonts w:ascii="Arial" w:cs="Arial" w:eastAsia="Arial" w:hAnsi="Arial"/>
                <w:sz w:val="13"/>
                <w:szCs w:val="13"/>
                <w:color w:val="auto"/>
              </w:rPr>
              <w:t>U.S. government-sponsored agencies</w:t>
            </w:r>
          </w:p>
        </w:tc>
        <w:tc>
          <w:tcPr>
            <w:tcW w:w="22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Municipal</w:t>
            </w:r>
          </w:p>
        </w:tc>
        <w:tc>
          <w:tcPr>
            <w:tcW w:w="2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262"/>
        </w:trPr>
        <w:tc>
          <w:tcPr>
            <w:tcW w:w="3160" w:type="dxa"/>
            <w:vAlign w:val="bottom"/>
          </w:tcPr>
          <w:p>
            <w:pPr>
              <w:ind w:left="40"/>
              <w:spacing w:after="0"/>
              <w:rPr>
                <w:sz w:val="20"/>
                <w:szCs w:val="20"/>
                <w:color w:val="auto"/>
              </w:rPr>
            </w:pPr>
            <w:r>
              <w:rPr>
                <w:rFonts w:ascii="Arial" w:cs="Arial" w:eastAsia="Arial" w:hAnsi="Arial"/>
                <w:sz w:val="13"/>
                <w:szCs w:val="13"/>
                <w:color w:val="auto"/>
              </w:rPr>
              <w:t>Corporate bonds</w:t>
            </w:r>
          </w:p>
        </w:tc>
        <w:tc>
          <w:tcPr>
            <w:tcW w:w="220" w:type="dxa"/>
            <w:vAlign w:val="bottom"/>
          </w:tcPr>
          <w:p>
            <w:pPr>
              <w:spacing w:after="0"/>
              <w:rPr>
                <w:sz w:val="22"/>
                <w:szCs w:val="22"/>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2,260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59"/>
              <w:spacing w:after="0"/>
              <w:rPr>
                <w:sz w:val="20"/>
                <w:szCs w:val="20"/>
                <w:color w:val="auto"/>
              </w:rPr>
            </w:pPr>
            <w:r>
              <w:rPr>
                <w:rFonts w:ascii="Arial" w:cs="Arial" w:eastAsia="Arial" w:hAnsi="Arial"/>
                <w:sz w:val="13"/>
                <w:szCs w:val="13"/>
                <w:color w:val="auto"/>
              </w:rPr>
              <w:t>2,237</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272"/>
        </w:trPr>
        <w:tc>
          <w:tcPr>
            <w:tcW w:w="3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Mortgage-backed securities</w:t>
            </w:r>
          </w:p>
        </w:tc>
        <w:tc>
          <w:tcPr>
            <w:tcW w:w="2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3"/>
                <w:szCs w:val="13"/>
                <w:color w:val="auto"/>
                <w:w w:val="97"/>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17,198</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34,387</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51,585</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54,016</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242"/>
        </w:trPr>
        <w:tc>
          <w:tcPr>
            <w:tcW w:w="3160" w:type="dxa"/>
            <w:vAlign w:val="bottom"/>
          </w:tcPr>
          <w:p>
            <w:pPr>
              <w:ind w:left="180"/>
              <w:spacing w:after="0"/>
              <w:rPr>
                <w:sz w:val="20"/>
                <w:szCs w:val="20"/>
                <w:color w:val="auto"/>
              </w:rPr>
            </w:pPr>
            <w:r>
              <w:rPr>
                <w:rFonts w:ascii="Arial" w:cs="Arial" w:eastAsia="Arial" w:hAnsi="Arial"/>
                <w:sz w:val="13"/>
                <w:szCs w:val="13"/>
                <w:color w:val="auto"/>
              </w:rPr>
              <w:t>Total</w:t>
            </w:r>
          </w:p>
        </w:tc>
        <w:tc>
          <w:tcPr>
            <w:tcW w:w="220" w:type="dxa"/>
            <w:vAlign w:val="bottom"/>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19,198</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21"/>
                <w:szCs w:val="21"/>
                <w:color w:val="auto"/>
              </w:rPr>
            </w:pPr>
          </w:p>
        </w:tc>
        <w:tc>
          <w:tcPr>
            <w:tcW w:w="180" w:type="dxa"/>
            <w:vAlign w:val="bottom"/>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35,160</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21"/>
                <w:szCs w:val="21"/>
                <w:color w:val="auto"/>
              </w:rPr>
            </w:pPr>
          </w:p>
        </w:tc>
        <w:tc>
          <w:tcPr>
            <w:tcW w:w="180" w:type="dxa"/>
            <w:vAlign w:val="bottom"/>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54,358</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9"/>
              <w:spacing w:after="0"/>
              <w:rPr>
                <w:sz w:val="20"/>
                <w:szCs w:val="20"/>
                <w:color w:val="auto"/>
              </w:rPr>
            </w:pPr>
            <w:r>
              <w:rPr>
                <w:rFonts w:ascii="Arial" w:cs="Arial" w:eastAsia="Arial" w:hAnsi="Arial"/>
                <w:sz w:val="13"/>
                <w:szCs w:val="13"/>
                <w:color w:val="auto"/>
              </w:rPr>
              <w:t>56,796</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Loans Receivable</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primary source of income is derived from interest earned on loans. Our portfolio loans consists of loans secured by real estate as well as commercial business loans, credit card loans, substantially all of which are secured by corresponding deposits at the Bank and, to a very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To a lesser extent, our credit card portfolio supplements our traditional lending products with enhanced yields. Our lending activities are principally directed to our market area consisting of the Washington, D.C. and Baltimore, Maryland metropolitan areas.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loan portfolio by type of loan as of the dates indicated: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PORTFOLIO LOANS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22"/>
                <w:szCs w:val="22"/>
                <w:color w:val="auto"/>
              </w:rPr>
            </w:pPr>
          </w:p>
        </w:tc>
        <w:tc>
          <w:tcPr>
            <w:tcW w:w="1600" w:type="dxa"/>
            <w:vAlign w:val="bottom"/>
          </w:tcPr>
          <w:p>
            <w:pPr>
              <w:jc w:val="right"/>
              <w:ind w:right="5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22"/>
                <w:szCs w:val="22"/>
                <w:color w:val="auto"/>
              </w:rPr>
            </w:pPr>
          </w:p>
        </w:tc>
        <w:tc>
          <w:tcPr>
            <w:tcW w:w="1400" w:type="dxa"/>
            <w:vAlign w:val="bottom"/>
          </w:tcPr>
          <w:p>
            <w:pPr>
              <w:jc w:val="right"/>
              <w:ind w:right="5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280" w:type="dxa"/>
            <w:vAlign w:val="bottom"/>
          </w:tcPr>
          <w:p>
            <w:pPr>
              <w:jc w:val="right"/>
              <w:ind w:right="308"/>
              <w:spacing w:after="0"/>
              <w:rPr>
                <w:sz w:val="20"/>
                <w:szCs w:val="20"/>
                <w:color w:val="auto"/>
              </w:rPr>
            </w:pPr>
            <w:r>
              <w:rPr>
                <w:rFonts w:ascii="Arial" w:cs="Arial" w:eastAsia="Arial" w:hAnsi="Arial"/>
                <w:sz w:val="14"/>
                <w:szCs w:val="14"/>
                <w:b w:val="1"/>
                <w:bCs w:val="1"/>
                <w:color w:val="auto"/>
              </w:rPr>
              <w:t>Percent</w:t>
            </w:r>
          </w:p>
        </w:tc>
      </w:tr>
      <w:tr>
        <w:trPr>
          <w:trHeight w:val="264"/>
        </w:trPr>
        <w:tc>
          <w:tcPr>
            <w:tcW w:w="478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18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76"/>
        </w:trPr>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437,429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427,926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264"/>
        </w:trPr>
        <w:tc>
          <w:tcPr>
            <w:tcW w:w="4780" w:type="dxa"/>
            <w:vAlign w:val="bottom"/>
          </w:tcPr>
          <w:p>
            <w:pPr>
              <w:ind w:left="20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b w:val="1"/>
                <w:bCs w:val="1"/>
                <w:color w:val="auto"/>
              </w:rPr>
              <w:t>364,071</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348,091</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30%</w:t>
            </w:r>
          </w:p>
        </w:tc>
      </w:tr>
      <w:tr>
        <w:trPr>
          <w:trHeight w:val="276"/>
        </w:trPr>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212,957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198,702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4780" w:type="dxa"/>
            <w:vAlign w:val="bottom"/>
          </w:tcPr>
          <w:p>
            <w:pPr>
              <w:ind w:left="40"/>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22"/>
                <w:szCs w:val="22"/>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b w:val="1"/>
                <w:bCs w:val="1"/>
                <w:color w:val="auto"/>
              </w:rPr>
              <w:t>142,673</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151,109</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76"/>
        </w:trPr>
        <w:tc>
          <w:tcPr>
            <w:tcW w:w="4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54,732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46,412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consumer</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947</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1,285</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4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Portfolio loans receivable, gross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1,212,809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1,173,525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90"/>
        </w:trPr>
        <w:tc>
          <w:tcPr>
            <w:tcW w:w="4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Unearned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(1,332)</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(2,404)</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Portfolio loans, net of unearned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1,211,477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1,171,121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5"/>
        </w:trPr>
        <w:tc>
          <w:tcPr>
            <w:tcW w:w="47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Allowance for loan losses</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(18,680)</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(13,301)</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r>
      <w:tr>
        <w:trPr>
          <w:trHeight w:val="242"/>
        </w:trPr>
        <w:tc>
          <w:tcPr>
            <w:tcW w:w="4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net portfolio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1,192,797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1,157,820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55" w:right="339" w:bottom="1440" w:gutter="0" w:footer="0" w:header="0"/>
        </w:sectPr>
      </w:pPr>
    </w:p>
    <w:bookmarkStart w:id="54" w:name="page55"/>
    <w:bookmarkEnd w:id="54"/>
    <w:p>
      <w:pPr>
        <w:jc w:val="both"/>
        <w:ind w:firstLine="324"/>
        <w:spacing w:after="0" w:line="261" w:lineRule="auto"/>
        <w:rPr>
          <w:sz w:val="20"/>
          <w:szCs w:val="20"/>
          <w:color w:val="auto"/>
        </w:rPr>
      </w:pPr>
      <w:r>
        <w:rPr>
          <w:rFonts w:ascii="Arial" w:cs="Arial" w:eastAsia="Arial" w:hAnsi="Arial"/>
          <w:sz w:val="18"/>
          <w:szCs w:val="18"/>
          <w:color w:val="auto"/>
        </w:rPr>
        <w:t>The repayment of loans is a source of additional liquidity for us. The following table details maturities and sensitivity to interest rate changes for our loan portfolio at June 30,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MATURITY AND SENSITIVITY TO CHANGES IN INTEREST RATES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As of June 30, 2020</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5"/>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Due in One Year</w:t>
            </w:r>
          </w:p>
        </w:tc>
        <w:tc>
          <w:tcPr>
            <w:tcW w:w="20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Due in One to</w:t>
            </w:r>
          </w:p>
        </w:tc>
        <w:tc>
          <w:tcPr>
            <w:tcW w:w="280" w:type="dxa"/>
            <w:vAlign w:val="bottom"/>
          </w:tcPr>
          <w:p>
            <w:pPr>
              <w:spacing w:after="0"/>
              <w:rPr>
                <w:sz w:val="15"/>
                <w:szCs w:val="15"/>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Due After</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6"/>
        </w:trPr>
        <w:tc>
          <w:tcPr>
            <w:tcW w:w="46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 Less</w:t>
            </w:r>
          </w:p>
        </w:tc>
        <w:tc>
          <w:tcPr>
            <w:tcW w:w="20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Five Years</w:t>
            </w:r>
          </w:p>
        </w:tc>
        <w:tc>
          <w:tcPr>
            <w:tcW w:w="28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Five Years</w:t>
            </w:r>
          </w:p>
        </w:tc>
        <w:tc>
          <w:tcPr>
            <w:tcW w:w="360" w:type="dxa"/>
            <w:vAlign w:val="bottom"/>
          </w:tcPr>
          <w:p>
            <w:pPr>
              <w:spacing w:after="0"/>
              <w:rPr>
                <w:sz w:val="17"/>
                <w:szCs w:val="17"/>
                <w:color w:val="auto"/>
              </w:rPr>
            </w:pPr>
          </w:p>
        </w:tc>
        <w:tc>
          <w:tcPr>
            <w:tcW w:w="120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76"/>
        </w:trPr>
        <w:tc>
          <w:tcPr>
            <w:tcW w:w="4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99,533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193,772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437,429</w:t>
            </w:r>
          </w:p>
        </w:tc>
      </w:tr>
      <w:tr>
        <w:trPr>
          <w:trHeight w:val="264"/>
        </w:trPr>
        <w:tc>
          <w:tcPr>
            <w:tcW w:w="4620" w:type="dxa"/>
            <w:vAlign w:val="bottom"/>
          </w:tcPr>
          <w:p>
            <w:pPr>
              <w:ind w:left="20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72,155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179,068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112,848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364,071</w:t>
            </w:r>
          </w:p>
        </w:tc>
      </w:tr>
      <w:tr>
        <w:trPr>
          <w:trHeight w:val="276"/>
        </w:trPr>
        <w:tc>
          <w:tcPr>
            <w:tcW w:w="4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193,928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212,957</w:t>
            </w: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22"/>
                <w:szCs w:val="22"/>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71,692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43,657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27,324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142,673</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54,732</w:t>
            </w: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consumer</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947</w:t>
            </w:r>
          </w:p>
        </w:tc>
      </w:tr>
      <w:tr>
        <w:trPr>
          <w:trHeight w:val="243"/>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Portfolio loans receivable, gross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492,622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384,922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335,265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1,212,809</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0"/>
        </w:trPr>
        <w:tc>
          <w:tcPr>
            <w:tcW w:w="46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Amounts with fixed rates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122,210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287,378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78,106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487,694</w:t>
            </w:r>
          </w:p>
        </w:tc>
      </w:tr>
      <w:tr>
        <w:trPr>
          <w:trHeight w:val="210"/>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Amounts with floating rates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370,412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97,544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257,159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725,115</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to the portfolio loans shown above, SBA-PPP loans receivable, which totaled $236.3 million at June 30, 2020, mature in the 1-5 year time-frame and carry a fixed rate of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4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Nonperforming loans increased to $5.9 million, or 0.48% of total portfolio loans, at June 30, 2020 compared to $ 4.7 million, or 0.40% of total portfolio loans, at December 31, 2019. The $1.1 million, or 24.4%, increase during the six months ended June 30, 2020 was primarily due to an increase of $1.4 million in nonperforming construction loans. The increase was attributable to a single borrower relationship that we believe to be well secured and on which no impairment is currently expected. Included in the non-performing loans at June 30, 2020 are troubled debt restructurings of $450 thousand.</w:t>
      </w:r>
    </w:p>
    <w:p>
      <w:pPr>
        <w:spacing w:after="0" w:line="2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Foreclosed real estate increased to $3.3 million as of June 30, 2020 compared to $2.4 million as of December 31, 2019 due to the foreclosure of a residential loan.</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Total nonperforming assets were $9.2 million at June 30, 2020 compared to $7.1 million at December 31, 2019, or 0.50% of corresponding total assets for both periods.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result of the COVID-19 pandemic, we anticipate that our commercial, commercial real estate, residential and consumer borrowers will continue to encounter economic difficulties, which could lead to increases in our levels of nonperforming assets, impaired loans and troubled debt restructurings.</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787" w:right="33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color w:val="auto"/>
        </w:rPr>
        <w:t>The following table presents information regarding nonperforming assets at the dates indicated:</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21"/>
          <w:szCs w:val="21"/>
          <w:b w:val="1"/>
          <w:bCs w:val="1"/>
          <w:color w:val="auto"/>
          <w:vertAlign w:val="superscript"/>
        </w:rPr>
        <w:t>(1)</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17"/>
                <w:szCs w:val="17"/>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7"/>
                <w:szCs w:val="17"/>
                <w:color w:val="auto"/>
              </w:rPr>
            </w:pPr>
          </w:p>
        </w:tc>
        <w:tc>
          <w:tcPr>
            <w:tcW w:w="174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31, 2019</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Nonaccrual loans</w:t>
            </w:r>
          </w:p>
        </w:tc>
        <w:tc>
          <w:tcPr>
            <w:tcW w:w="34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80"/>
        </w:trPr>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Real Estate:</w:t>
            </w:r>
          </w:p>
        </w:tc>
        <w:tc>
          <w:tcPr>
            <w:tcW w:w="3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60"/>
        </w:trPr>
        <w:tc>
          <w:tcPr>
            <w:tcW w:w="7080" w:type="dxa"/>
            <w:vAlign w:val="bottom"/>
          </w:tcPr>
          <w:p>
            <w:pPr>
              <w:ind w:left="360"/>
              <w:spacing w:after="0"/>
              <w:rPr>
                <w:sz w:val="20"/>
                <w:szCs w:val="20"/>
                <w:color w:val="auto"/>
              </w:rPr>
            </w:pPr>
            <w:r>
              <w:rPr>
                <w:rFonts w:ascii="Arial" w:cs="Arial" w:eastAsia="Arial" w:hAnsi="Arial"/>
                <w:sz w:val="16"/>
                <w:szCs w:val="16"/>
                <w:color w:val="auto"/>
              </w:rPr>
              <w:t>Residential</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jc w:val="right"/>
              <w:ind w:right="100"/>
              <w:spacing w:after="0"/>
              <w:rPr>
                <w:sz w:val="20"/>
                <w:szCs w:val="20"/>
                <w:color w:val="auto"/>
              </w:rPr>
            </w:pPr>
            <w:r>
              <w:rPr>
                <w:rFonts w:ascii="Arial" w:cs="Arial" w:eastAsia="Arial" w:hAnsi="Arial"/>
                <w:sz w:val="16"/>
                <w:szCs w:val="16"/>
                <w:b w:val="1"/>
                <w:bCs w:val="1"/>
                <w:color w:val="auto"/>
              </w:rPr>
              <w:t>2,152</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00"/>
              <w:spacing w:after="0"/>
              <w:rPr>
                <w:sz w:val="20"/>
                <w:szCs w:val="20"/>
                <w:color w:val="auto"/>
              </w:rPr>
            </w:pPr>
            <w:r>
              <w:rPr>
                <w:rFonts w:ascii="Arial" w:cs="Arial" w:eastAsia="Arial" w:hAnsi="Arial"/>
                <w:sz w:val="16"/>
                <w:szCs w:val="16"/>
                <w:color w:val="auto"/>
              </w:rPr>
              <w:t>2,193</w:t>
            </w:r>
          </w:p>
        </w:tc>
      </w:tr>
      <w:tr>
        <w:trPr>
          <w:trHeight w:val="280"/>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Commercial</w:t>
            </w:r>
          </w:p>
        </w:tc>
        <w:tc>
          <w:tcPr>
            <w:tcW w:w="3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1,433</w:t>
            </w:r>
          </w:p>
        </w:tc>
      </w:tr>
      <w:tr>
        <w:trPr>
          <w:trHeight w:val="260"/>
        </w:trPr>
        <w:tc>
          <w:tcPr>
            <w:tcW w:w="7080" w:type="dxa"/>
            <w:vAlign w:val="bottom"/>
          </w:tcPr>
          <w:p>
            <w:pPr>
              <w:ind w:left="360"/>
              <w:spacing w:after="0"/>
              <w:rPr>
                <w:sz w:val="20"/>
                <w:szCs w:val="20"/>
                <w:color w:val="auto"/>
              </w:rPr>
            </w:pPr>
            <w:r>
              <w:rPr>
                <w:rFonts w:ascii="Arial" w:cs="Arial" w:eastAsia="Arial" w:hAnsi="Arial"/>
                <w:sz w:val="16"/>
                <w:szCs w:val="16"/>
                <w:color w:val="auto"/>
              </w:rPr>
              <w:t>Construction</w:t>
            </w:r>
          </w:p>
        </w:tc>
        <w:tc>
          <w:tcPr>
            <w:tcW w:w="340" w:type="dxa"/>
            <w:vAlign w:val="bottom"/>
          </w:tcPr>
          <w:p>
            <w:pPr>
              <w:spacing w:after="0"/>
              <w:rPr>
                <w:sz w:val="22"/>
                <w:szCs w:val="22"/>
                <w:color w:val="auto"/>
              </w:rPr>
            </w:pPr>
          </w:p>
        </w:tc>
        <w:tc>
          <w:tcPr>
            <w:tcW w:w="1740" w:type="dxa"/>
            <w:vAlign w:val="bottom"/>
          </w:tcPr>
          <w:p>
            <w:pPr>
              <w:jc w:val="right"/>
              <w:ind w:right="100"/>
              <w:spacing w:after="0"/>
              <w:rPr>
                <w:sz w:val="20"/>
                <w:szCs w:val="20"/>
                <w:color w:val="auto"/>
              </w:rPr>
            </w:pPr>
            <w:r>
              <w:rPr>
                <w:rFonts w:ascii="Arial" w:cs="Arial" w:eastAsia="Arial" w:hAnsi="Arial"/>
                <w:sz w:val="16"/>
                <w:szCs w:val="16"/>
                <w:b w:val="1"/>
                <w:bCs w:val="1"/>
                <w:color w:val="auto"/>
              </w:rPr>
              <w:t>1,479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 and Industrial</w:t>
            </w:r>
          </w:p>
        </w:tc>
        <w:tc>
          <w:tcPr>
            <w:tcW w:w="3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474</w:t>
            </w:r>
          </w:p>
        </w:tc>
      </w:tr>
      <w:tr>
        <w:trPr>
          <w:trHeight w:val="263"/>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Accruing loans 90 or more days past due</w:t>
            </w: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620</w:t>
            </w:r>
          </w:p>
        </w:tc>
      </w:tr>
      <w:tr>
        <w:trPr>
          <w:trHeight w:val="257"/>
        </w:trPr>
        <w:tc>
          <w:tcPr>
            <w:tcW w:w="7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nonperforming portfolio loans</w:t>
            </w:r>
          </w:p>
        </w:tc>
        <w:tc>
          <w:tcPr>
            <w:tcW w:w="3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5,870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4,720</w:t>
            </w:r>
          </w:p>
        </w:tc>
      </w:tr>
      <w:tr>
        <w:trPr>
          <w:trHeight w:val="263"/>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Foreclosed real estate</w:t>
            </w: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3,326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2,384</w:t>
            </w:r>
          </w:p>
        </w:tc>
      </w:tr>
      <w:tr>
        <w:trPr>
          <w:trHeight w:val="236"/>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nonperforming assets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9,196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7,104</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7"/>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Restructured loans - nonaccrual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459</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Restructured loans - accruing</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nonperforming loans to portfolio loans</w:t>
            </w:r>
          </w:p>
        </w:tc>
        <w:tc>
          <w:tcPr>
            <w:tcW w:w="34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r>
      <w:tr>
        <w:trPr>
          <w:trHeight w:val="278"/>
        </w:trPr>
        <w:tc>
          <w:tcPr>
            <w:tcW w:w="7080" w:type="dxa"/>
            <w:vAlign w:val="bottom"/>
          </w:tcPr>
          <w:p>
            <w:pPr>
              <w:ind w:left="40"/>
              <w:spacing w:after="0"/>
              <w:rPr>
                <w:sz w:val="20"/>
                <w:szCs w:val="20"/>
                <w:color w:val="auto"/>
              </w:rPr>
            </w:pPr>
            <w:r>
              <w:rPr>
                <w:rFonts w:ascii="Arial" w:cs="Arial" w:eastAsia="Arial" w:hAnsi="Arial"/>
                <w:sz w:val="16"/>
                <w:szCs w:val="16"/>
                <w:color w:val="auto"/>
              </w:rPr>
              <w:t>Ratio of nonperforming assets to total assets</w:t>
            </w:r>
          </w:p>
        </w:tc>
        <w:tc>
          <w:tcPr>
            <w:tcW w:w="3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0.50%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0.50%</w:t>
            </w:r>
          </w:p>
        </w:tc>
      </w:tr>
      <w:tr>
        <w:trPr>
          <w:trHeight w:val="232"/>
        </w:trPr>
        <w:tc>
          <w:tcPr>
            <w:tcW w:w="7080" w:type="dxa"/>
            <w:vAlign w:val="bottom"/>
          </w:tcPr>
          <w:p>
            <w:pPr>
              <w:spacing w:after="0"/>
              <w:rPr>
                <w:sz w:val="20"/>
                <w:szCs w:val="20"/>
                <w:color w:val="auto"/>
              </w:rPr>
            </w:pPr>
            <w:r>
              <w:rPr>
                <w:rFonts w:ascii="Arial" w:cs="Arial" w:eastAsia="Arial" w:hAnsi="Arial"/>
                <w:sz w:val="18"/>
                <w:szCs w:val="18"/>
                <w:color w:val="auto"/>
              </w:rPr>
              <w:t>_______________</w:t>
            </w: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ind w:left="340" w:hanging="332"/>
        <w:spacing w:after="0"/>
        <w:tabs>
          <w:tab w:leader="none" w:pos="340" w:val="left"/>
        </w:tabs>
        <w:numPr>
          <w:ilvl w:val="0"/>
          <w:numId w:val="13"/>
        </w:numPr>
        <w:rPr>
          <w:rFonts w:ascii="Arial" w:cs="Arial" w:eastAsia="Arial" w:hAnsi="Arial"/>
          <w:sz w:val="7"/>
          <w:szCs w:val="7"/>
          <w:color w:val="auto"/>
        </w:rPr>
      </w:pPr>
      <w:r>
        <w:rPr>
          <w:rFonts w:ascii="Arial" w:cs="Arial" w:eastAsia="Arial" w:hAnsi="Arial"/>
          <w:sz w:val="11"/>
          <w:szCs w:val="11"/>
          <w:color w:val="auto"/>
        </w:rPr>
        <w:t>Excludes SBA-PPP loans receivable, none of which were nonperforming.</w:t>
      </w:r>
    </w:p>
    <w:p>
      <w:pPr>
        <w:spacing w:after="0" w:line="21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presents the loan balances by category as well as risk rating at the dates indicated. No assets were classified as loss during the periods presented.</w:t>
      </w:r>
    </w:p>
    <w:p>
      <w:pPr>
        <w:spacing w:after="0" w:line="17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PORTFOLIO LOAN CLASSIFICATION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Doubtful</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46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June 30, 2020</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Borders>
              <w:top w:val="single" w:sz="8" w:color="CCEEFF"/>
            </w:tcBorders>
          </w:tcPr>
          <w:p>
            <w:pPr>
              <w:spacing w:after="0"/>
              <w:rPr>
                <w:sz w:val="22"/>
                <w:szCs w:val="22"/>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Real estate:</w:t>
            </w:r>
          </w:p>
        </w:tc>
        <w:tc>
          <w:tcPr>
            <w:tcW w:w="2420" w:type="dxa"/>
            <w:vAlign w:val="bottom"/>
            <w:tcBorders>
              <w:top w:val="single" w:sz="8" w:color="CCEEFF"/>
            </w:tcBorders>
            <w:gridSpan w:val="2"/>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3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1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429,307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5,866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2,256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437,429</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46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353,473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b w:val="1"/>
                <w:bCs w:val="1"/>
                <w:color w:val="auto"/>
              </w:rPr>
              <w:t>9,624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974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364,071</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205,266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6,213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212,957</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460" w:type="dxa"/>
            <w:vAlign w:val="bottom"/>
            <w:gridSpan w:val="3"/>
          </w:tcPr>
          <w:p>
            <w:pPr>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133,916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b w:val="1"/>
                <w:bCs w:val="1"/>
                <w:color w:val="auto"/>
              </w:rPr>
              <w:t>7,475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1,282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142,673</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54,732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54,732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947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947</w:t>
            </w:r>
          </w:p>
        </w:tc>
        <w:tc>
          <w:tcPr>
            <w:tcW w:w="0" w:type="dxa"/>
            <w:vAlign w:val="bottom"/>
          </w:tcPr>
          <w:p>
            <w:pPr>
              <w:spacing w:after="0"/>
              <w:rPr>
                <w:sz w:val="1"/>
                <w:szCs w:val="1"/>
                <w:color w:val="auto"/>
              </w:rPr>
            </w:pPr>
          </w:p>
        </w:tc>
      </w:tr>
      <w:tr>
        <w:trPr>
          <w:trHeight w:val="240"/>
        </w:trPr>
        <w:tc>
          <w:tcPr>
            <w:tcW w:w="4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1,177,641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29,178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5,990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1,212,809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9"/>
              </w:rPr>
              <w:t>December 31, 2019</w:t>
            </w:r>
          </w:p>
        </w:tc>
        <w:tc>
          <w:tcPr>
            <w:tcW w:w="2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460" w:type="dxa"/>
            <w:vAlign w:val="bottom"/>
            <w:gridSpan w:val="3"/>
          </w:tcPr>
          <w:p>
            <w:pPr>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425,661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427,926</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46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340,313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6,345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348,091</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3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198,702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198,702</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460" w:type="dxa"/>
            <w:vAlign w:val="bottom"/>
            <w:gridSpan w:val="3"/>
          </w:tcPr>
          <w:p>
            <w:pPr>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145,178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4,505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1,426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151,109</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46,412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46,412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1,285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40"/>
        </w:trPr>
        <w:tc>
          <w:tcPr>
            <w:tcW w:w="40" w:type="dxa"/>
            <w:vAlign w:val="bottom"/>
            <w:shd w:val="clear" w:color="auto" w:fill="CCEEFF"/>
          </w:tcPr>
          <w:p>
            <w:pPr>
              <w:spacing w:after="0"/>
              <w:rPr>
                <w:sz w:val="20"/>
                <w:szCs w:val="20"/>
                <w:color w:val="auto"/>
              </w:rPr>
            </w:pPr>
          </w:p>
        </w:tc>
        <w:tc>
          <w:tcPr>
            <w:tcW w:w="3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1,157,551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1,173,525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4"/>
            <w:vMerge w:val="restart"/>
          </w:tcPr>
          <w:p>
            <w:pPr>
              <w:jc w:val="right"/>
              <w:ind w:right="2000"/>
              <w:spacing w:after="0"/>
              <w:rPr>
                <w:sz w:val="20"/>
                <w:szCs w:val="20"/>
                <w:color w:val="auto"/>
              </w:rPr>
            </w:pPr>
            <w:r>
              <w:rPr>
                <w:rFonts w:ascii="Arial" w:cs="Arial" w:eastAsia="Arial" w:hAnsi="Arial"/>
                <w:sz w:val="18"/>
                <w:szCs w:val="18"/>
                <w:color w:val="auto"/>
                <w:w w:val="98"/>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4"/>
        </w:numPr>
        <w:rPr>
          <w:rFonts w:ascii="Arial" w:cs="Arial" w:eastAsia="Arial" w:hAnsi="Arial"/>
          <w:sz w:val="7"/>
          <w:szCs w:val="7"/>
          <w:color w:val="auto"/>
        </w:rPr>
      </w:pPr>
      <w:r>
        <w:rPr>
          <w:rFonts w:ascii="Arial" w:cs="Arial" w:eastAsia="Arial" w:hAnsi="Arial"/>
          <w:sz w:val="11"/>
          <w:szCs w:val="11"/>
          <w:color w:val="auto"/>
        </w:rPr>
        <w:t>Category includes loans graded exceptional, very good, good, satisfactory and pass / watch, in addition to credit cards and consumer credits that are not graded.</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40"/>
          </w:cols>
          <w:pgMar w:left="320" w:top="355" w:right="339" w:bottom="1440" w:gutter="0" w:footer="0" w:header="0"/>
          <w:type w:val="continuous"/>
        </w:sectPr>
      </w:pPr>
    </w:p>
    <w:bookmarkStart w:id="56" w:name="page57"/>
    <w:bookmarkEnd w:id="56"/>
    <w:p>
      <w:pPr>
        <w:jc w:val="both"/>
        <w:ind w:firstLine="324"/>
        <w:spacing w:after="0" w:line="254" w:lineRule="auto"/>
        <w:rPr>
          <w:sz w:val="20"/>
          <w:szCs w:val="20"/>
          <w:color w:val="auto"/>
        </w:rPr>
      </w:pPr>
      <w:r>
        <w:rPr>
          <w:rFonts w:ascii="Arial" w:cs="Arial" w:eastAsia="Arial" w:hAnsi="Arial"/>
          <w:sz w:val="18"/>
          <w:szCs w:val="18"/>
          <w:color w:val="auto"/>
        </w:rPr>
        <w:t>At June 30, 2020, the recorded investment in impaired loans was $5.0 million, of which $234 thousand required a specific reserve of $88 thousand. This compares to a recorded investment in impaired loans of $4.1 million at December 31, 2019, including $273 thousand which required a specific reserve of $119 thousand. The increase in impaired loans from the prior quarter relates to one relationship totaling $1.4 million that we believe to be well secured and on which no impairment is currently expected.</w:t>
      </w:r>
    </w:p>
    <w:p>
      <w:pPr>
        <w:spacing w:after="0" w:line="2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Impaired loans also include certain loans that have been modified as TDRs. The Company had five loans amounting to $450 thousand at June 30, 2020, and five loans totaling $459 thousand at December 31, 2019 that were considered to be TDRs.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 The following table presents a summary of changes in the allowance for loan losses for the periods and dates indicated: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256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 the Six Months Ended June</w:t>
            </w:r>
          </w:p>
        </w:tc>
        <w:tc>
          <w:tcPr>
            <w:tcW w:w="2140" w:type="dxa"/>
            <w:vAlign w:val="bottom"/>
            <w:gridSpan w:val="2"/>
          </w:tcPr>
          <w:p>
            <w:pPr>
              <w:ind w:left="60"/>
              <w:spacing w:after="0"/>
              <w:rPr>
                <w:sz w:val="20"/>
                <w:szCs w:val="20"/>
                <w:color w:val="auto"/>
              </w:rPr>
            </w:pPr>
            <w:r>
              <w:rPr>
                <w:rFonts w:ascii="Arial" w:cs="Arial" w:eastAsia="Arial" w:hAnsi="Arial"/>
                <w:sz w:val="14"/>
                <w:szCs w:val="14"/>
                <w:b w:val="1"/>
                <w:bCs w:val="1"/>
                <w:color w:val="auto"/>
              </w:rPr>
              <w:t>For the Year Ended December</w:t>
            </w:r>
          </w:p>
        </w:tc>
      </w:tr>
      <w:tr>
        <w:trPr>
          <w:trHeight w:val="196"/>
        </w:trPr>
        <w:tc>
          <w:tcPr>
            <w:tcW w:w="65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rPr>
              <w:t>30, 2020</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31, 2019</w:t>
            </w:r>
          </w:p>
        </w:tc>
      </w:tr>
      <w:tr>
        <w:trPr>
          <w:trHeight w:val="248"/>
        </w:trPr>
        <w:tc>
          <w:tcPr>
            <w:tcW w:w="65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5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2"/>
        </w:trPr>
        <w:tc>
          <w:tcPr>
            <w:tcW w:w="6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Allowance for loan losses at beginning of period</w:t>
            </w: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13,301</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11,308</w:t>
            </w:r>
          </w:p>
        </w:tc>
      </w:tr>
      <w:tr>
        <w:trPr>
          <w:trHeight w:val="260"/>
        </w:trPr>
        <w:tc>
          <w:tcPr>
            <w:tcW w:w="6540" w:type="dxa"/>
            <w:vAlign w:val="bottom"/>
          </w:tcPr>
          <w:p>
            <w:pPr>
              <w:ind w:left="40"/>
              <w:spacing w:after="0"/>
              <w:rPr>
                <w:sz w:val="20"/>
                <w:szCs w:val="20"/>
                <w:color w:val="auto"/>
              </w:rPr>
            </w:pPr>
            <w:r>
              <w:rPr>
                <w:rFonts w:ascii="Arial" w:cs="Arial" w:eastAsia="Arial" w:hAnsi="Arial"/>
                <w:sz w:val="16"/>
                <w:szCs w:val="16"/>
                <w:color w:val="auto"/>
              </w:rPr>
              <w:t>Charge-offs:</w:t>
            </w:r>
          </w:p>
        </w:tc>
        <w:tc>
          <w:tcPr>
            <w:tcW w:w="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80"/>
        </w:trPr>
        <w:tc>
          <w:tcPr>
            <w:tcW w:w="6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50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r>
      <w:tr>
        <w:trPr>
          <w:trHeight w:val="260"/>
        </w:trPr>
        <w:tc>
          <w:tcPr>
            <w:tcW w:w="65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500" w:type="dxa"/>
            <w:vAlign w:val="bottom"/>
          </w:tcPr>
          <w:p>
            <w:pPr>
              <w:spacing w:after="0"/>
              <w:rPr>
                <w:sz w:val="22"/>
                <w:szCs w:val="22"/>
                <w:color w:val="auto"/>
              </w:rPr>
            </w:pPr>
          </w:p>
        </w:tc>
        <w:tc>
          <w:tcPr>
            <w:tcW w:w="1860" w:type="dxa"/>
            <w:vAlign w:val="bottom"/>
          </w:tcPr>
          <w:p>
            <w:pPr>
              <w:jc w:val="right"/>
              <w:ind w:right="60"/>
              <w:spacing w:after="0"/>
              <w:rPr>
                <w:sz w:val="20"/>
                <w:szCs w:val="20"/>
                <w:color w:val="auto"/>
              </w:rPr>
            </w:pPr>
            <w:r>
              <w:rPr>
                <w:rFonts w:ascii="Arial" w:cs="Arial" w:eastAsia="Arial" w:hAnsi="Arial"/>
                <w:sz w:val="16"/>
                <w:szCs w:val="16"/>
                <w:b w:val="1"/>
                <w:bCs w:val="1"/>
                <w:color w:val="auto"/>
              </w:rPr>
              <w:t>(26)</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80" w:type="dxa"/>
            <w:vAlign w:val="bottom"/>
          </w:tcPr>
          <w:p>
            <w:pPr>
              <w:jc w:val="right"/>
              <w:ind w:right="40"/>
              <w:spacing w:after="0"/>
              <w:rPr>
                <w:sz w:val="20"/>
                <w:szCs w:val="20"/>
                <w:color w:val="auto"/>
              </w:rPr>
            </w:pPr>
            <w:r>
              <w:rPr>
                <w:rFonts w:ascii="Arial" w:cs="Arial" w:eastAsia="Arial" w:hAnsi="Arial"/>
                <w:sz w:val="16"/>
                <w:szCs w:val="16"/>
                <w:color w:val="auto"/>
              </w:rPr>
              <w:t>(331)</w:t>
            </w:r>
          </w:p>
        </w:tc>
      </w:tr>
      <w:tr>
        <w:trPr>
          <w:trHeight w:val="273"/>
        </w:trPr>
        <w:tc>
          <w:tcPr>
            <w:tcW w:w="6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Credit card</w:t>
            </w:r>
          </w:p>
        </w:tc>
        <w:tc>
          <w:tcPr>
            <w:tcW w:w="5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(323)</w:t>
            </w:r>
          </w:p>
        </w:tc>
        <w:tc>
          <w:tcPr>
            <w:tcW w:w="2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(461)</w:t>
            </w:r>
          </w:p>
        </w:tc>
      </w:tr>
      <w:tr>
        <w:trPr>
          <w:trHeight w:val="250"/>
        </w:trPr>
        <w:tc>
          <w:tcPr>
            <w:tcW w:w="6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charge-offs</w:t>
            </w:r>
          </w:p>
        </w:tc>
        <w:tc>
          <w:tcPr>
            <w:tcW w:w="5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(349)</w:t>
            </w:r>
          </w:p>
        </w:tc>
        <w:tc>
          <w:tcPr>
            <w:tcW w:w="2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(832)</w:t>
            </w:r>
          </w:p>
        </w:tc>
      </w:tr>
      <w:tr>
        <w:trPr>
          <w:trHeight w:val="270"/>
        </w:trPr>
        <w:tc>
          <w:tcPr>
            <w:tcW w:w="65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0"/>
        </w:trPr>
        <w:tc>
          <w:tcPr>
            <w:tcW w:w="6540" w:type="dxa"/>
            <w:vAlign w:val="bottom"/>
          </w:tcPr>
          <w:p>
            <w:pPr>
              <w:ind w:left="40"/>
              <w:spacing w:after="0"/>
              <w:rPr>
                <w:sz w:val="20"/>
                <w:szCs w:val="20"/>
                <w:color w:val="auto"/>
              </w:rPr>
            </w:pPr>
            <w:r>
              <w:rPr>
                <w:rFonts w:ascii="Arial" w:cs="Arial" w:eastAsia="Arial" w:hAnsi="Arial"/>
                <w:sz w:val="16"/>
                <w:szCs w:val="16"/>
                <w:color w:val="auto"/>
              </w:rPr>
              <w:t>Recoveries:</w:t>
            </w:r>
          </w:p>
        </w:tc>
        <w:tc>
          <w:tcPr>
            <w:tcW w:w="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80"/>
        </w:trPr>
        <w:tc>
          <w:tcPr>
            <w:tcW w:w="6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w:t>
            </w:r>
          </w:p>
        </w:tc>
        <w:tc>
          <w:tcPr>
            <w:tcW w:w="5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60"/>
        </w:trPr>
        <w:tc>
          <w:tcPr>
            <w:tcW w:w="6540" w:type="dxa"/>
            <w:vAlign w:val="bottom"/>
          </w:tcPr>
          <w:p>
            <w:pPr>
              <w:ind w:left="340"/>
              <w:spacing w:after="0"/>
              <w:rPr>
                <w:sz w:val="20"/>
                <w:szCs w:val="20"/>
                <w:color w:val="auto"/>
              </w:rPr>
            </w:pPr>
            <w:r>
              <w:rPr>
                <w:rFonts w:ascii="Arial" w:cs="Arial" w:eastAsia="Arial" w:hAnsi="Arial"/>
                <w:sz w:val="16"/>
                <w:szCs w:val="16"/>
                <w:color w:val="auto"/>
              </w:rPr>
              <w:t>Commercial</w:t>
            </w:r>
          </w:p>
        </w:tc>
        <w:tc>
          <w:tcPr>
            <w:tcW w:w="500" w:type="dxa"/>
            <w:vAlign w:val="bottom"/>
          </w:tcPr>
          <w:p>
            <w:pPr>
              <w:spacing w:after="0"/>
              <w:rPr>
                <w:sz w:val="22"/>
                <w:szCs w:val="22"/>
                <w:color w:val="auto"/>
              </w:rPr>
            </w:pPr>
          </w:p>
        </w:tc>
        <w:tc>
          <w:tcPr>
            <w:tcW w:w="2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2"/>
                <w:szCs w:val="22"/>
                <w:color w:val="auto"/>
              </w:rPr>
            </w:pPr>
          </w:p>
        </w:tc>
        <w:tc>
          <w:tcPr>
            <w:tcW w:w="1680" w:type="dxa"/>
            <w:vAlign w:val="bottom"/>
          </w:tcPr>
          <w:p>
            <w:pPr>
              <w:jc w:val="right"/>
              <w:ind w:right="100"/>
              <w:spacing w:after="0"/>
              <w:rPr>
                <w:sz w:val="20"/>
                <w:szCs w:val="20"/>
                <w:color w:val="auto"/>
              </w:rPr>
            </w:pPr>
            <w:r>
              <w:rPr>
                <w:rFonts w:ascii="Arial" w:cs="Arial" w:eastAsia="Arial" w:hAnsi="Arial"/>
                <w:sz w:val="16"/>
                <w:szCs w:val="16"/>
                <w:color w:val="auto"/>
              </w:rPr>
              <w:t>13</w:t>
            </w:r>
          </w:p>
        </w:tc>
      </w:tr>
      <w:tr>
        <w:trPr>
          <w:trHeight w:val="280"/>
        </w:trPr>
        <w:tc>
          <w:tcPr>
            <w:tcW w:w="6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 and Industrial</w:t>
            </w:r>
          </w:p>
        </w:tc>
        <w:tc>
          <w:tcPr>
            <w:tcW w:w="50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r>
      <w:tr>
        <w:trPr>
          <w:trHeight w:val="263"/>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Credit card</w:t>
            </w:r>
          </w:p>
        </w:tc>
        <w:tc>
          <w:tcPr>
            <w:tcW w:w="5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19</w:t>
            </w:r>
          </w:p>
        </w:tc>
        <w:tc>
          <w:tcPr>
            <w:tcW w:w="2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19</w:t>
            </w:r>
          </w:p>
        </w:tc>
      </w:tr>
      <w:tr>
        <w:trPr>
          <w:trHeight w:val="250"/>
        </w:trPr>
        <w:tc>
          <w:tcPr>
            <w:tcW w:w="6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recoveries</w:t>
            </w:r>
          </w:p>
        </w:tc>
        <w:tc>
          <w:tcPr>
            <w:tcW w:w="50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19</w:t>
            </w:r>
          </w:p>
        </w:tc>
        <w:tc>
          <w:tcPr>
            <w:tcW w:w="2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r>
      <w:tr>
        <w:trPr>
          <w:trHeight w:val="247"/>
        </w:trPr>
        <w:tc>
          <w:tcPr>
            <w:tcW w:w="6540" w:type="dxa"/>
            <w:vAlign w:val="bottom"/>
          </w:tcPr>
          <w:p>
            <w:pPr>
              <w:ind w:left="500"/>
              <w:spacing w:after="0"/>
              <w:rPr>
                <w:sz w:val="20"/>
                <w:szCs w:val="20"/>
                <w:color w:val="auto"/>
              </w:rPr>
            </w:pPr>
            <w:r>
              <w:rPr>
                <w:rFonts w:ascii="Arial" w:cs="Arial" w:eastAsia="Arial" w:hAnsi="Arial"/>
                <w:sz w:val="16"/>
                <w:szCs w:val="16"/>
                <w:color w:val="auto"/>
              </w:rPr>
              <w:t>Net charge-offs</w:t>
            </w:r>
          </w:p>
        </w:tc>
        <w:tc>
          <w:tcPr>
            <w:tcW w:w="500" w:type="dxa"/>
            <w:vAlign w:val="bottom"/>
          </w:tcPr>
          <w:p>
            <w:pPr>
              <w:spacing w:after="0"/>
              <w:rPr>
                <w:sz w:val="21"/>
                <w:szCs w:val="21"/>
                <w:color w:val="auto"/>
              </w:rPr>
            </w:pPr>
          </w:p>
        </w:tc>
        <w:tc>
          <w:tcPr>
            <w:tcW w:w="1860" w:type="dxa"/>
            <w:vAlign w:val="bottom"/>
          </w:tcPr>
          <w:p>
            <w:pPr>
              <w:jc w:val="right"/>
              <w:ind w:right="60"/>
              <w:spacing w:after="0"/>
              <w:rPr>
                <w:sz w:val="20"/>
                <w:szCs w:val="20"/>
                <w:color w:val="auto"/>
              </w:rPr>
            </w:pPr>
            <w:r>
              <w:rPr>
                <w:rFonts w:ascii="Arial" w:cs="Arial" w:eastAsia="Arial" w:hAnsi="Arial"/>
                <w:sz w:val="16"/>
                <w:szCs w:val="16"/>
                <w:b w:val="1"/>
                <w:bCs w:val="1"/>
                <w:color w:val="auto"/>
              </w:rPr>
              <w:t>(330)</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tcPr>
          <w:p>
            <w:pPr>
              <w:jc w:val="right"/>
              <w:ind w:right="40"/>
              <w:spacing w:after="0"/>
              <w:rPr>
                <w:sz w:val="20"/>
                <w:szCs w:val="20"/>
                <w:color w:val="auto"/>
              </w:rPr>
            </w:pPr>
            <w:r>
              <w:rPr>
                <w:rFonts w:ascii="Arial" w:cs="Arial" w:eastAsia="Arial" w:hAnsi="Arial"/>
                <w:sz w:val="16"/>
                <w:szCs w:val="16"/>
                <w:color w:val="auto"/>
              </w:rPr>
              <w:t>(798)</w:t>
            </w:r>
          </w:p>
        </w:tc>
      </w:tr>
      <w:tr>
        <w:trPr>
          <w:trHeight w:val="273"/>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loan losses</w:t>
            </w:r>
          </w:p>
        </w:tc>
        <w:tc>
          <w:tcPr>
            <w:tcW w:w="5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5,709</w:t>
            </w:r>
          </w:p>
        </w:tc>
        <w:tc>
          <w:tcPr>
            <w:tcW w:w="2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2,791</w:t>
            </w:r>
          </w:p>
        </w:tc>
      </w:tr>
      <w:tr>
        <w:trPr>
          <w:trHeight w:val="280"/>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Allowance for loan losses at period end</w:t>
            </w: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18,680</w:t>
            </w:r>
          </w:p>
        </w:tc>
        <w:tc>
          <w:tcPr>
            <w:tcW w:w="2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13,301</w:t>
            </w:r>
          </w:p>
        </w:tc>
      </w:tr>
      <w:tr>
        <w:trPr>
          <w:trHeight w:val="254"/>
        </w:trPr>
        <w:tc>
          <w:tcPr>
            <w:tcW w:w="65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60"/>
        </w:trPr>
        <w:tc>
          <w:tcPr>
            <w:tcW w:w="6540" w:type="dxa"/>
            <w:vAlign w:val="bottom"/>
          </w:tcPr>
          <w:p>
            <w:pPr>
              <w:ind w:left="40"/>
              <w:spacing w:after="0"/>
              <w:rPr>
                <w:sz w:val="20"/>
                <w:szCs w:val="20"/>
                <w:color w:val="auto"/>
              </w:rPr>
            </w:pPr>
            <w:r>
              <w:rPr>
                <w:rFonts w:ascii="Arial" w:cs="Arial" w:eastAsia="Arial" w:hAnsi="Arial"/>
                <w:sz w:val="16"/>
                <w:szCs w:val="16"/>
                <w:color w:val="auto"/>
              </w:rPr>
              <w:t>Portfolio loans outstanding, net of unearned income</w:t>
            </w:r>
          </w:p>
        </w:tc>
        <w:tc>
          <w:tcPr>
            <w:tcW w:w="500" w:type="dxa"/>
            <w:vAlign w:val="bottom"/>
          </w:tcPr>
          <w:p>
            <w:pPr>
              <w:jc w:val="right"/>
              <w:ind w:right="301"/>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right"/>
              <w:ind w:right="120"/>
              <w:spacing w:after="0"/>
              <w:rPr>
                <w:sz w:val="20"/>
                <w:szCs w:val="20"/>
                <w:color w:val="auto"/>
              </w:rPr>
            </w:pPr>
            <w:r>
              <w:rPr>
                <w:rFonts w:ascii="Arial" w:cs="Arial" w:eastAsia="Arial" w:hAnsi="Arial"/>
                <w:sz w:val="16"/>
                <w:szCs w:val="16"/>
                <w:b w:val="1"/>
                <w:bCs w:val="1"/>
                <w:color w:val="auto"/>
              </w:rPr>
              <w:t>1,211,477</w:t>
            </w:r>
          </w:p>
        </w:tc>
        <w:tc>
          <w:tcPr>
            <w:tcW w:w="200" w:type="dxa"/>
            <w:vAlign w:val="bottom"/>
          </w:tcPr>
          <w:p>
            <w:pPr>
              <w:spacing w:after="0"/>
              <w:rPr>
                <w:sz w:val="22"/>
                <w:szCs w:val="22"/>
                <w:color w:val="auto"/>
              </w:rPr>
            </w:pPr>
          </w:p>
        </w:tc>
        <w:tc>
          <w:tcPr>
            <w:tcW w:w="460" w:type="dxa"/>
            <w:vAlign w:val="bottom"/>
          </w:tcPr>
          <w:p>
            <w:pPr>
              <w:ind w:left="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00"/>
              <w:spacing w:after="0"/>
              <w:rPr>
                <w:sz w:val="20"/>
                <w:szCs w:val="20"/>
                <w:color w:val="auto"/>
              </w:rPr>
            </w:pPr>
            <w:r>
              <w:rPr>
                <w:rFonts w:ascii="Arial" w:cs="Arial" w:eastAsia="Arial" w:hAnsi="Arial"/>
                <w:sz w:val="16"/>
                <w:szCs w:val="16"/>
                <w:color w:val="auto"/>
              </w:rPr>
              <w:t>1,171,121</w:t>
            </w:r>
          </w:p>
        </w:tc>
      </w:tr>
      <w:tr>
        <w:trPr>
          <w:trHeight w:val="280"/>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portfolio loans outstanding, net of unearned income</w:t>
            </w: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1,187,170</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1,064,421</w:t>
            </w:r>
          </w:p>
        </w:tc>
      </w:tr>
      <w:tr>
        <w:trPr>
          <w:trHeight w:val="270"/>
        </w:trPr>
        <w:tc>
          <w:tcPr>
            <w:tcW w:w="6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Allowance for loan losses to period end portfolio loans</w:t>
            </w:r>
          </w:p>
        </w:tc>
        <w:tc>
          <w:tcPr>
            <w:tcW w:w="50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50"/>
        </w:trPr>
        <w:tc>
          <w:tcPr>
            <w:tcW w:w="6540" w:type="dxa"/>
            <w:vAlign w:val="bottom"/>
          </w:tcPr>
          <w:p>
            <w:pPr>
              <w:ind w:left="40"/>
              <w:spacing w:after="0"/>
              <w:rPr>
                <w:sz w:val="20"/>
                <w:szCs w:val="20"/>
                <w:color w:val="auto"/>
              </w:rPr>
            </w:pPr>
            <w:r>
              <w:rPr>
                <w:rFonts w:ascii="Arial" w:cs="Arial" w:eastAsia="Arial" w:hAnsi="Arial"/>
                <w:sz w:val="16"/>
                <w:szCs w:val="16"/>
                <w:color w:val="auto"/>
              </w:rPr>
              <w:t>Annualized net charge-offs to average portfolio loans</w:t>
            </w:r>
          </w:p>
        </w:tc>
        <w:tc>
          <w:tcPr>
            <w:tcW w:w="5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0.06%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0.10%</w:t>
            </w:r>
          </w:p>
        </w:tc>
      </w:tr>
    </w:tbl>
    <w:p>
      <w:pPr>
        <w:spacing w:after="0" w:line="2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allowance for loan losses at June 30, 2020 and December 31, 2019 was $18.7 million, or 1.54% of portfolio loans, and $13.3 million, or 1.14% of portfolio loans, respectively. The increase in the allowance</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355" w:right="339" w:bottom="1440" w:gutter="0" w:footer="0" w:header="0"/>
        </w:sectPr>
      </w:pPr>
    </w:p>
    <w:bookmarkStart w:id="57" w:name="page58"/>
    <w:bookmarkEnd w:id="57"/>
    <w:p>
      <w:pPr>
        <w:jc w:val="both"/>
        <w:spacing w:after="0" w:line="251" w:lineRule="auto"/>
        <w:rPr>
          <w:sz w:val="20"/>
          <w:szCs w:val="20"/>
          <w:color w:val="auto"/>
        </w:rPr>
      </w:pPr>
      <w:r>
        <w:rPr>
          <w:rFonts w:ascii="Arial" w:cs="Arial" w:eastAsia="Arial" w:hAnsi="Arial"/>
          <w:sz w:val="18"/>
          <w:szCs w:val="18"/>
          <w:color w:val="auto"/>
        </w:rPr>
        <w:t>was the result of a $5.7 million provision for loan losses during the six months ended June 30, 2020 due to the uncertain economic impact of COVID-19. The allowance for loan losses for SBA-PPP loans were separately evaluated given the explicit government guarantee. This analysis, which incorporated historical experience with similar SBA guarantees and underwriting, concluded the likelihood of loss was remote and therefore these loans were assigned a zero expected credit loss in the allowance for loan losses. The allowance for loan losses at June 30, 2020 included specific reserves of $ 88 thousand set aside for impaired loans. Charge-offs for the six months ended June 30, 2020 were $349 thousand and were partially offset by recoveries of $ 19 thousand. The allowance for loan losses at December 31, 2019 included specific reserves of $119 thousand set aside for impaired loans. Our charge-offs for the year ended December 31, 2019 were $832 thousand and were partially offset by recoveries of $34 thousand. The charge-offs for the first six months ended June 30, 2020 and for the year ended December 31, 2019 were primarily due to credit card charge-offs.</w:t>
      </w:r>
    </w:p>
    <w:p>
      <w:pPr>
        <w:spacing w:after="0" w:line="2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Although we believe that we have established our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shows the allocation of the allowance for loan losses among loan categories and certain other information as of the dates indicated. The total allowance is available to absorb losses from any loan category.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69"/>
        </w:trPr>
        <w:tc>
          <w:tcPr>
            <w:tcW w:w="58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7"/>
                <w:szCs w:val="17"/>
                <w:b w:val="1"/>
                <w:bCs w:val="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42"/>
        </w:trPr>
        <w:tc>
          <w:tcPr>
            <w:tcW w:w="58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8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6,244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4,135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60"/>
        </w:trPr>
        <w:tc>
          <w:tcPr>
            <w:tcW w:w="5860" w:type="dxa"/>
            <w:vAlign w:val="bottom"/>
          </w:tcPr>
          <w:p>
            <w:pPr>
              <w:ind w:left="20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5,233</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80"/>
        </w:trPr>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Construction</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3,952</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2,668</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60"/>
        </w:trPr>
        <w:tc>
          <w:tcPr>
            <w:tcW w:w="5860" w:type="dxa"/>
            <w:vAlign w:val="bottom"/>
          </w:tcPr>
          <w:p>
            <w:pPr>
              <w:ind w:left="40"/>
              <w:spacing w:after="0"/>
              <w:rPr>
                <w:sz w:val="20"/>
                <w:szCs w:val="20"/>
                <w:color w:val="auto"/>
              </w:rPr>
            </w:pPr>
            <w:r>
              <w:rPr>
                <w:rFonts w:ascii="Arial" w:cs="Arial" w:eastAsia="Arial" w:hAnsi="Arial"/>
                <w:sz w:val="16"/>
                <w:szCs w:val="16"/>
                <w:color w:val="auto"/>
              </w:rPr>
              <w:t>Commercial and Industrial</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1,743</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0"/>
        </w:trPr>
        <w:tc>
          <w:tcPr>
            <w:tcW w:w="5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card</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1,497</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3"/>
        </w:trPr>
        <w:tc>
          <w:tcPr>
            <w:tcW w:w="5860" w:type="dxa"/>
            <w:vAlign w:val="bottom"/>
          </w:tcPr>
          <w:p>
            <w:pPr>
              <w:ind w:left="40"/>
              <w:spacing w:after="0"/>
              <w:rPr>
                <w:sz w:val="20"/>
                <w:szCs w:val="20"/>
                <w:color w:val="auto"/>
              </w:rPr>
            </w:pPr>
            <w:r>
              <w:rPr>
                <w:rFonts w:ascii="Arial" w:cs="Arial" w:eastAsia="Arial" w:hAnsi="Arial"/>
                <w:sz w:val="16"/>
                <w:szCs w:val="16"/>
                <w:color w:val="auto"/>
              </w:rPr>
              <w:t>Other consumer</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2"/>
                <w:szCs w:val="22"/>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8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allowance for loan losses</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18,680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40" w:hanging="832"/>
        <w:spacing w:after="0"/>
        <w:tabs>
          <w:tab w:leader="none" w:pos="840" w:val="left"/>
        </w:tabs>
        <w:numPr>
          <w:ilvl w:val="0"/>
          <w:numId w:val="15"/>
        </w:numPr>
        <w:rPr>
          <w:rFonts w:ascii="Arial" w:cs="Arial" w:eastAsia="Arial" w:hAnsi="Arial"/>
          <w:sz w:val="14"/>
          <w:szCs w:val="14"/>
          <w:color w:val="auto"/>
        </w:rPr>
      </w:pPr>
      <w:r>
        <w:rPr>
          <w:rFonts w:ascii="Arial" w:cs="Arial" w:eastAsia="Arial" w:hAnsi="Arial"/>
          <w:sz w:val="11"/>
          <w:szCs w:val="11"/>
          <w:color w:val="auto"/>
        </w:rPr>
        <w:t>Loan category as a percentage of total portfolio loans.</w:t>
      </w:r>
    </w:p>
    <w:p>
      <w:pPr>
        <w:spacing w:after="0" w:line="2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Beginning in the first quarter of 2020, the COVID-19 pandemic impacted the U.S. economy. Management is actively monitoring the loan portfolio for industry concentrations that we believe are most likely to be impacted early by the pandemic. While the Company has negligible exposure to the energy sector, shared national credits or leveraged lending, other affected industries include hospitality, food service and retail business.</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355" w:right="339" w:bottom="1440" w:gutter="0" w:footer="0" w:header="0"/>
        </w:sectPr>
      </w:pPr>
    </w:p>
    <w:bookmarkStart w:id="58" w:name="page59"/>
    <w:bookmarkEnd w:id="58"/>
    <w:p>
      <w:pPr>
        <w:ind w:left="40"/>
        <w:spacing w:after="0"/>
        <w:rPr>
          <w:sz w:val="20"/>
          <w:szCs w:val="20"/>
          <w:color w:val="auto"/>
        </w:rPr>
      </w:pPr>
      <w:r>
        <w:rPr>
          <w:rFonts w:ascii="Arial" w:cs="Arial" w:eastAsia="Arial" w:hAnsi="Arial"/>
          <w:sz w:val="18"/>
          <w:szCs w:val="18"/>
          <w:b w:val="1"/>
          <w:bCs w:val="1"/>
          <w:u w:val="single" w:color="auto"/>
          <w:color w:val="auto"/>
        </w:rPr>
        <w:t>Loan Modifications</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vertAlign w:val="superscript"/>
        </w:rPr>
        <w:t>(1)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ind w:left="40"/>
              <w:spacing w:after="0"/>
              <w:rPr>
                <w:sz w:val="20"/>
                <w:szCs w:val="20"/>
                <w:color w:val="auto"/>
              </w:rPr>
            </w:pPr>
            <w:r>
              <w:rPr>
                <w:rFonts w:ascii="Arial" w:cs="Arial" w:eastAsia="Arial" w:hAnsi="Arial"/>
                <w:sz w:val="11"/>
                <w:szCs w:val="11"/>
                <w:color w:val="auto"/>
              </w:rPr>
              <w:t>(dollars in millions)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1328"/>
              <w:spacing w:after="0"/>
              <w:rPr>
                <w:sz w:val="20"/>
                <w:szCs w:val="20"/>
                <w:color w:val="auto"/>
              </w:rPr>
            </w:pPr>
            <w:r>
              <w:rPr>
                <w:rFonts w:ascii="Arial" w:cs="Arial" w:eastAsia="Arial" w:hAnsi="Arial"/>
                <w:sz w:val="14"/>
                <w:szCs w:val="14"/>
                <w:b w:val="1"/>
                <w:bCs w:val="1"/>
                <w:color w:val="auto"/>
              </w:rPr>
              <w:t>Deferred Loans</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 Loans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SBA-PPP Loans</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Outstanding June</w:t>
            </w: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Balances with SBA</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 Loans</w:t>
            </w:r>
          </w:p>
        </w:tc>
        <w:tc>
          <w:tcPr>
            <w:tcW w:w="120" w:type="dxa"/>
            <w:vAlign w:val="bottom"/>
          </w:tcPr>
          <w:p>
            <w:pPr>
              <w:spacing w:after="0"/>
              <w:rPr>
                <w:sz w:val="14"/>
                <w:szCs w:val="14"/>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Extended to Deferred</w:t>
            </w:r>
          </w:p>
        </w:tc>
        <w:tc>
          <w:tcPr>
            <w:tcW w:w="0" w:type="dxa"/>
            <w:vAlign w:val="bottom"/>
          </w:tcPr>
          <w:p>
            <w:pPr>
              <w:spacing w:after="0"/>
              <w:rPr>
                <w:sz w:val="1"/>
                <w:szCs w:val="1"/>
                <w:color w:val="auto"/>
              </w:rPr>
            </w:pPr>
          </w:p>
        </w:tc>
      </w:tr>
      <w:tr>
        <w:trPr>
          <w:trHeight w:val="202"/>
        </w:trPr>
        <w:tc>
          <w:tcPr>
            <w:tcW w:w="4280" w:type="dxa"/>
            <w:vAlign w:val="bottom"/>
          </w:tcPr>
          <w:p>
            <w:pPr>
              <w:ind w:left="1920"/>
              <w:spacing w:after="0"/>
              <w:rPr>
                <w:sz w:val="20"/>
                <w:szCs w:val="20"/>
                <w:color w:val="auto"/>
              </w:rPr>
            </w:pPr>
            <w:r>
              <w:rPr>
                <w:rFonts w:ascii="Arial" w:cs="Arial" w:eastAsia="Arial" w:hAnsi="Arial"/>
                <w:sz w:val="14"/>
                <w:szCs w:val="14"/>
                <w:b w:val="1"/>
                <w:bCs w:val="1"/>
                <w:color w:val="auto"/>
              </w:rPr>
              <w:t>Sector</w:t>
            </w:r>
          </w:p>
        </w:tc>
        <w:tc>
          <w:tcPr>
            <w:tcW w:w="200" w:type="dxa"/>
            <w:vAlign w:val="bottom"/>
          </w:tcPr>
          <w:p>
            <w:pPr>
              <w:spacing w:after="0"/>
              <w:rPr>
                <w:sz w:val="17"/>
                <w:szCs w:val="17"/>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9"/>
              </w:rPr>
              <w:t xml:space="preserve">30, 2020 </w:t>
            </w:r>
            <w:r>
              <w:rPr>
                <w:rFonts w:ascii="Arial" w:cs="Arial" w:eastAsia="Arial" w:hAnsi="Arial"/>
                <w:sz w:val="17"/>
                <w:szCs w:val="17"/>
                <w:b w:val="1"/>
                <w:bCs w:val="1"/>
                <w:color w:val="auto"/>
                <w:w w:val="99"/>
                <w:vertAlign w:val="superscript"/>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xml:space="preserve">7(a) Guarantees </w:t>
            </w:r>
            <w:r>
              <w:rPr>
                <w:rFonts w:ascii="Arial" w:cs="Arial" w:eastAsia="Arial" w:hAnsi="Arial"/>
                <w:sz w:val="17"/>
                <w:szCs w:val="17"/>
                <w:b w:val="1"/>
                <w:bCs w:val="1"/>
                <w:color w:val="auto"/>
                <w:vertAlign w:val="superscript"/>
              </w:rPr>
              <w:t>(3)</w:t>
            </w:r>
          </w:p>
        </w:tc>
        <w:tc>
          <w:tcPr>
            <w:tcW w:w="16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7"/>
                <w:szCs w:val="17"/>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rPr>
              <w:t>Borrowers</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Accommodation &amp; Food Services</w:t>
            </w: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42.6</w:t>
            </w: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Real Estate and Rental Leasing</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527.9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Services Including Private Households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Educational Services</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Professional, Scientific, and Technical Services</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Arts, Entertainment &amp; Recreation</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Retail Trade</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Healthcare &amp; Social Assistance</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Wholesale Trade</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All other </w:t>
            </w:r>
            <w:r>
              <w:rPr>
                <w:rFonts w:ascii="Arial" w:cs="Arial" w:eastAsia="Arial" w:hAnsi="Arial"/>
                <w:sz w:val="17"/>
                <w:szCs w:val="17"/>
                <w:color w:val="auto"/>
                <w:vertAlign w:val="superscript"/>
              </w:rPr>
              <w:t>(1)</w:t>
            </w: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175.7</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37"/>
        </w:trPr>
        <w:tc>
          <w:tcPr>
            <w:tcW w:w="428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1,441.1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800" w:hanging="792"/>
        <w:spacing w:after="0"/>
        <w:tabs>
          <w:tab w:leader="none" w:pos="800" w:val="left"/>
        </w:tabs>
        <w:numPr>
          <w:ilvl w:val="0"/>
          <w:numId w:val="16"/>
        </w:numPr>
        <w:rPr>
          <w:rFonts w:ascii="Arial" w:cs="Arial" w:eastAsia="Arial" w:hAnsi="Arial"/>
          <w:sz w:val="13"/>
          <w:szCs w:val="13"/>
          <w:color w:val="auto"/>
        </w:rPr>
      </w:pPr>
      <w:r>
        <w:rPr>
          <w:rFonts w:ascii="Arial" w:cs="Arial" w:eastAsia="Arial" w:hAnsi="Arial"/>
          <w:sz w:val="11"/>
          <w:szCs w:val="11"/>
          <w:color w:val="auto"/>
        </w:rPr>
        <w:t>Excludes modifications and deferrals made for our OpenSky secured card customers.</w:t>
      </w:r>
    </w:p>
    <w:p>
      <w:pPr>
        <w:spacing w:after="0" w:line="86" w:lineRule="exact"/>
        <w:rPr>
          <w:rFonts w:ascii="Arial" w:cs="Arial" w:eastAsia="Arial" w:hAnsi="Arial"/>
          <w:sz w:val="13"/>
          <w:szCs w:val="13"/>
          <w:color w:val="auto"/>
        </w:rPr>
      </w:pPr>
    </w:p>
    <w:p>
      <w:pPr>
        <w:ind w:left="780" w:hanging="772"/>
        <w:spacing w:after="0"/>
        <w:tabs>
          <w:tab w:leader="none" w:pos="7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Total loans outstanding includes SBA-PPP loans and portfolio loans.</w:t>
      </w:r>
    </w:p>
    <w:p>
      <w:pPr>
        <w:spacing w:after="0" w:line="89" w:lineRule="exact"/>
        <w:rPr>
          <w:rFonts w:ascii="Arial" w:cs="Arial" w:eastAsia="Arial" w:hAnsi="Arial"/>
          <w:sz w:val="11"/>
          <w:szCs w:val="11"/>
          <w:color w:val="auto"/>
        </w:rPr>
      </w:pPr>
    </w:p>
    <w:p>
      <w:pPr>
        <w:ind w:left="780" w:hanging="772"/>
        <w:spacing w:after="0"/>
        <w:tabs>
          <w:tab w:leader="none" w:pos="7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Under the CARES Act, existing loans guaranteed by the SBA qualify for the payments to be made by the SBA for a period of six months.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duration and severity of the pandemic will likely result in future credit challenges in these and other business sectors.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 bearing demand, savings, money market and time accounts all of which we actively market at competitive pricing. We generate deposits from our customers on a relationship basis and through the efforts of our commercial lending officers and our business banking officers. Our credit card customers are a significant source of noninterest bearing deposits and accounted for $131.9 million, or 23%, of our total noninterest bearing deposit balances as of June 30, 2020, an increase of $58.2 million from the first six months of 2019. At June 30, 2020, noninterest bearing deposits amounted to $564 million, an increase of $272.2 million, or 93.3%, compared to the level at December 31, 2019 due in large part to an increase of $78.2 million in fiduciary accounts and the above noted increase in deposits generated by our OpenSky secured credit card program. Opportunistically, we supplement our deposits with wholesale funding sources such as brokered deposits.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Interest bearing deposits increased $111.1 million, or 11.9%, from December 31, 2019 to June 30, 2020 and included increases in interest bearing demand and money market accounts, offset by a reduction in certificates of deposits. The Company continues to execute on its strategic initiative to improve the deposit portfolio mix from wholesale deposits to core deposits including noninterest bearing deposits. During the period, certificates of deposit decreased $62.7 million, or 19.2%, with brokered deposits representing a majority of that decrease. Interest bearing demand and money market accounts increased $94.0 million, or 54.0% and $78.4 million, or 18.3% from December 31, 2019 to June 30, 2020, respectively.</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average rate paid on interest bearing deposits decreased 37 basis points from 1.80% for the year ended December 31, 2019 to 1.43% for the six months ended June 30, 2020. Rates paid on certificates of deposit decreased 19 basis points over the same period. The decrease in the average rates reflects decreases in market interest rates which began in the third quarter of 2019.</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508" w:right="3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AVERAGE DEPOSITS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Six Months Ended June 30, 2020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color w:val="auto"/>
              </w:rPr>
              <w:t>For the Year Ended December 31, 2019</w:t>
            </w:r>
          </w:p>
        </w:tc>
      </w:tr>
      <w:tr>
        <w:trPr>
          <w:trHeight w:val="175"/>
        </w:trPr>
        <w:tc>
          <w:tcPr>
            <w:tcW w:w="5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Arial" w:cs="Arial" w:eastAsia="Arial" w:hAnsi="Arial"/>
                <w:sz w:val="14"/>
                <w:szCs w:val="14"/>
                <w:b w:val="1"/>
                <w:bCs w:val="1"/>
                <w:color w:val="auto"/>
              </w:rPr>
              <w:t>Average</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5"/>
                <w:szCs w:val="15"/>
                <w:color w:val="auto"/>
              </w:rPr>
            </w:pPr>
          </w:p>
        </w:tc>
        <w:tc>
          <w:tcPr>
            <w:tcW w:w="1200" w:type="dxa"/>
            <w:vAlign w:val="bottom"/>
          </w:tcPr>
          <w:p>
            <w:pPr>
              <w:jc w:val="right"/>
              <w:ind w:right="342"/>
              <w:spacing w:after="0"/>
              <w:rPr>
                <w:sz w:val="20"/>
                <w:szCs w:val="20"/>
                <w:color w:val="auto"/>
              </w:rPr>
            </w:pPr>
            <w:r>
              <w:rPr>
                <w:rFonts w:ascii="Arial" w:cs="Arial" w:eastAsia="Arial" w:hAnsi="Arial"/>
                <w:sz w:val="14"/>
                <w:szCs w:val="14"/>
                <w:color w:val="auto"/>
              </w:rPr>
              <w:t>Average</w:t>
            </w:r>
          </w:p>
        </w:tc>
        <w:tc>
          <w:tcPr>
            <w:tcW w:w="1520" w:type="dxa"/>
            <w:vAlign w:val="bottom"/>
          </w:tcPr>
          <w:p>
            <w:pPr>
              <w:jc w:val="right"/>
              <w:ind w:right="381"/>
              <w:spacing w:after="0"/>
              <w:rPr>
                <w:sz w:val="20"/>
                <w:szCs w:val="20"/>
                <w:color w:val="auto"/>
              </w:rPr>
            </w:pPr>
            <w:r>
              <w:rPr>
                <w:rFonts w:ascii="Arial" w:cs="Arial" w:eastAsia="Arial" w:hAnsi="Arial"/>
                <w:sz w:val="14"/>
                <w:szCs w:val="14"/>
                <w:color w:val="auto"/>
              </w:rPr>
              <w:t>Average</w:t>
            </w:r>
          </w:p>
        </w:tc>
      </w:tr>
      <w:tr>
        <w:trPr>
          <w:trHeight w:val="196"/>
        </w:trPr>
        <w:tc>
          <w:tcPr>
            <w:tcW w:w="5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Balance</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Balance</w:t>
            </w:r>
          </w:p>
        </w:tc>
        <w:tc>
          <w:tcPr>
            <w:tcW w:w="15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Rate</w:t>
            </w:r>
          </w:p>
        </w:tc>
      </w:tr>
      <w:tr>
        <w:trPr>
          <w:trHeight w:val="248"/>
        </w:trPr>
        <w:tc>
          <w:tcPr>
            <w:tcW w:w="54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2"/>
        </w:trPr>
        <w:tc>
          <w:tcPr>
            <w:tcW w:w="5400" w:type="dxa"/>
            <w:vAlign w:val="bottom"/>
          </w:tcPr>
          <w:p>
            <w:pPr>
              <w:ind w:left="40"/>
              <w:spacing w:after="0"/>
              <w:rPr>
                <w:sz w:val="20"/>
                <w:szCs w:val="20"/>
                <w:color w:val="auto"/>
              </w:rPr>
            </w:pPr>
            <w:r>
              <w:rPr>
                <w:rFonts w:ascii="Arial" w:cs="Arial" w:eastAsia="Arial" w:hAnsi="Arial"/>
                <w:sz w:val="16"/>
                <w:szCs w:val="16"/>
                <w:color w:val="auto"/>
              </w:rPr>
              <w:t>Interest bearing demand accounts</w:t>
            </w:r>
          </w:p>
        </w:tc>
        <w:tc>
          <w:tcPr>
            <w:tcW w:w="26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162,985</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0.49%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109,977</w:t>
            </w:r>
          </w:p>
        </w:tc>
        <w:tc>
          <w:tcPr>
            <w:tcW w:w="1520" w:type="dxa"/>
            <w:vAlign w:val="bottom"/>
          </w:tcPr>
          <w:p>
            <w:pPr>
              <w:jc w:val="right"/>
              <w:spacing w:after="0"/>
              <w:rPr>
                <w:sz w:val="20"/>
                <w:szCs w:val="20"/>
                <w:color w:val="auto"/>
              </w:rPr>
            </w:pPr>
            <w:r>
              <w:rPr>
                <w:rFonts w:ascii="Arial" w:cs="Arial" w:eastAsia="Arial" w:hAnsi="Arial"/>
                <w:sz w:val="16"/>
                <w:szCs w:val="16"/>
                <w:color w:val="auto"/>
              </w:rPr>
              <w:t>0.61%</w:t>
            </w:r>
          </w:p>
        </w:tc>
      </w:tr>
      <w:tr>
        <w:trPr>
          <w:trHeight w:val="280"/>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Money market accounts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459,865</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344,272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60"/>
        </w:trPr>
        <w:tc>
          <w:tcPr>
            <w:tcW w:w="5400" w:type="dxa"/>
            <w:vAlign w:val="bottom"/>
          </w:tcPr>
          <w:p>
            <w:pPr>
              <w:ind w:left="40"/>
              <w:spacing w:after="0"/>
              <w:rPr>
                <w:sz w:val="20"/>
                <w:szCs w:val="20"/>
                <w:color w:val="auto"/>
              </w:rPr>
            </w:pPr>
            <w:r>
              <w:rPr>
                <w:rFonts w:ascii="Arial" w:cs="Arial" w:eastAsia="Arial" w:hAnsi="Arial"/>
                <w:sz w:val="16"/>
                <w:szCs w:val="16"/>
                <w:color w:val="auto"/>
              </w:rPr>
              <w:t>Savings accounts</w:t>
            </w:r>
          </w:p>
        </w:tc>
        <w:tc>
          <w:tcPr>
            <w:tcW w:w="2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4,463</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3,597</w:t>
            </w:r>
          </w:p>
        </w:tc>
        <w:tc>
          <w:tcPr>
            <w:tcW w:w="1520" w:type="dxa"/>
            <w:vAlign w:val="bottom"/>
          </w:tcPr>
          <w:p>
            <w:pPr>
              <w:jc w:val="right"/>
              <w:spacing w:after="0"/>
              <w:rPr>
                <w:sz w:val="20"/>
                <w:szCs w:val="20"/>
                <w:color w:val="auto"/>
              </w:rPr>
            </w:pPr>
            <w:r>
              <w:rPr>
                <w:rFonts w:ascii="Arial" w:cs="Arial" w:eastAsia="Arial" w:hAnsi="Arial"/>
                <w:sz w:val="16"/>
                <w:szCs w:val="16"/>
                <w:color w:val="auto"/>
              </w:rPr>
              <w:t>0.36%</w:t>
            </w:r>
          </w:p>
        </w:tc>
      </w:tr>
      <w:tr>
        <w:trPr>
          <w:trHeight w:val="273"/>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293,374</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302,149</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50"/>
        </w:trPr>
        <w:tc>
          <w:tcPr>
            <w:tcW w:w="5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interest bearing deposits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920,687</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1.43%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759,995</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1.80%</w:t>
            </w:r>
          </w:p>
        </w:tc>
      </w:tr>
      <w:tr>
        <w:trPr>
          <w:trHeight w:val="250"/>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bearing demand accounts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379,881</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260,726</w:t>
            </w:r>
          </w:p>
        </w:tc>
        <w:tc>
          <w:tcPr>
            <w:tcW w:w="1520" w:type="dxa"/>
            <w:vAlign w:val="bottom"/>
            <w:shd w:val="clear" w:color="auto" w:fill="CCEEFF"/>
          </w:tcPr>
          <w:p>
            <w:pPr>
              <w:spacing w:after="0"/>
              <w:rPr>
                <w:sz w:val="21"/>
                <w:szCs w:val="21"/>
                <w:color w:val="auto"/>
              </w:rPr>
            </w:pPr>
          </w:p>
        </w:tc>
      </w:tr>
      <w:tr>
        <w:trPr>
          <w:trHeight w:val="240"/>
        </w:trPr>
        <w:tc>
          <w:tcPr>
            <w:tcW w:w="5400" w:type="dxa"/>
            <w:vAlign w:val="bottom"/>
          </w:tcPr>
          <w:p>
            <w:pPr>
              <w:ind w:left="200"/>
              <w:spacing w:after="0"/>
              <w:rPr>
                <w:sz w:val="20"/>
                <w:szCs w:val="20"/>
                <w:color w:val="auto"/>
              </w:rPr>
            </w:pPr>
            <w:r>
              <w:rPr>
                <w:rFonts w:ascii="Arial" w:cs="Arial" w:eastAsia="Arial" w:hAnsi="Arial"/>
                <w:sz w:val="16"/>
                <w:szCs w:val="16"/>
                <w:color w:val="auto"/>
              </w:rPr>
              <w:t>Total deposits</w:t>
            </w: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1,300,568</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1,020,721</w:t>
            </w:r>
          </w:p>
        </w:tc>
        <w:tc>
          <w:tcPr>
            <w:tcW w:w="152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maturities of our certificates of deposit as of June 30,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 Six</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2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Months or</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Six</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Twelve</w:t>
            </w:r>
          </w:p>
        </w:tc>
        <w:tc>
          <w:tcPr>
            <w:tcW w:w="2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Twelve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Less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Total</w:t>
            </w:r>
          </w:p>
        </w:tc>
      </w:tr>
      <w:tr>
        <w:trPr>
          <w:trHeight w:val="248"/>
        </w:trPr>
        <w:tc>
          <w:tcPr>
            <w:tcW w:w="40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$100,000 or more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26,575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38,978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92,931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79,683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238,167</w:t>
            </w:r>
          </w:p>
        </w:tc>
      </w:tr>
      <w:tr>
        <w:trPr>
          <w:trHeight w:val="264"/>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than $100,000</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2,775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5,894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10,761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6,465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25,895</w:t>
            </w:r>
          </w:p>
        </w:tc>
      </w:tr>
      <w:tr>
        <w:trPr>
          <w:trHeight w:val="24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29,350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44,872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103,692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86,148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264,062</w:t>
            </w:r>
          </w:p>
        </w:tc>
      </w:tr>
      <w:tr>
        <w:trPr>
          <w:trHeight w:val="20"/>
        </w:trPr>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4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primarily utilize short-term and long-term borrowings to supplement deposits to fund our lending and investment activities, each of which is discussed below.</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loans. As of June 30, 2020, approximately $226.4 million in real estate loans and $53.0 million in investment securities were pledged as collateral to the FHLB supporting a $368.7 million line of credit. We utilize these borrowings to meet liquidity needs and to fund certain fixed rate loans in our portfolio. As of June 30, 2020, we had $25.6 million in outstanding advances and $ 12.5 million of collateral pledged against letters of credit. Our available borrowing capacity at the FHLB was $253.8 million at June 30, 2020. The $ 6.7 million decrease compared to $32.2 million of outstanding advances at December 31, 2019 resulted from principal paydowns on our long term FHLB advance.</w:t>
      </w: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355"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color w:val="auto"/>
        </w:rPr>
        <w:t>The following table sets forth certain information on our FHLB borrowings during the periods presented: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FHLB ADVANCES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tcPr>
          <w:p>
            <w:pPr>
              <w:jc w:val="right"/>
              <w:ind w:right="142"/>
              <w:spacing w:after="0"/>
              <w:rPr>
                <w:sz w:val="20"/>
                <w:szCs w:val="20"/>
                <w:color w:val="auto"/>
              </w:rPr>
            </w:pPr>
            <w:r>
              <w:rPr>
                <w:rFonts w:ascii="Arial" w:cs="Arial" w:eastAsia="Arial" w:hAnsi="Arial"/>
                <w:sz w:val="14"/>
                <w:szCs w:val="14"/>
                <w:b w:val="1"/>
                <w:bCs w:val="1"/>
                <w:color w:val="auto"/>
              </w:rPr>
              <w:t>For the Six Months Ended June 30,</w:t>
            </w:r>
          </w:p>
        </w:tc>
        <w:tc>
          <w:tcPr>
            <w:tcW w:w="256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5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ind w:right="1182"/>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1001"/>
              <w:spacing w:after="0"/>
              <w:rPr>
                <w:sz w:val="20"/>
                <w:szCs w:val="20"/>
                <w:color w:val="auto"/>
              </w:rPr>
            </w:pPr>
            <w:r>
              <w:rPr>
                <w:rFonts w:ascii="Arial" w:cs="Arial" w:eastAsia="Arial" w:hAnsi="Arial"/>
                <w:sz w:val="14"/>
                <w:szCs w:val="14"/>
                <w:b w:val="1"/>
                <w:bCs w:val="1"/>
                <w:color w:val="auto"/>
              </w:rPr>
              <w:t>2019</w:t>
            </w:r>
          </w:p>
        </w:tc>
      </w:tr>
      <w:tr>
        <w:trPr>
          <w:trHeight w:val="248"/>
        </w:trPr>
        <w:tc>
          <w:tcPr>
            <w:tcW w:w="58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2"/>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70"/>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 outstanding at period-end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4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25,556</w:t>
            </w:r>
          </w:p>
        </w:tc>
        <w:tc>
          <w:tcPr>
            <w:tcW w:w="6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32,222</w:t>
            </w:r>
          </w:p>
        </w:tc>
      </w:tr>
      <w:tr>
        <w:trPr>
          <w:trHeight w:val="260"/>
        </w:trPr>
        <w:tc>
          <w:tcPr>
            <w:tcW w:w="5840" w:type="dxa"/>
            <w:vAlign w:val="bottom"/>
          </w:tcPr>
          <w:p>
            <w:pPr>
              <w:ind w:left="40"/>
              <w:spacing w:after="0"/>
              <w:rPr>
                <w:sz w:val="20"/>
                <w:szCs w:val="20"/>
                <w:color w:val="auto"/>
              </w:rPr>
            </w:pPr>
            <w:r>
              <w:rPr>
                <w:rFonts w:ascii="Arial" w:cs="Arial" w:eastAsia="Arial" w:hAnsi="Arial"/>
                <w:sz w:val="16"/>
                <w:szCs w:val="16"/>
                <w:color w:val="auto"/>
              </w:rPr>
              <w:t>Weighted average interest rate at period-end</w:t>
            </w:r>
          </w:p>
        </w:tc>
        <w:tc>
          <w:tcPr>
            <w:tcW w:w="140" w:type="dxa"/>
            <w:vAlign w:val="bottom"/>
          </w:tcPr>
          <w:p>
            <w:pPr>
              <w:spacing w:after="0"/>
              <w:rPr>
                <w:sz w:val="22"/>
                <w:szCs w:val="22"/>
                <w:color w:val="auto"/>
              </w:rPr>
            </w:pPr>
          </w:p>
        </w:tc>
        <w:tc>
          <w:tcPr>
            <w:tcW w:w="2640" w:type="dxa"/>
            <w:vAlign w:val="bottom"/>
          </w:tcPr>
          <w:p>
            <w:pPr>
              <w:jc w:val="right"/>
              <w:ind w:right="2"/>
              <w:spacing w:after="0"/>
              <w:rPr>
                <w:sz w:val="20"/>
                <w:szCs w:val="20"/>
                <w:color w:val="auto"/>
              </w:rPr>
            </w:pPr>
            <w:r>
              <w:rPr>
                <w:rFonts w:ascii="Arial" w:cs="Arial" w:eastAsia="Arial" w:hAnsi="Arial"/>
                <w:sz w:val="16"/>
                <w:szCs w:val="16"/>
                <w:b w:val="1"/>
                <w:bCs w:val="1"/>
                <w:color w:val="auto"/>
              </w:rPr>
              <w:t>2.40%</w:t>
            </w:r>
          </w:p>
        </w:tc>
        <w:tc>
          <w:tcPr>
            <w:tcW w:w="6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80"/>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Maximum month-end balance during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4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31,111</w:t>
            </w:r>
          </w:p>
        </w:tc>
        <w:tc>
          <w:tcPr>
            <w:tcW w:w="66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72,778</w:t>
            </w:r>
          </w:p>
        </w:tc>
      </w:tr>
      <w:tr>
        <w:trPr>
          <w:trHeight w:val="260"/>
        </w:trPr>
        <w:tc>
          <w:tcPr>
            <w:tcW w:w="5840" w:type="dxa"/>
            <w:vAlign w:val="bottom"/>
          </w:tcPr>
          <w:p>
            <w:pPr>
              <w:ind w:left="40"/>
              <w:spacing w:after="0"/>
              <w:rPr>
                <w:sz w:val="20"/>
                <w:szCs w:val="20"/>
                <w:color w:val="auto"/>
              </w:rPr>
            </w:pPr>
            <w:r>
              <w:rPr>
                <w:rFonts w:ascii="Arial" w:cs="Arial" w:eastAsia="Arial" w:hAnsi="Arial"/>
                <w:sz w:val="16"/>
                <w:szCs w:val="16"/>
                <w:color w:val="auto"/>
              </w:rPr>
              <w:t>Average balance outstanding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40" w:type="dxa"/>
            <w:vAlign w:val="bottom"/>
          </w:tcPr>
          <w:p>
            <w:pPr>
              <w:jc w:val="right"/>
              <w:ind w:right="142"/>
              <w:spacing w:after="0"/>
              <w:rPr>
                <w:sz w:val="20"/>
                <w:szCs w:val="20"/>
                <w:color w:val="auto"/>
              </w:rPr>
            </w:pPr>
            <w:r>
              <w:rPr>
                <w:rFonts w:ascii="Arial" w:cs="Arial" w:eastAsia="Arial" w:hAnsi="Arial"/>
                <w:sz w:val="16"/>
                <w:szCs w:val="16"/>
                <w:b w:val="1"/>
                <w:bCs w:val="1"/>
                <w:color w:val="auto"/>
              </w:rPr>
              <w:t>29,032</w:t>
            </w:r>
          </w:p>
        </w:tc>
        <w:tc>
          <w:tcPr>
            <w:tcW w:w="66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81"/>
              <w:spacing w:after="0"/>
              <w:rPr>
                <w:sz w:val="20"/>
                <w:szCs w:val="20"/>
                <w:color w:val="auto"/>
              </w:rPr>
            </w:pPr>
            <w:r>
              <w:rPr>
                <w:rFonts w:ascii="Arial" w:cs="Arial" w:eastAsia="Arial" w:hAnsi="Arial"/>
                <w:sz w:val="16"/>
                <w:szCs w:val="16"/>
                <w:color w:val="auto"/>
              </w:rPr>
              <w:t>43,472</w:t>
            </w:r>
          </w:p>
        </w:tc>
      </w:tr>
      <w:tr>
        <w:trPr>
          <w:trHeight w:val="280"/>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during the period</w:t>
            </w:r>
          </w:p>
        </w:tc>
        <w:tc>
          <w:tcPr>
            <w:tcW w:w="140" w:type="dxa"/>
            <w:vAlign w:val="bottom"/>
            <w:shd w:val="clear" w:color="auto" w:fill="CCEEFF"/>
          </w:tcPr>
          <w:p>
            <w:pPr>
              <w:spacing w:after="0"/>
              <w:rPr>
                <w:sz w:val="24"/>
                <w:szCs w:val="24"/>
                <w:color w:val="auto"/>
              </w:rPr>
            </w:pPr>
          </w:p>
        </w:tc>
        <w:tc>
          <w:tcPr>
            <w:tcW w:w="26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2.41%</w:t>
            </w:r>
          </w:p>
        </w:tc>
        <w:tc>
          <w:tcPr>
            <w:tcW w:w="66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bl>
    <w:p>
      <w:pPr>
        <w:spacing w:after="0" w:line="19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Other borrowed funds</w:t>
      </w:r>
      <w:r>
        <w:rPr>
          <w:rFonts w:ascii="Arial" w:cs="Arial" w:eastAsia="Arial" w:hAnsi="Arial"/>
          <w:sz w:val="18"/>
          <w:szCs w:val="18"/>
          <w:color w:val="auto"/>
        </w:rPr>
        <w:t>. The Company has also issued junior subordinated debentures and other subordinated notes. At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these other borrowings amounted to $17.4 million.</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June 30, 2020,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November 24, 2015, the Company issued $13.5 million in aggregate principal amount of subordinated notes with a maturity date of December 1, 2025. The notes may be redeemed prior to the maturity date under certain circumstances. The notes bear interest at 6.95% for the first five years, then adjust to the three-month LIBOR plus 5.33%.</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Federal Reserve Bank of Richmond</w:t>
      </w:r>
      <w:r>
        <w:rPr>
          <w:rFonts w:ascii="Arial" w:cs="Arial" w:eastAsia="Arial" w:hAnsi="Arial"/>
          <w:sz w:val="18"/>
          <w:szCs w:val="18"/>
          <w:color w:val="auto"/>
        </w:rPr>
        <w:t>. The Federal Reserve Bank of Richmond has an available borrower in custody arrangement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allows us to borrow on a collateralized basis. The Company’s borrowing capacity under the Federal Reserve’s discount window program was $15.5 million as of June 30, 2020. Certain commercial loans are pledged under this arrangement. We maintain this borrowing arrangement to meet liquidity needs pursuant to our contingency funding plan. No advances were outstanding under this facility as of June 30, 2020. The Bank has $1.95 million in borrowings under the Payroll Protection Program Liquidity Facility (“PPPLF”) whereby The Federal Reserve Bank of Richmond accepts SBA-PPP loans pledged as collateral and provides funding to the Bank at 0.35% for the term of the SBA-PPP loans which is generally 24 months.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also has available lines of credit of $76.0 million with other correspondent banks at June 30, 2020, as well as access to certificate of deposit funding through a financial network and wholesale brokers. Our funding policy limits use of this funding source to 30% of the Bank’s deposits. These lines were not utilized at June 30, 2020.</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5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Liquidity</w:t>
      </w:r>
    </w:p>
    <w:p>
      <w:pPr>
        <w:spacing w:after="0" w:line="24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 legal and reputational risks also could affect the Bank’s liquidity risk profile and are considered in the assessment of liquidity and asset/liability management.</w:t>
      </w:r>
    </w:p>
    <w:p>
      <w:pPr>
        <w:spacing w:after="0" w:line="21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Management has established a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free of legal, regulatory or operational impediments, that can be used to meet liquidity needs in stressful situations; contingency funding plans that address potential adverse liquidity events and emergency cash flow requirements; and internal controls and internal audit processes believed to be sufficient to determine the adequacy of the institution’s liquidity risk management process.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June 30, 2020, we had $253.8 million of available borrowing capacity from the FHLB, $15.5 million of available borrowing capacity from the Federal Reserve Bank of Richmond and available lines of credit of $ 76 million with other correspondent banks. In addition, as a participant in the PPPLF, the Bank has funding available at the Federal Reserve Bank of Richmond upon the pledging of the SBA-PPP loans. SBA-PPP loans available for pledging amounted to $234.4 million at June 30, 2020. The funding facility is available to be drawn upon through December 31, 2020 at a rate of 0.35% for the corresponding term of the underlying SBA-PPP loan collateral. Cash and cash equivalents were $199.7 million at June 30, 2020 and $114.8 million at December 31, 2019. We believe our liquidity resources were at sufficient levels to fund loans and meet other cash needs as necessary.</w:t>
      </w: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Capital Resources</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Stockholders’ equity increased $8.8 million at June 30, 2020 compared to December 31, 2019. Net income for the six months ended June 30, 2020 increased retained earnings by $7.7 million. Stock options exercised, shares issued as compensation, and stock-based compensation increased common stock and additional paid-in capital aggregately by $510 thousand. In addition to these increases, the change in net unrealized gains on available for sale securities of $ 1.8 million supplemented stockholders’ equity. As part of the Company’s stock repurchase program, shares repurchased and retired for the six months ended June 30, 2020 totaled 113,634 shares at a weighted average price of $11.39, for a total cost of $1.3 million, including commissions.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uses several indicators of capital strength. The most commonly used measure is the Common Equity Tier 1 (“CET1”) capital ratio (common equity tier 1 capital divided by risk weighted assets), which was 11.10% at June 30, 2020 and 10.93% at December 31, 2019. The Company has above-average levels of capital and has taken steps to navigate COVID-19 related disruptions, including taking higher levels than normal of loan loss provisions and maintaining higher than normal levels of liquidity on the balance sheet.</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shows the return on average assets (computed as net income divided by average total assets), return on average equity (computed as net income divided by average equity) and common equity tier 1 capital ratios for the three and six months ended June 30, 2020 and for the year ended December 31, 2019.</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the Three Months</w:t>
            </w: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 the Six Months</w:t>
            </w:r>
          </w:p>
        </w:tc>
        <w:tc>
          <w:tcPr>
            <w:tcW w:w="2040" w:type="dxa"/>
            <w:vAlign w:val="bottom"/>
          </w:tcPr>
          <w:p>
            <w:pPr>
              <w:spacing w:after="0"/>
              <w:rPr>
                <w:sz w:val="14"/>
                <w:szCs w:val="14"/>
                <w:color w:val="auto"/>
              </w:rPr>
            </w:pPr>
          </w:p>
        </w:tc>
      </w:tr>
      <w:tr>
        <w:trPr>
          <w:trHeight w:val="190"/>
        </w:trPr>
        <w:tc>
          <w:tcPr>
            <w:tcW w:w="5160" w:type="dxa"/>
            <w:vAlign w:val="bottom"/>
          </w:tcPr>
          <w:p>
            <w:pPr>
              <w:spacing w:after="0"/>
              <w:rPr>
                <w:sz w:val="16"/>
                <w:szCs w:val="16"/>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Ended</w:t>
            </w: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2040" w:type="dxa"/>
            <w:vAlign w:val="bottom"/>
          </w:tcPr>
          <w:p>
            <w:pPr>
              <w:jc w:val="right"/>
              <w:ind w:right="308"/>
              <w:spacing w:after="0"/>
              <w:rPr>
                <w:sz w:val="20"/>
                <w:szCs w:val="20"/>
                <w:color w:val="auto"/>
              </w:rPr>
            </w:pPr>
            <w:r>
              <w:rPr>
                <w:rFonts w:ascii="Arial" w:cs="Arial" w:eastAsia="Arial" w:hAnsi="Arial"/>
                <w:sz w:val="14"/>
                <w:szCs w:val="14"/>
                <w:b w:val="1"/>
                <w:bCs w:val="1"/>
                <w:color w:val="auto"/>
              </w:rPr>
              <w:t>For the Year Ended</w:t>
            </w:r>
          </w:p>
        </w:tc>
      </w:tr>
      <w:tr>
        <w:trPr>
          <w:trHeight w:val="276"/>
        </w:trPr>
        <w:tc>
          <w:tcPr>
            <w:tcW w:w="5160" w:type="dxa"/>
            <w:vAlign w:val="bottom"/>
          </w:tcPr>
          <w:p>
            <w:pPr>
              <w:spacing w:after="0"/>
              <w:rPr>
                <w:sz w:val="24"/>
                <w:szCs w:val="2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 2020</w:t>
            </w: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 2020</w:t>
            </w:r>
          </w:p>
        </w:tc>
        <w:tc>
          <w:tcPr>
            <w:tcW w:w="204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Return on Average Assets</w:t>
            </w:r>
            <w:r>
              <w:rPr>
                <w:rFonts w:ascii="Arial" w:cs="Arial" w:eastAsia="Arial" w:hAnsi="Arial"/>
                <w:sz w:val="17"/>
                <w:szCs w:val="17"/>
                <w:color w:val="auto"/>
                <w:vertAlign w:val="superscript"/>
              </w:rPr>
              <w:t>(1)</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w:t>
            </w:r>
          </w:p>
        </w:tc>
        <w:tc>
          <w:tcPr>
            <w:tcW w:w="12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w:t>
            </w:r>
          </w:p>
        </w:tc>
        <w:tc>
          <w:tcPr>
            <w:tcW w:w="220" w:type="dxa"/>
            <w:vAlign w:val="bottom"/>
            <w:tcBorders>
              <w:top w:val="single" w:sz="8" w:color="CCEEFF"/>
            </w:tcBorders>
            <w:shd w:val="clear" w:color="auto" w:fill="CCEEFF"/>
          </w:tcPr>
          <w:p>
            <w:pPr>
              <w:spacing w:after="0"/>
              <w:rPr>
                <w:sz w:val="22"/>
                <w:szCs w:val="22"/>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70"/>
        </w:trPr>
        <w:tc>
          <w:tcPr>
            <w:tcW w:w="5160" w:type="dxa"/>
            <w:vAlign w:val="bottom"/>
          </w:tcPr>
          <w:p>
            <w:pPr>
              <w:ind w:left="40"/>
              <w:spacing w:after="0"/>
              <w:rPr>
                <w:sz w:val="20"/>
                <w:szCs w:val="20"/>
                <w:color w:val="auto"/>
              </w:rPr>
            </w:pPr>
            <w:r>
              <w:rPr>
                <w:rFonts w:ascii="Arial" w:cs="Arial" w:eastAsia="Arial" w:hAnsi="Arial"/>
                <w:sz w:val="14"/>
                <w:szCs w:val="14"/>
                <w:color w:val="auto"/>
              </w:rPr>
              <w:t>Return on Average Equity</w:t>
            </w:r>
            <w:r>
              <w:rPr>
                <w:rFonts w:ascii="Arial" w:cs="Arial" w:eastAsia="Arial" w:hAnsi="Arial"/>
                <w:sz w:val="17"/>
                <w:szCs w:val="17"/>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13.71%</w:t>
            </w:r>
          </w:p>
        </w:tc>
        <w:tc>
          <w:tcPr>
            <w:tcW w:w="1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11.17%</w:t>
            </w:r>
          </w:p>
        </w:tc>
        <w:tc>
          <w:tcPr>
            <w:tcW w:w="2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13.66%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Equity Tier 1 Capital</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11.10%</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11.10%</w:t>
            </w:r>
          </w:p>
        </w:tc>
        <w:tc>
          <w:tcPr>
            <w:tcW w:w="22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r>
      <w:tr>
        <w:trPr>
          <w:trHeight w:val="217"/>
        </w:trPr>
        <w:tc>
          <w:tcPr>
            <w:tcW w:w="5160" w:type="dxa"/>
            <w:vAlign w:val="bottom"/>
          </w:tcPr>
          <w:p>
            <w:pPr>
              <w:jc w:val="right"/>
              <w:ind w:right="3584"/>
              <w:spacing w:after="0"/>
              <w:rPr>
                <w:sz w:val="20"/>
                <w:szCs w:val="20"/>
                <w:color w:val="auto"/>
              </w:rPr>
            </w:pPr>
            <w:r>
              <w:rPr>
                <w:rFonts w:ascii="Arial" w:cs="Arial" w:eastAsia="Arial" w:hAnsi="Arial"/>
                <w:sz w:val="18"/>
                <w:szCs w:val="18"/>
                <w:color w:val="auto"/>
                <w:w w:val="98"/>
              </w:rPr>
              <w:t>_______________</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pacing w:after="0" w:line="31" w:lineRule="exact"/>
        <w:rPr>
          <w:sz w:val="20"/>
          <w:szCs w:val="20"/>
          <w:color w:val="auto"/>
        </w:rPr>
      </w:pPr>
    </w:p>
    <w:p>
      <w:pPr>
        <w:ind w:left="840" w:hanging="832"/>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ratios are annualized for the three and six months ended June 30, 2020.</w:t>
      </w:r>
    </w:p>
    <w:p>
      <w:pPr>
        <w:spacing w:after="0" w:line="23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Quantitative measures established by regulation to ensure capital adequacy require the Bank to maintain minimum ratios of Tier 1 Capital, Common Equity Tier 1 Capital, and Total Capital as a percentage of assets and off-balance sheet exposures, adjusted for risk weights ranging from 0% to 1250%. The Bank is also required to maintain capital at a minimum level based on quarterly average assets, which is known as the leverage ratio.</w:t>
      </w:r>
    </w:p>
    <w:p>
      <w:pPr>
        <w:spacing w:after="0" w:line="2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applied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w:t>
      </w: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37" w:right="339" w:bottom="1440" w:gutter="0" w:footer="0" w:header="0"/>
        </w:sectPr>
      </w:pPr>
    </w:p>
    <w:bookmarkStart w:id="63" w:name="page64"/>
    <w:bookmarkEnd w:id="63"/>
    <w:p>
      <w:pPr>
        <w:jc w:val="both"/>
        <w:spacing w:after="0" w:line="254" w:lineRule="auto"/>
        <w:rPr>
          <w:sz w:val="20"/>
          <w:szCs w:val="20"/>
          <w:color w:val="auto"/>
        </w:rPr>
      </w:pPr>
      <w:r>
        <w:rPr>
          <w:rFonts w:ascii="Arial" w:cs="Arial" w:eastAsia="Arial" w:hAnsi="Arial"/>
          <w:sz w:val="18"/>
          <w:szCs w:val="18"/>
          <w:color w:val="auto"/>
        </w:rPr>
        <w:t>August of 2018 the Regulatory Relief Act directed the Federal Reserve Board to revise the Small BHC Policy Statement to raise the total consolidated asset limit in the Small BHC Policy Statement from $1 billion to $3 billion. The Company was previously required to comply with the minimum capital requirements on a consolidated basis; however, the Company continues to meet the conditions of the revised Small BHC Policy Statement and was exempt from the consolidated capital requirements for the periods reflected.</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June 30, 2020,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in order to remain in compliance with all regulatory capital standards applicable to us.</w:t>
      </w:r>
    </w:p>
    <w:p>
      <w:pPr>
        <w:spacing w:after="0" w:line="20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presents the regulatory capital ratios for the Company(as if applicable to the Company) and the Bank as of the dates indicated.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3"/>
          </w:tcPr>
          <w:p>
            <w:pPr>
              <w:ind w:left="240"/>
              <w:spacing w:after="0"/>
              <w:rPr>
                <w:sz w:val="20"/>
                <w:szCs w:val="20"/>
                <w:color w:val="auto"/>
              </w:rPr>
            </w:pPr>
            <w:r>
              <w:rPr>
                <w:rFonts w:ascii="Arial" w:cs="Arial" w:eastAsia="Arial" w:hAnsi="Arial"/>
                <w:sz w:val="13"/>
                <w:szCs w:val="13"/>
                <w:b w:val="1"/>
                <w:bCs w:val="1"/>
                <w:color w:val="auto"/>
              </w:rPr>
              <w:t>Minimum capital</w:t>
            </w:r>
          </w:p>
        </w:tc>
        <w:tc>
          <w:tcPr>
            <w:tcW w:w="140" w:type="dxa"/>
            <w:vAlign w:val="bottom"/>
          </w:tcPr>
          <w:p>
            <w:pPr>
              <w:spacing w:after="0"/>
              <w:rPr>
                <w:sz w:val="13"/>
                <w:szCs w:val="13"/>
                <w:color w:val="auto"/>
              </w:rPr>
            </w:pPr>
          </w:p>
        </w:tc>
        <w:tc>
          <w:tcPr>
            <w:tcW w:w="1660" w:type="dxa"/>
            <w:vAlign w:val="bottom"/>
            <w:gridSpan w:val="2"/>
          </w:tcPr>
          <w:p>
            <w:pPr>
              <w:jc w:val="right"/>
              <w:ind w:right="492"/>
              <w:spacing w:after="0"/>
              <w:rPr>
                <w:sz w:val="20"/>
                <w:szCs w:val="20"/>
                <w:color w:val="auto"/>
              </w:rPr>
            </w:pPr>
            <w:r>
              <w:rPr>
                <w:rFonts w:ascii="Arial" w:cs="Arial" w:eastAsia="Arial" w:hAnsi="Arial"/>
                <w:sz w:val="13"/>
                <w:szCs w:val="13"/>
                <w:b w:val="1"/>
                <w:bCs w:val="1"/>
                <w:color w:val="auto"/>
              </w:rPr>
              <w:t>To be well</w:t>
            </w:r>
          </w:p>
        </w:tc>
      </w:tr>
      <w:tr>
        <w:trPr>
          <w:trHeight w:val="186"/>
        </w:trPr>
        <w:tc>
          <w:tcPr>
            <w:tcW w:w="40" w:type="dxa"/>
            <w:vAlign w:val="bottom"/>
          </w:tcPr>
          <w:p>
            <w:pPr>
              <w:spacing w:after="0"/>
              <w:rPr>
                <w:sz w:val="16"/>
                <w:szCs w:val="16"/>
                <w:color w:val="auto"/>
              </w:rPr>
            </w:pPr>
          </w:p>
        </w:tc>
        <w:tc>
          <w:tcPr>
            <w:tcW w:w="5600" w:type="dxa"/>
            <w:vAlign w:val="bottom"/>
            <w:gridSpan w:val="3"/>
          </w:tcPr>
          <w:p>
            <w:pPr>
              <w:spacing w:after="0"/>
              <w:rPr>
                <w:sz w:val="20"/>
                <w:szCs w:val="20"/>
                <w:color w:val="auto"/>
              </w:rPr>
            </w:pPr>
            <w:r>
              <w:rPr>
                <w:rFonts w:ascii="Arial" w:cs="Arial" w:eastAsia="Arial" w:hAnsi="Arial"/>
                <w:sz w:val="11"/>
                <w:szCs w:val="11"/>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Actual</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3"/>
                <w:szCs w:val="13"/>
                <w:b w:val="1"/>
                <w:bCs w:val="1"/>
                <w:color w:val="auto"/>
              </w:rPr>
              <w:t>adequacy</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3"/>
                <w:szCs w:val="13"/>
                <w:b w:val="1"/>
                <w:bCs w:val="1"/>
                <w:color w:val="auto"/>
              </w:rPr>
              <w:t>capitalized</w:t>
            </w:r>
          </w:p>
        </w:tc>
      </w:tr>
      <w:tr>
        <w:trPr>
          <w:trHeight w:val="229"/>
        </w:trPr>
        <w:tc>
          <w:tcPr>
            <w:tcW w:w="4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Ratio</w:t>
            </w:r>
          </w:p>
        </w:tc>
        <w:tc>
          <w:tcPr>
            <w:tcW w:w="14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Ratio</w:t>
            </w:r>
          </w:p>
        </w:tc>
        <w:tc>
          <w:tcPr>
            <w:tcW w:w="14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Ratio</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Company</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Tier 1 leverage ratio (to average assets)</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332"/>
              <w:spacing w:after="0"/>
              <w:rPr>
                <w:sz w:val="20"/>
                <w:szCs w:val="20"/>
                <w:color w:val="auto"/>
              </w:rPr>
            </w:pPr>
            <w:r>
              <w:rPr>
                <w:rFonts w:ascii="Arial" w:cs="Arial" w:eastAsia="Arial" w:hAnsi="Arial"/>
                <w:sz w:val="13"/>
                <w:szCs w:val="13"/>
                <w:b w:val="1"/>
                <w:bCs w:val="1"/>
                <w:color w:val="auto"/>
              </w:rPr>
              <w:t>142,403</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8.85%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64,374</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N/A</w:t>
            </w:r>
          </w:p>
        </w:tc>
        <w:tc>
          <w:tcPr>
            <w:tcW w:w="800" w:type="dxa"/>
            <w:vAlign w:val="bottom"/>
          </w:tcPr>
          <w:p>
            <w:pPr>
              <w:jc w:val="right"/>
              <w:ind w:right="72"/>
              <w:spacing w:after="0"/>
              <w:rPr>
                <w:sz w:val="20"/>
                <w:szCs w:val="20"/>
                <w:color w:val="auto"/>
              </w:rPr>
            </w:pPr>
            <w:r>
              <w:rPr>
                <w:rFonts w:ascii="Arial" w:cs="Arial" w:eastAsia="Arial" w:hAnsi="Arial"/>
                <w:sz w:val="13"/>
                <w:szCs w:val="13"/>
                <w:b w:val="1"/>
                <w:bCs w:val="1"/>
                <w:color w:val="auto"/>
              </w:rPr>
              <w:t>N/A</w:t>
            </w:r>
          </w:p>
        </w:tc>
      </w:tr>
      <w:tr>
        <w:trPr>
          <w:trHeight w:val="277"/>
        </w:trPr>
        <w:tc>
          <w:tcPr>
            <w:tcW w:w="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b w:val="1"/>
                <w:bCs w:val="1"/>
                <w:color w:val="auto"/>
              </w:rPr>
              <w:t>142,403</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96,256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N/A</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3"/>
                <w:szCs w:val="13"/>
                <w:b w:val="1"/>
                <w:bCs w:val="1"/>
                <w:color w:val="auto"/>
              </w:rPr>
              <w:t>N/A</w:t>
            </w:r>
          </w:p>
        </w:tc>
      </w:tr>
      <w:tr>
        <w:trPr>
          <w:trHeight w:val="263"/>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Common equity tier 1 capital ratio (to risk-weighted assets)</w:t>
            </w:r>
          </w:p>
        </w:tc>
        <w:tc>
          <w:tcPr>
            <w:tcW w:w="14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b w:val="1"/>
                <w:bCs w:val="1"/>
                <w:color w:val="auto"/>
              </w:rPr>
              <w:t>140,341</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12.39%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79,269</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7.00%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N/A</w:t>
            </w:r>
          </w:p>
        </w:tc>
        <w:tc>
          <w:tcPr>
            <w:tcW w:w="800" w:type="dxa"/>
            <w:vAlign w:val="bottom"/>
          </w:tcPr>
          <w:p>
            <w:pPr>
              <w:jc w:val="right"/>
              <w:ind w:right="72"/>
              <w:spacing w:after="0"/>
              <w:rPr>
                <w:sz w:val="20"/>
                <w:szCs w:val="20"/>
                <w:color w:val="auto"/>
              </w:rPr>
            </w:pPr>
            <w:r>
              <w:rPr>
                <w:rFonts w:ascii="Arial" w:cs="Arial" w:eastAsia="Arial" w:hAnsi="Arial"/>
                <w:sz w:val="13"/>
                <w:szCs w:val="13"/>
                <w:b w:val="1"/>
                <w:bCs w:val="1"/>
                <w:color w:val="auto"/>
              </w:rPr>
              <w:t>N/A</w:t>
            </w:r>
          </w:p>
        </w:tc>
      </w:tr>
      <w:tr>
        <w:trPr>
          <w:trHeight w:val="277"/>
        </w:trPr>
        <w:tc>
          <w:tcPr>
            <w:tcW w:w="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capital ratio (to risk-weighted 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b w:val="1"/>
                <w:bCs w:val="1"/>
                <w:color w:val="auto"/>
              </w:rPr>
              <w:t>170,129</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118,904</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N/A</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3"/>
                <w:szCs w:val="13"/>
                <w:b w:val="1"/>
                <w:bCs w:val="1"/>
                <w:color w:val="auto"/>
              </w:rPr>
              <w:t>N/A</w:t>
            </w:r>
          </w:p>
        </w:tc>
      </w:tr>
      <w:tr>
        <w:trPr>
          <w:trHeight w:val="270"/>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Bank</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Tier 1 leverage ratio (to average assets)</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332"/>
              <w:spacing w:after="0"/>
              <w:rPr>
                <w:sz w:val="20"/>
                <w:szCs w:val="20"/>
                <w:color w:val="auto"/>
              </w:rPr>
            </w:pPr>
            <w:r>
              <w:rPr>
                <w:rFonts w:ascii="Arial" w:cs="Arial" w:eastAsia="Arial" w:hAnsi="Arial"/>
                <w:sz w:val="13"/>
                <w:szCs w:val="13"/>
                <w:b w:val="1"/>
                <w:bCs w:val="1"/>
                <w:color w:val="auto"/>
              </w:rPr>
              <w:t>121,955</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7.73%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63,092</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4.00%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78,865</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5.00%</w:t>
            </w:r>
          </w:p>
        </w:tc>
      </w:tr>
      <w:tr>
        <w:trPr>
          <w:trHeight w:val="277"/>
        </w:trPr>
        <w:tc>
          <w:tcPr>
            <w:tcW w:w="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b w:val="1"/>
                <w:bCs w:val="1"/>
                <w:color w:val="auto"/>
              </w:rPr>
              <w:t>121,955</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93,427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87,931</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8.00%</w:t>
            </w:r>
          </w:p>
        </w:tc>
      </w:tr>
      <w:tr>
        <w:trPr>
          <w:trHeight w:val="263"/>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Common equity tier 1 capital ratio (to risk-weighted assets)</w:t>
            </w:r>
          </w:p>
        </w:tc>
        <w:tc>
          <w:tcPr>
            <w:tcW w:w="14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b w:val="1"/>
                <w:bCs w:val="1"/>
                <w:color w:val="auto"/>
              </w:rPr>
              <w:t>121,955</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11.10%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76,940</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7.00%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b w:val="1"/>
                <w:bCs w:val="1"/>
                <w:color w:val="auto"/>
              </w:rPr>
              <w:t>71,444</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6.50%</w:t>
            </w:r>
          </w:p>
        </w:tc>
      </w:tr>
      <w:tr>
        <w:trPr>
          <w:trHeight w:val="277"/>
        </w:trPr>
        <w:tc>
          <w:tcPr>
            <w:tcW w:w="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capital ratio (to risk-weighted 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b w:val="1"/>
                <w:bCs w:val="1"/>
                <w:color w:val="auto"/>
              </w:rPr>
              <w:t>135,767</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115,410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b w:val="1"/>
                <w:bCs w:val="1"/>
                <w:color w:val="auto"/>
              </w:rPr>
              <w:t>109,914</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10.00%</w:t>
            </w:r>
          </w:p>
        </w:tc>
      </w:tr>
      <w:tr>
        <w:trPr>
          <w:trHeight w:val="270"/>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December 31, 2019</w:t>
            </w:r>
          </w:p>
        </w:tc>
        <w:tc>
          <w:tcPr>
            <w:tcW w:w="4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5600" w:type="dxa"/>
            <w:vAlign w:val="bottom"/>
            <w:gridSpan w:val="3"/>
          </w:tcPr>
          <w:p>
            <w:pPr>
              <w:spacing w:after="0"/>
              <w:rPr>
                <w:sz w:val="20"/>
                <w:szCs w:val="20"/>
                <w:color w:val="auto"/>
              </w:rPr>
            </w:pPr>
            <w:r>
              <w:rPr>
                <w:rFonts w:ascii="Arial" w:cs="Arial" w:eastAsia="Arial" w:hAnsi="Arial"/>
                <w:sz w:val="13"/>
                <w:szCs w:val="13"/>
                <w:b w:val="1"/>
                <w:bCs w:val="1"/>
                <w:color w:val="auto"/>
              </w:rPr>
              <w:t>The Company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Tier 1 leverage ratio (to average 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color w:val="auto"/>
              </w:rPr>
              <w:t>135,380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54,397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N/A</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3"/>
                <w:szCs w:val="13"/>
                <w:color w:val="auto"/>
              </w:rPr>
              <w:t>N/A</w:t>
            </w:r>
          </w:p>
        </w:tc>
      </w:tr>
      <w:tr>
        <w:trPr>
          <w:trHeight w:val="263"/>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4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color w:val="auto"/>
              </w:rPr>
              <w:t>135,380</w:t>
            </w:r>
          </w:p>
        </w:tc>
        <w:tc>
          <w:tcPr>
            <w:tcW w:w="640" w:type="dxa"/>
            <w:vAlign w:val="bottom"/>
          </w:tcPr>
          <w:p>
            <w:pPr>
              <w:jc w:val="right"/>
              <w:spacing w:after="0"/>
              <w:rPr>
                <w:sz w:val="20"/>
                <w:szCs w:val="20"/>
                <w:color w:val="auto"/>
              </w:rPr>
            </w:pPr>
            <w:r>
              <w:rPr>
                <w:rFonts w:ascii="Arial" w:cs="Arial" w:eastAsia="Arial" w:hAnsi="Arial"/>
                <w:sz w:val="13"/>
                <w:szCs w:val="13"/>
                <w:color w:val="auto"/>
              </w:rPr>
              <w:t>12.31%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66,011</w:t>
            </w:r>
          </w:p>
        </w:tc>
        <w:tc>
          <w:tcPr>
            <w:tcW w:w="80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N/A</w:t>
            </w:r>
          </w:p>
        </w:tc>
        <w:tc>
          <w:tcPr>
            <w:tcW w:w="800" w:type="dxa"/>
            <w:vAlign w:val="bottom"/>
          </w:tcPr>
          <w:p>
            <w:pPr>
              <w:jc w:val="right"/>
              <w:ind w:right="72"/>
              <w:spacing w:after="0"/>
              <w:rPr>
                <w:sz w:val="20"/>
                <w:szCs w:val="20"/>
                <w:color w:val="auto"/>
              </w:rPr>
            </w:pPr>
            <w:r>
              <w:rPr>
                <w:rFonts w:ascii="Arial" w:cs="Arial" w:eastAsia="Arial" w:hAnsi="Arial"/>
                <w:sz w:val="13"/>
                <w:szCs w:val="13"/>
                <w:color w:val="auto"/>
              </w:rPr>
              <w:t>N/A</w:t>
            </w:r>
          </w:p>
        </w:tc>
      </w:tr>
      <w:tr>
        <w:trPr>
          <w:trHeight w:val="277"/>
        </w:trPr>
        <w:tc>
          <w:tcPr>
            <w:tcW w:w="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Common equity tier 1 capital ratio (to risk-weighted 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color w:val="auto"/>
              </w:rPr>
              <w:t>133,318</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49,508</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N/A</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3"/>
                <w:szCs w:val="13"/>
                <w:color w:val="auto"/>
              </w:rPr>
              <w:t>N/A</w:t>
            </w:r>
          </w:p>
        </w:tc>
      </w:tr>
      <w:tr>
        <w:trPr>
          <w:trHeight w:val="263"/>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Total capital ratio (to risk-weighted assets)</w:t>
            </w:r>
          </w:p>
        </w:tc>
        <w:tc>
          <w:tcPr>
            <w:tcW w:w="14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color w:val="auto"/>
              </w:rPr>
              <w:t>149,142</w:t>
            </w:r>
          </w:p>
        </w:tc>
        <w:tc>
          <w:tcPr>
            <w:tcW w:w="640" w:type="dxa"/>
            <w:vAlign w:val="bottom"/>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88,015</w:t>
            </w:r>
          </w:p>
        </w:tc>
        <w:tc>
          <w:tcPr>
            <w:tcW w:w="80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N/A</w:t>
            </w:r>
          </w:p>
        </w:tc>
        <w:tc>
          <w:tcPr>
            <w:tcW w:w="800" w:type="dxa"/>
            <w:vAlign w:val="bottom"/>
          </w:tcPr>
          <w:p>
            <w:pPr>
              <w:jc w:val="right"/>
              <w:ind w:right="72"/>
              <w:spacing w:after="0"/>
              <w:rPr>
                <w:sz w:val="20"/>
                <w:szCs w:val="20"/>
                <w:color w:val="auto"/>
              </w:rPr>
            </w:pPr>
            <w:r>
              <w:rPr>
                <w:rFonts w:ascii="Arial" w:cs="Arial" w:eastAsia="Arial" w:hAnsi="Arial"/>
                <w:sz w:val="13"/>
                <w:szCs w:val="13"/>
                <w:color w:val="auto"/>
              </w:rPr>
              <w:t>N/A</w:t>
            </w:r>
          </w:p>
        </w:tc>
      </w:tr>
      <w:tr>
        <w:trPr>
          <w:trHeight w:val="277"/>
        </w:trPr>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600" w:type="dxa"/>
            <w:vAlign w:val="bottom"/>
            <w:gridSpan w:val="3"/>
          </w:tcPr>
          <w:p>
            <w:pPr>
              <w:spacing w:after="0"/>
              <w:rPr>
                <w:sz w:val="20"/>
                <w:szCs w:val="20"/>
                <w:color w:val="auto"/>
              </w:rPr>
            </w:pPr>
            <w:r>
              <w:rPr>
                <w:rFonts w:ascii="Arial" w:cs="Arial" w:eastAsia="Arial" w:hAnsi="Arial"/>
                <w:sz w:val="13"/>
                <w:szCs w:val="13"/>
                <w:b w:val="1"/>
                <w:bCs w:val="1"/>
                <w:color w:val="auto"/>
              </w:rPr>
              <w:t>The Bank</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Tier 1 leverage ratio (to average 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color w:val="auto"/>
              </w:rPr>
              <w:t>114,613</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53,005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66,256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r>
      <w:tr>
        <w:trPr>
          <w:trHeight w:val="263"/>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Tier 1 capital (to risk-weighted assets)</w:t>
            </w:r>
          </w:p>
        </w:tc>
        <w:tc>
          <w:tcPr>
            <w:tcW w:w="14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color w:val="auto"/>
              </w:rPr>
              <w:t>114,613</w:t>
            </w:r>
          </w:p>
        </w:tc>
        <w:tc>
          <w:tcPr>
            <w:tcW w:w="640" w:type="dxa"/>
            <w:vAlign w:val="bottom"/>
          </w:tcPr>
          <w:p>
            <w:pPr>
              <w:jc w:val="right"/>
              <w:spacing w:after="0"/>
              <w:rPr>
                <w:sz w:val="20"/>
                <w:szCs w:val="20"/>
                <w:color w:val="auto"/>
              </w:rPr>
            </w:pPr>
            <w:r>
              <w:rPr>
                <w:rFonts w:ascii="Arial" w:cs="Arial" w:eastAsia="Arial" w:hAnsi="Arial"/>
                <w:sz w:val="13"/>
                <w:szCs w:val="13"/>
                <w:color w:val="auto"/>
              </w:rPr>
              <w:t>10.73%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64,093</w:t>
            </w:r>
          </w:p>
        </w:tc>
        <w:tc>
          <w:tcPr>
            <w:tcW w:w="80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85,458</w:t>
            </w:r>
          </w:p>
        </w:tc>
        <w:tc>
          <w:tcPr>
            <w:tcW w:w="800" w:type="dxa"/>
            <w:vAlign w:val="bottom"/>
          </w:tcPr>
          <w:p>
            <w:pPr>
              <w:jc w:val="right"/>
              <w:spacing w:after="0"/>
              <w:rPr>
                <w:sz w:val="20"/>
                <w:szCs w:val="20"/>
                <w:color w:val="auto"/>
              </w:rPr>
            </w:pPr>
            <w:r>
              <w:rPr>
                <w:rFonts w:ascii="Arial" w:cs="Arial" w:eastAsia="Arial" w:hAnsi="Arial"/>
                <w:sz w:val="13"/>
                <w:szCs w:val="13"/>
                <w:color w:val="auto"/>
              </w:rPr>
              <w:t>8.00%</w:t>
            </w:r>
          </w:p>
        </w:tc>
      </w:tr>
      <w:tr>
        <w:trPr>
          <w:trHeight w:val="277"/>
        </w:trPr>
        <w:tc>
          <w:tcPr>
            <w:tcW w:w="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Common equity tier 1 capital ratio (to risk-weighted assets)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3"/>
                <w:szCs w:val="13"/>
                <w:color w:val="auto"/>
              </w:rPr>
              <w:t>114,613</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48,070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3"/>
                <w:szCs w:val="13"/>
                <w:color w:val="auto"/>
              </w:rPr>
              <w:t>69,435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r>
      <w:tr>
        <w:trPr>
          <w:trHeight w:val="256"/>
        </w:trPr>
        <w:tc>
          <w:tcPr>
            <w:tcW w:w="40" w:type="dxa"/>
            <w:vAlign w:val="bottom"/>
          </w:tcPr>
          <w:p>
            <w:pPr>
              <w:spacing w:after="0"/>
              <w:rPr>
                <w:sz w:val="22"/>
                <w:szCs w:val="22"/>
                <w:color w:val="auto"/>
              </w:rPr>
            </w:pPr>
          </w:p>
        </w:tc>
        <w:tc>
          <w:tcPr>
            <w:tcW w:w="5600" w:type="dxa"/>
            <w:vAlign w:val="bottom"/>
            <w:gridSpan w:val="3"/>
          </w:tcPr>
          <w:p>
            <w:pPr>
              <w:ind w:left="140"/>
              <w:spacing w:after="0"/>
              <w:rPr>
                <w:sz w:val="20"/>
                <w:szCs w:val="20"/>
                <w:color w:val="auto"/>
              </w:rPr>
            </w:pPr>
            <w:r>
              <w:rPr>
                <w:rFonts w:ascii="Arial" w:cs="Arial" w:eastAsia="Arial" w:hAnsi="Arial"/>
                <w:sz w:val="13"/>
                <w:szCs w:val="13"/>
                <w:color w:val="auto"/>
              </w:rPr>
              <w:t>Total capital ratio (to risk-weighted assets)</w:t>
            </w:r>
          </w:p>
        </w:tc>
        <w:tc>
          <w:tcPr>
            <w:tcW w:w="140" w:type="dxa"/>
            <w:vAlign w:val="bottom"/>
          </w:tcPr>
          <w:p>
            <w:pPr>
              <w:spacing w:after="0"/>
              <w:rPr>
                <w:sz w:val="22"/>
                <w:szCs w:val="22"/>
                <w:color w:val="auto"/>
              </w:rPr>
            </w:pPr>
          </w:p>
        </w:tc>
        <w:tc>
          <w:tcPr>
            <w:tcW w:w="1020" w:type="dxa"/>
            <w:vAlign w:val="bottom"/>
          </w:tcPr>
          <w:p>
            <w:pPr>
              <w:jc w:val="right"/>
              <w:ind w:right="332"/>
              <w:spacing w:after="0"/>
              <w:rPr>
                <w:sz w:val="20"/>
                <w:szCs w:val="20"/>
                <w:color w:val="auto"/>
              </w:rPr>
            </w:pPr>
            <w:r>
              <w:rPr>
                <w:rFonts w:ascii="Arial" w:cs="Arial" w:eastAsia="Arial" w:hAnsi="Arial"/>
                <w:sz w:val="13"/>
                <w:szCs w:val="13"/>
                <w:color w:val="auto"/>
              </w:rPr>
              <w:t>127,976</w:t>
            </w:r>
          </w:p>
        </w:tc>
        <w:tc>
          <w:tcPr>
            <w:tcW w:w="640" w:type="dxa"/>
            <w:vAlign w:val="bottom"/>
          </w:tcPr>
          <w:p>
            <w:pPr>
              <w:jc w:val="right"/>
              <w:spacing w:after="0"/>
              <w:rPr>
                <w:sz w:val="20"/>
                <w:szCs w:val="20"/>
                <w:color w:val="auto"/>
              </w:rPr>
            </w:pPr>
            <w:r>
              <w:rPr>
                <w:rFonts w:ascii="Arial" w:cs="Arial" w:eastAsia="Arial" w:hAnsi="Arial"/>
                <w:sz w:val="13"/>
                <w:szCs w:val="13"/>
                <w:color w:val="auto"/>
              </w:rPr>
              <w:t>11.98%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85,458</w:t>
            </w:r>
          </w:p>
        </w:tc>
        <w:tc>
          <w:tcPr>
            <w:tcW w:w="80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52"/>
              <w:spacing w:after="0"/>
              <w:rPr>
                <w:sz w:val="20"/>
                <w:szCs w:val="20"/>
                <w:color w:val="auto"/>
              </w:rPr>
            </w:pPr>
            <w:r>
              <w:rPr>
                <w:rFonts w:ascii="Arial" w:cs="Arial" w:eastAsia="Arial" w:hAnsi="Arial"/>
                <w:sz w:val="13"/>
                <w:szCs w:val="13"/>
                <w:color w:val="auto"/>
              </w:rPr>
              <w:t>106,822</w:t>
            </w:r>
          </w:p>
        </w:tc>
        <w:tc>
          <w:tcPr>
            <w:tcW w:w="800" w:type="dxa"/>
            <w:vAlign w:val="bottom"/>
          </w:tcPr>
          <w:p>
            <w:pPr>
              <w:jc w:val="right"/>
              <w:spacing w:after="0"/>
              <w:rPr>
                <w:sz w:val="20"/>
                <w:szCs w:val="20"/>
                <w:color w:val="auto"/>
              </w:rPr>
            </w:pPr>
            <w:r>
              <w:rPr>
                <w:rFonts w:ascii="Arial" w:cs="Arial" w:eastAsia="Arial" w:hAnsi="Arial"/>
                <w:sz w:val="13"/>
                <w:szCs w:val="13"/>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contractual obligations to make future payments on debt agreements. While our liquidity monitoring and management consider both present and future demands for and sources of liquidity, the following table of contractual commitments focuses only on future obligations and summarizes our contractual obligations as of June 30, 2020.</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55"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June 30, 2020</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75"/>
        </w:trPr>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8"/>
              <w:spacing w:after="0"/>
              <w:rPr>
                <w:sz w:val="20"/>
                <w:szCs w:val="20"/>
                <w:color w:val="auto"/>
              </w:rPr>
            </w:pPr>
            <w:r>
              <w:rPr>
                <w:rFonts w:ascii="Arial" w:cs="Arial" w:eastAsia="Arial" w:hAnsi="Arial"/>
                <w:sz w:val="14"/>
                <w:szCs w:val="14"/>
                <w:b w:val="1"/>
                <w:bCs w:val="1"/>
                <w:color w:val="auto"/>
              </w:rPr>
              <w:t>Due After One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2"/>
        </w:trPr>
        <w:tc>
          <w:tcPr>
            <w:tcW w:w="406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Due in One Year or</w:t>
            </w:r>
          </w:p>
        </w:tc>
        <w:tc>
          <w:tcPr>
            <w:tcW w:w="160" w:type="dxa"/>
            <w:vAlign w:val="bottom"/>
          </w:tcPr>
          <w:p>
            <w:pPr>
              <w:spacing w:after="0"/>
              <w:rPr>
                <w:sz w:val="14"/>
                <w:szCs w:val="14"/>
                <w:color w:val="auto"/>
              </w:rPr>
            </w:pPr>
          </w:p>
        </w:tc>
        <w:tc>
          <w:tcPr>
            <w:tcW w:w="1240" w:type="dxa"/>
            <w:vAlign w:val="bottom"/>
          </w:tcPr>
          <w:p>
            <w:pPr>
              <w:jc w:val="center"/>
              <w:ind w:right="8"/>
              <w:spacing w:after="0"/>
              <w:rPr>
                <w:sz w:val="20"/>
                <w:szCs w:val="20"/>
                <w:color w:val="auto"/>
              </w:rPr>
            </w:pPr>
            <w:r>
              <w:rPr>
                <w:rFonts w:ascii="Arial" w:cs="Arial" w:eastAsia="Arial" w:hAnsi="Arial"/>
                <w:sz w:val="14"/>
                <w:szCs w:val="14"/>
                <w:b w:val="1"/>
                <w:bCs w:val="1"/>
                <w:color w:val="auto"/>
              </w:rPr>
              <w:t>Through Three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Due After Three</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Due After 5</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Less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Through Five Years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56"/>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FHLB advances</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25,556</w:t>
            </w:r>
          </w:p>
        </w:tc>
      </w:tr>
      <w:tr>
        <w:trPr>
          <w:trHeight w:val="264"/>
        </w:trPr>
        <w:tc>
          <w:tcPr>
            <w:tcW w:w="4060" w:type="dxa"/>
            <w:vAlign w:val="bottom"/>
          </w:tcPr>
          <w:p>
            <w:pPr>
              <w:ind w:left="40"/>
              <w:spacing w:after="0"/>
              <w:rPr>
                <w:sz w:val="20"/>
                <w:szCs w:val="20"/>
                <w:color w:val="auto"/>
              </w:rPr>
            </w:pPr>
            <w:r>
              <w:rPr>
                <w:rFonts w:ascii="Arial" w:cs="Arial" w:eastAsia="Arial" w:hAnsi="Arial"/>
                <w:sz w:val="14"/>
                <w:szCs w:val="14"/>
                <w:color w:val="auto"/>
              </w:rPr>
              <w:t>Certificates of deposit $100,000 or more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158,484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78,749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238,167</w:t>
            </w:r>
          </w:p>
        </w:tc>
      </w:tr>
      <w:tr>
        <w:trPr>
          <w:trHeight w:val="276"/>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Certificates of deposit less than $100,000</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25,895</w:t>
            </w:r>
          </w:p>
        </w:tc>
      </w:tr>
      <w:tr>
        <w:trPr>
          <w:trHeight w:val="264"/>
        </w:trPr>
        <w:tc>
          <w:tcPr>
            <w:tcW w:w="4060" w:type="dxa"/>
            <w:vAlign w:val="bottom"/>
          </w:tcPr>
          <w:p>
            <w:pPr>
              <w:ind w:left="40"/>
              <w:spacing w:after="0"/>
              <w:rPr>
                <w:sz w:val="20"/>
                <w:szCs w:val="20"/>
                <w:color w:val="auto"/>
              </w:rPr>
            </w:pPr>
            <w:r>
              <w:rPr>
                <w:rFonts w:ascii="Arial" w:cs="Arial" w:eastAsia="Arial" w:hAnsi="Arial"/>
                <w:sz w:val="14"/>
                <w:szCs w:val="14"/>
                <w:color w:val="auto"/>
              </w:rPr>
              <w:t>FRB Borrowings</w:t>
            </w: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1,954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1,954</w:t>
            </w:r>
          </w:p>
        </w:tc>
      </w:tr>
      <w:tr>
        <w:trPr>
          <w:trHeight w:val="276"/>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payments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3,208</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4,317</w:t>
            </w:r>
          </w:p>
        </w:tc>
      </w:tr>
      <w:tr>
        <w:trPr>
          <w:trHeight w:val="264"/>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Subordinated debt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15,437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15,437</w:t>
            </w: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191,936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102,126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311,326</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the actual future cash funding requirements.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EXTENSION COMMITMENTS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As of June 30, 2020</w:t>
            </w:r>
          </w:p>
        </w:tc>
        <w:tc>
          <w:tcPr>
            <w:tcW w:w="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As of December 31, 2019</w:t>
            </w:r>
          </w:p>
        </w:tc>
      </w:tr>
      <w:tr>
        <w:trPr>
          <w:trHeight w:val="248"/>
        </w:trPr>
        <w:tc>
          <w:tcPr>
            <w:tcW w:w="57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4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82"/>
        </w:trPr>
        <w:tc>
          <w:tcPr>
            <w:tcW w:w="5740" w:type="dxa"/>
            <w:vAlign w:val="bottom"/>
          </w:tcPr>
          <w:p>
            <w:pPr>
              <w:ind w:left="40"/>
              <w:spacing w:after="0"/>
              <w:rPr>
                <w:sz w:val="20"/>
                <w:szCs w:val="20"/>
                <w:color w:val="auto"/>
              </w:rPr>
            </w:pPr>
            <w:r>
              <w:rPr>
                <w:rFonts w:ascii="Arial" w:cs="Arial" w:eastAsia="Arial" w:hAnsi="Arial"/>
                <w:sz w:val="16"/>
                <w:szCs w:val="16"/>
                <w:color w:val="auto"/>
              </w:rPr>
              <w:t>Unfunded lines of credit</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2300" w:type="dxa"/>
            <w:vAlign w:val="bottom"/>
          </w:tcPr>
          <w:p>
            <w:pPr>
              <w:jc w:val="right"/>
              <w:ind w:right="41"/>
              <w:spacing w:after="0"/>
              <w:rPr>
                <w:sz w:val="20"/>
                <w:szCs w:val="20"/>
                <w:color w:val="auto"/>
              </w:rPr>
            </w:pPr>
            <w:r>
              <w:rPr>
                <w:rFonts w:ascii="Arial" w:cs="Arial" w:eastAsia="Arial" w:hAnsi="Arial"/>
                <w:sz w:val="16"/>
                <w:szCs w:val="16"/>
                <w:b w:val="1"/>
                <w:bCs w:val="1"/>
                <w:color w:val="auto"/>
              </w:rPr>
              <w:t>290,899</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360" w:type="dxa"/>
            <w:vAlign w:val="bottom"/>
          </w:tcPr>
          <w:p>
            <w:pPr>
              <w:jc w:val="right"/>
              <w:ind w:right="21"/>
              <w:spacing w:after="0"/>
              <w:rPr>
                <w:sz w:val="20"/>
                <w:szCs w:val="20"/>
                <w:color w:val="auto"/>
              </w:rPr>
            </w:pPr>
            <w:r>
              <w:rPr>
                <w:rFonts w:ascii="Arial" w:cs="Arial" w:eastAsia="Arial" w:hAnsi="Arial"/>
                <w:sz w:val="16"/>
                <w:szCs w:val="16"/>
                <w:color w:val="auto"/>
              </w:rPr>
              <w:t>260,573</w:t>
            </w:r>
          </w:p>
        </w:tc>
      </w:tr>
      <w:tr>
        <w:trPr>
          <w:trHeight w:val="280"/>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to originate residential loans held for sale</w:t>
            </w:r>
          </w:p>
        </w:tc>
        <w:tc>
          <w:tcPr>
            <w:tcW w:w="400" w:type="dxa"/>
            <w:vAlign w:val="bottom"/>
            <w:shd w:val="clear" w:color="auto" w:fill="CCEEFF"/>
          </w:tcPr>
          <w:p>
            <w:pPr>
              <w:spacing w:after="0"/>
              <w:rPr>
                <w:sz w:val="24"/>
                <w:szCs w:val="24"/>
                <w:color w:val="auto"/>
              </w:rPr>
            </w:pPr>
          </w:p>
        </w:tc>
        <w:tc>
          <w:tcPr>
            <w:tcW w:w="23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10,426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2,646</w:t>
            </w:r>
          </w:p>
        </w:tc>
      </w:tr>
      <w:tr>
        <w:trPr>
          <w:trHeight w:val="263"/>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Letters of credit</w:t>
            </w:r>
          </w:p>
        </w:tc>
        <w:tc>
          <w:tcPr>
            <w:tcW w:w="4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5,260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5,305</w:t>
            </w:r>
          </w:p>
        </w:tc>
      </w:tr>
      <w:tr>
        <w:trPr>
          <w:trHeight w:val="24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credit extension commitments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2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306,585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268,524</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Unfunded lines of credit represent unused credit facilities to our current borrowers. Letters of credit are conditional commitments issued by us to guarantee the performance of a customer to a third party. Lines of credit generally have variable interest rates.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client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Our credit risk associated with issuing letters of credit is believed to be substantially the same as the risk involved in extending loan facilities to our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333" w:right="339" w:bottom="1440" w:gutter="0" w:footer="0" w:header="0"/>
        </w:sectPr>
      </w:pPr>
    </w:p>
    <w:bookmarkStart w:id="65" w:name="page66"/>
    <w:bookmarkEnd w:id="65"/>
    <w:p>
      <w:pPr>
        <w:jc w:val="both"/>
        <w:ind w:firstLine="324"/>
        <w:spacing w:after="0" w:line="254" w:lineRule="auto"/>
        <w:rPr>
          <w:sz w:val="20"/>
          <w:szCs w:val="20"/>
          <w:color w:val="auto"/>
        </w:rPr>
      </w:pPr>
      <w:r>
        <w:rPr>
          <w:rFonts w:ascii="Arial" w:cs="Arial" w:eastAsia="Arial" w:hAnsi="Arial"/>
          <w:sz w:val="18"/>
          <w:szCs w:val="18"/>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there is no guarantee that the lines of credit will be used.</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Commitments to extend credit are agreements to lend funds to a customer,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35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8"/>
          <w:szCs w:val="18"/>
          <w:b w:val="1"/>
          <w:bCs w:val="1"/>
          <w:color w:val="auto"/>
        </w:rPr>
        <w:t>.</w:t>
      </w:r>
      <w:r>
        <w:rPr>
          <w:rFonts w:ascii="Arial" w:cs="Arial" w:eastAsia="Arial" w:hAnsi="Arial"/>
          <w:sz w:val="18"/>
          <w:szCs w:val="18"/>
          <w:color w:val="auto"/>
        </w:rPr>
        <w:t xml:space="preserve"> We manage our sensitivity position within our established guidelines.</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spacing w:after="0" w:line="2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on the current outlook on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2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3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After One Month</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After Three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Greater Than One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Within One</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 Three</w:t>
            </w: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Through Twelve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Year or Non-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Month</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Within One Year</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Sensitive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248"/>
        </w:trPr>
        <w:tc>
          <w:tcPr>
            <w:tcW w:w="26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
        </w:trPr>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0"/>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color w:val="auto"/>
              </w:rPr>
              <w:t>Interest earning 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Loans </w:t>
            </w:r>
            <w:r>
              <w:rPr>
                <w:rFonts w:ascii="Arial" w:cs="Arial" w:eastAsia="Arial" w:hAnsi="Arial"/>
                <w:sz w:val="17"/>
                <w:szCs w:val="17"/>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722,819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79,228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312,302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1,114,349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443,743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1,558,092</w:t>
            </w: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Securities</w:t>
            </w:r>
          </w:p>
        </w:tc>
        <w:tc>
          <w:tcPr>
            <w:tcW w:w="18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55,811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56,796</w:t>
            </w:r>
          </w:p>
        </w:tc>
      </w:tr>
      <w:tr>
        <w:trPr>
          <w:trHeight w:val="200"/>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 at other</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4"/>
        </w:trPr>
        <w:tc>
          <w:tcPr>
            <w:tcW w:w="2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financial institutions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180,379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180,379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180,379</w:t>
            </w: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8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3,698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3,698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3,698</w:t>
            </w:r>
          </w:p>
        </w:tc>
      </w:tr>
      <w:tr>
        <w:trPr>
          <w:trHeight w:val="243"/>
        </w:trPr>
        <w:tc>
          <w:tcPr>
            <w:tcW w:w="2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earning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907,881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312,302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1,299,411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499,554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1,798,965</w:t>
            </w: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2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color w:val="auto"/>
              </w:rPr>
              <w:t>Interest bearing liabilities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780,669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780,669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780,669</w:t>
            </w:r>
          </w:p>
        </w:tc>
      </w:tr>
      <w:tr>
        <w:trPr>
          <w:trHeight w:val="264"/>
        </w:trPr>
        <w:tc>
          <w:tcPr>
            <w:tcW w:w="2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Time deposits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8,854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20,496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148,564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177,914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86,148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264,062</w:t>
            </w:r>
          </w:p>
        </w:tc>
      </w:tr>
      <w:tr>
        <w:trPr>
          <w:trHeight w:val="256"/>
        </w:trPr>
        <w:tc>
          <w:tcPr>
            <w:tcW w:w="2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interest bearing deposits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789,523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20,496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148,564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958,583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86,148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1,044,731</w:t>
            </w:r>
          </w:p>
        </w:tc>
      </w:tr>
      <w:tr>
        <w:trPr>
          <w:trHeight w:val="264"/>
        </w:trPr>
        <w:tc>
          <w:tcPr>
            <w:tcW w:w="2620" w:type="dxa"/>
            <w:vAlign w:val="bottom"/>
          </w:tcPr>
          <w:p>
            <w:pPr>
              <w:ind w:left="180"/>
              <w:spacing w:after="0"/>
              <w:rPr>
                <w:sz w:val="20"/>
                <w:szCs w:val="20"/>
                <w:color w:val="auto"/>
              </w:rPr>
            </w:pPr>
            <w:r>
              <w:rPr>
                <w:rFonts w:ascii="Arial" w:cs="Arial" w:eastAsia="Arial" w:hAnsi="Arial"/>
                <w:sz w:val="14"/>
                <w:szCs w:val="14"/>
                <w:color w:val="auto"/>
              </w:rPr>
              <w:t>FHLB Advances</w:t>
            </w:r>
          </w:p>
        </w:tc>
        <w:tc>
          <w:tcPr>
            <w:tcW w:w="18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2,127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9,675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14,816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10,740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25,556</w:t>
            </w:r>
          </w:p>
        </w:tc>
      </w:tr>
      <w:tr>
        <w:trPr>
          <w:trHeight w:val="270"/>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borrowed funds</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17,392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17,392</w:t>
            </w:r>
          </w:p>
        </w:tc>
      </w:tr>
      <w:tr>
        <w:trPr>
          <w:trHeight w:val="283"/>
        </w:trPr>
        <w:tc>
          <w:tcPr>
            <w:tcW w:w="26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interest bearing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792,537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22,623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158,239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973,399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114,280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1,087,679</w:t>
            </w:r>
          </w:p>
        </w:tc>
      </w:tr>
      <w:tr>
        <w:trPr>
          <w:trHeight w:val="251"/>
        </w:trPr>
        <w:tc>
          <w:tcPr>
            <w:tcW w:w="2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color w:val="auto"/>
              </w:rPr>
              <w:t>Period gap</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115,344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56,605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154,063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326,012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385,274</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711,286</w:t>
            </w:r>
          </w:p>
        </w:tc>
      </w:tr>
      <w:tr>
        <w:trPr>
          <w:trHeight w:val="276"/>
        </w:trPr>
        <w:tc>
          <w:tcPr>
            <w:tcW w:w="2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gap</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115,344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171,949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326,012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326,012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711,286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194"/>
        </w:trPr>
        <w:tc>
          <w:tcPr>
            <w:tcW w:w="2620" w:type="dxa"/>
            <w:vAlign w:val="bottom"/>
          </w:tcPr>
          <w:p>
            <w:pPr>
              <w:ind w:left="40"/>
              <w:spacing w:after="0"/>
              <w:rPr>
                <w:sz w:val="20"/>
                <w:szCs w:val="20"/>
                <w:color w:val="auto"/>
              </w:rPr>
            </w:pPr>
            <w:r>
              <w:rPr>
                <w:rFonts w:ascii="Arial" w:cs="Arial" w:eastAsia="Arial" w:hAnsi="Arial"/>
                <w:sz w:val="14"/>
                <w:szCs w:val="14"/>
                <w:color w:val="auto"/>
              </w:rPr>
              <w:t>Ratio of cumulative gap to total earning</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2"/>
        </w:trPr>
        <w:tc>
          <w:tcPr>
            <w:tcW w:w="2620" w:type="dxa"/>
            <w:vAlign w:val="bottom"/>
          </w:tcPr>
          <w:p>
            <w:pPr>
              <w:ind w:left="200"/>
              <w:spacing w:after="0"/>
              <w:rPr>
                <w:sz w:val="20"/>
                <w:szCs w:val="20"/>
                <w:color w:val="auto"/>
              </w:rPr>
            </w:pPr>
            <w:r>
              <w:rPr>
                <w:rFonts w:ascii="Arial" w:cs="Arial" w:eastAsia="Arial" w:hAnsi="Arial"/>
                <w:sz w:val="14"/>
                <w:szCs w:val="14"/>
                <w:color w:val="auto"/>
              </w:rPr>
              <w:t>assets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18.12%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18.12%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39.54%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7"/>
          <w:szCs w:val="7"/>
          <w:color w:val="auto"/>
        </w:rPr>
      </w:pPr>
      <w:r>
        <w:rPr>
          <w:rFonts w:ascii="Arial" w:cs="Arial" w:eastAsia="Arial" w:hAnsi="Arial"/>
          <w:sz w:val="11"/>
          <w:szCs w:val="11"/>
          <w:color w:val="auto"/>
        </w:rPr>
        <w:t>Includes loans held for sale and loans made under the SBA-PPP loan program.</w:t>
      </w:r>
    </w:p>
    <w:p>
      <w:pPr>
        <w:spacing w:after="0" w:line="3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33" w:right="339" w:bottom="1440" w:gutter="0" w:footer="0" w:header="0"/>
        </w:sectPr>
      </w:pPr>
    </w:p>
    <w:bookmarkStart w:id="68" w:name="page69"/>
    <w:bookmarkEnd w:id="68"/>
    <w:p>
      <w:pPr>
        <w:jc w:val="both"/>
        <w:ind w:firstLine="324"/>
        <w:spacing w:after="0" w:line="252"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most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20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June 30,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Earnings at Risk</w:t>
            </w:r>
          </w:p>
        </w:tc>
        <w:tc>
          <w:tcPr>
            <w:tcW w:w="1440" w:type="dxa"/>
            <w:vAlign w:val="bottom"/>
          </w:tcPr>
          <w:p>
            <w:pPr>
              <w:jc w:val="right"/>
              <w:ind w:right="428"/>
              <w:spacing w:after="0"/>
              <w:rPr>
                <w:sz w:val="20"/>
                <w:szCs w:val="20"/>
                <w:color w:val="auto"/>
              </w:rPr>
            </w:pPr>
            <w:r>
              <w:rPr>
                <w:rFonts w:ascii="Arial" w:cs="Arial" w:eastAsia="Arial" w:hAnsi="Arial"/>
                <w:sz w:val="14"/>
                <w:szCs w:val="14"/>
                <w:b w:val="1"/>
                <w:bCs w:val="1"/>
                <w:color w:val="auto"/>
              </w:rPr>
              <w:t>-200 bps</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-100 bps</w:t>
            </w:r>
          </w:p>
        </w:tc>
        <w:tc>
          <w:tcPr>
            <w:tcW w:w="1240" w:type="dxa"/>
            <w:vAlign w:val="bottom"/>
            <w:gridSpan w:val="2"/>
          </w:tcPr>
          <w:p>
            <w:pPr>
              <w:ind w:left="440"/>
              <w:spacing w:after="0"/>
              <w:rPr>
                <w:sz w:val="20"/>
                <w:szCs w:val="20"/>
                <w:color w:val="auto"/>
              </w:rPr>
            </w:pPr>
            <w:r>
              <w:rPr>
                <w:rFonts w:ascii="Arial" w:cs="Arial" w:eastAsia="Arial" w:hAnsi="Arial"/>
                <w:sz w:val="14"/>
                <w:szCs w:val="14"/>
                <w:b w:val="1"/>
                <w:bCs w:val="1"/>
                <w:color w:val="auto"/>
              </w:rPr>
              <w:t>Flat</w:t>
            </w: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+100 bps</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+200 bps</w:t>
            </w: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+300 bps</w:t>
            </w: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2"/>
        </w:trPr>
        <w:tc>
          <w:tcPr>
            <w:tcW w:w="2460" w:type="dxa"/>
            <w:vAlign w:val="bottom"/>
            <w:gridSpan w:val="2"/>
          </w:tcPr>
          <w:p>
            <w:pPr>
              <w:spacing w:after="0"/>
              <w:rPr>
                <w:sz w:val="20"/>
                <w:szCs w:val="20"/>
                <w:color w:val="auto"/>
              </w:rPr>
            </w:pPr>
            <w:r>
              <w:rPr>
                <w:rFonts w:ascii="Arial" w:cs="Arial" w:eastAsia="Arial" w:hAnsi="Arial"/>
                <w:sz w:val="14"/>
                <w:szCs w:val="14"/>
                <w:color w:val="auto"/>
              </w:rPr>
              <w:t>June 30, 2020</w:t>
            </w: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10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w:t>
            </w:r>
          </w:p>
        </w:tc>
      </w:tr>
    </w:tbl>
    <w:p>
      <w:pPr>
        <w:spacing w:after="0" w:line="2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results of our EVE analysis as of June 30,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Economic Value of Equity</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 bps</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Flat</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+100 bps</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 bps</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+300 bps</w:t>
            </w:r>
          </w:p>
        </w:tc>
      </w:tr>
      <w:tr>
        <w:trPr>
          <w:trHeight w:val="244"/>
        </w:trPr>
        <w:tc>
          <w:tcPr>
            <w:tcW w:w="2460" w:type="dxa"/>
            <w:vAlign w:val="bottom"/>
            <w:gridSpan w:val="2"/>
          </w:tcPr>
          <w:p>
            <w:pPr>
              <w:ind w:left="40"/>
              <w:spacing w:after="0"/>
              <w:rPr>
                <w:sz w:val="20"/>
                <w:szCs w:val="20"/>
                <w:color w:val="auto"/>
              </w:rPr>
            </w:pPr>
            <w:r>
              <w:rPr>
                <w:rFonts w:ascii="Arial" w:cs="Arial" w:eastAsia="Arial" w:hAnsi="Arial"/>
                <w:sz w:val="14"/>
                <w:szCs w:val="14"/>
                <w:color w:val="auto"/>
              </w:rPr>
              <w:t>June 30, 2020</w:t>
            </w:r>
          </w:p>
        </w:tc>
        <w:tc>
          <w:tcPr>
            <w:tcW w:w="1120" w:type="dxa"/>
            <w:vAlign w:val="bottom"/>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18.7%</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35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Securities Exchange Act of 1934, as amended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has been no change in the Company’s internal control over financial reporting (as such term is defined in Rule 13a-15(f) under the Exchange Act) during the fiscal quarter to which this report relates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From time to time, we are a party to various litigation matters incidental to the ordinary conduct of our business. We are not presently a party to any material legal proceedings.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section titled Risk Factors in Part I, Item 1A of our 2019 Form 10-K includes a discussion of the many risks and uncertainties we face, any one or more of which could have a material adverse effect on our business, results of operations, financial condition (including capital and liquidity), or prospects or the value of or return on an investment in the Company. The information presented below provides an update to, and should be read in conjunction with, the risk factors and other information contained in our 2019 Form 10-K.</w:t>
      </w:r>
    </w:p>
    <w:p>
      <w:pPr>
        <w:spacing w:after="0" w:line="18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The recent COVID-19 pandemic has led to periods of significant volatility in financial, commodities and other markets and could harm our business and results of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December 2019, COVID-19 was first reported in Wuhan, Hubei Province, China. Since then, COVID-19 infections have spread to additional countries including the United States. In March 2020, the World Health Organization declared COVID-19 to be a pandemic. Given the ongoing and dynamic nature of the circumstances, it is difficult to predict the impact of the coronavirus pandemic on our business, and there is no guarantee that our efforts to address or mitigate the adverse impacts of the coronavirus will be effective. The impact to date has included periods of significant volatility in financial, commodities and other markets. This volatility has had and, if it continues, could continue to have an adverse impact on our customers and on our business, financial condition and results of operations as well as our growth strategy.</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is dependent upon the willingness and ability of our customers to conduct banking and other financial transactions. The spread of COVID-19 has caused and could continue to cause severe disruptions in the U.S. economy at large, and has resulted and may continue to result in disruptions to our customers’ businesses, and a decrease in consumer confidence and business generally. In addition, recent actions by US federal, state and local governments to address the pandemic, including travel bans, stay-at-home orders and school, business and entertainment venue closures, have had and may continue to have a significant adverse effect on our customers and the markets in which we conduct our business. The extent of impacts resulting from the coronavirus pandemic and other events beyond our control will depend on future developments, which are highly uncertain and cannot be predicted, including new information which may emerge concerning the severity of the coronavirus pandemic and actions taken to contain the coronavirus or its impact, among others.</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Disruptions to our customers could result in increased risk of delinquencies, defaults, foreclosures and losses on our loans. The escalation of the pandemic may also negatively impact regional economic conditions for a period of time, resulting in declines in local loan demand, liquidity of loan guarantors, loan collateral (particularly in real estate), loan originations and deposit availability. If the global response to contain COVID-19 escalates or is unsuccessful, we could experience a material adverse effect on our business, financial condition, results of operations and cash flows.</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The spread of the COVID-19 outbreak and the governmental responses may disrupt banking and other financial activity in the areas in which we operate and could potentially create widespread business continuity issues for us.</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outbreak of COVID-19 and the U.S. federal, state and local governmental responses may result in a disruption in the services we provide. We rely on our third-party vendors to conduct business and to process, record, and monitor transactions. If any of these vendors are unable to continue to provide us with these</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33" w:right="339" w:bottom="1440" w:gutter="0" w:footer="0" w:header="0"/>
        </w:sectPr>
      </w:pPr>
    </w:p>
    <w:bookmarkStart w:id="71" w:name="page72"/>
    <w:bookmarkEnd w:id="71"/>
    <w:p>
      <w:pPr>
        <w:jc w:val="both"/>
        <w:spacing w:after="0" w:line="251" w:lineRule="auto"/>
        <w:rPr>
          <w:sz w:val="20"/>
          <w:szCs w:val="20"/>
          <w:color w:val="auto"/>
        </w:rPr>
      </w:pPr>
      <w:r>
        <w:rPr>
          <w:rFonts w:ascii="Arial" w:cs="Arial" w:eastAsia="Arial" w:hAnsi="Arial"/>
          <w:sz w:val="18"/>
          <w:szCs w:val="18"/>
          <w:color w:val="auto"/>
        </w:rPr>
        <w:t>services or experience interruptions in their ability to provide us with these services, it could negatively impact our ability to serve our customers. Furthermore, the coronavirus pandemic could negatively impact the ability of our employees and customers to engage in banking and other financial transactions in the geographic areas in which we operate and could create widespread business continuity issues for us. We also could be adversely affected if key personnel or a significant number of employees were to become unavailable due to infection, quarantine or other effects and restrictions of a COVID-19 outbreak in our market areas. Although we have business continuity plans and other safeguards in place, there is no assurance that such plans and safeguards will be effective. If we are unable to promptly recover from such business disruptions, our business and financial conditions and results of operations would be adversely affected. We also may incur additional costs to remedy damages caused by such disruptions, which could adversely affect our financial condition and results of operations.</w:t>
      </w:r>
    </w:p>
    <w:p>
      <w:pPr>
        <w:spacing w:after="0" w:line="19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Our participation in the SBA-PPP loan program exposes us to risks related to noncompliance with the SBA-PPP loan program, as well as litigation risk related to our administration of the SBA-PPP loan program, which could have a material adverse impact on our business, financial condition and results of operations.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Company is a participating lender in the SBA-PPP, a loan program administered through the SBA, that was created to help eligible businesses, organizations and self-employed persons fund their operational costs during the COVID-19 pandemic. Under this program, the SBA guarantees 100% of the amounts loaned under the SBA-PPP. The SBA-PPP opened on April 3, 2020; however, because of the short window between the passing of the CARES Act and the opening of the SBA-PPP, there is some ambiguity in the laws, rules and guidance regarding the operation of the SBA-PPP, which exposes the Company to risks relating to noncompliance with the SBA-PPP. For instance, other financial institutions have experienced litigation related to their process and procedures used in processing applications for the SBA-</w:t>
      </w:r>
    </w:p>
    <w:p>
      <w:pPr>
        <w:spacing w:after="0" w:line="2" w:lineRule="exact"/>
        <w:rPr>
          <w:sz w:val="20"/>
          <w:szCs w:val="20"/>
          <w:color w:val="auto"/>
        </w:rPr>
      </w:pPr>
    </w:p>
    <w:p>
      <w:pPr>
        <w:jc w:val="both"/>
        <w:ind w:firstLine="8"/>
        <w:spacing w:after="0" w:line="253" w:lineRule="auto"/>
        <w:tabs>
          <w:tab w:leader="none" w:pos="4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financial liability, litigation costs or reputational damage caused by SBA-PPP related litigation could have a material adverse impact on our business, financial condition and results of operations. In addition, the Company may be exposed to credit risk on SBA-PPP loans if a determination is made by the SBA that there is a deficiency in the manner in which the loan was originated, funded, or serviced. If a deficiency is identified, the SBA may deny its liability under the guaranty, reduce the amount of the guaranty, or, if it has already paid under the guaranty, seek recovery of any loss related to the deficiency from the Company.</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Interest rate volatility stemming from COVID-19 could negatively affect our net interest income, lending activities, deposits and profitability.</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net interest income, lending activities, deposits and profitability could be negatively affected by volatility in interest rates caused by uncertainties stemming from COVID-19. In March 2020, the Federal Reserve lowered the target range for the federal funds rate to a range from 0 to 0.25 percent, citing concerns about the impact of COVID-19 on markets and stress in the energy sector. A prolonged period of extremely volatile and unstable market conditions would likely increase our funding costs and negatively affect market risk mitigation strategies. Higher income volatility from changes in interest rates and spreads to benchmark indices could cause a loss of future net interest income and a decrease in current fair market values of our assets. Fluctuations in interest rates will impact both the level of income and expense recorded on most of our assets and liabilities and the market value of all interest-earning assets and interest-bearing liabilities, which in turn could have a material adverse effect on our net income, operating results, or financial condition.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 are subject to increasing credit risk as a result of the COVID-19 pandemic, which could adversely impact our profitability.</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depends on our ability to successfully measure and manage credit risk. As a commercial lender, we are exposed to the risk that the principal of, or interest on, a loan will not be paid timely or at all or that the value of any collateral supporting a loan will be insufficient to cover our outstanding exposure. In addition, we are exposed to risks with respect to the risks resulting from changes in economic and industry conditions and risks inherent in dealing with individual loans and borrowers. As the overall economic climate</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355" w:right="339" w:bottom="1440" w:gutter="0" w:footer="0" w:header="0"/>
        </w:sectPr>
      </w:pPr>
    </w:p>
    <w:bookmarkStart w:id="72" w:name="page73"/>
    <w:bookmarkEnd w:id="72"/>
    <w:p>
      <w:pPr>
        <w:jc w:val="both"/>
        <w:spacing w:after="0" w:line="252" w:lineRule="auto"/>
        <w:rPr>
          <w:sz w:val="20"/>
          <w:szCs w:val="20"/>
          <w:color w:val="auto"/>
        </w:rPr>
      </w:pPr>
      <w:r>
        <w:rPr>
          <w:rFonts w:ascii="Arial" w:cs="Arial" w:eastAsia="Arial" w:hAnsi="Arial"/>
          <w:sz w:val="18"/>
          <w:szCs w:val="18"/>
          <w:color w:val="auto"/>
        </w:rPr>
        <w:t>in the U.S., generally, and in our market areas specifically, experiences material disruption due to the COVID-19 pandemic, our borrowers may experience difficulties in repaying their loans and governmental actions may provide payment relief to borrowers affected by COVID-19 and preclude our ability to initiate foreclosure proceedings in certain circumstances and, as a result, the collateral we hold may decrease in value or become illiquid, and the level of our nonperforming loans, charge-offs and delinquencies could rise and require significant additional provisions for credit losses. Additional factors related to the credit quality of certain commercial real estate loans include the duration of state and local moratoriums on evictions for non-payment of rent or other fees. The payment on these loans that are secured by income producing properties are typically dependent on the successful operation of the related real estate property and may subject us to risks from adverse conditions in the real estate market or the general economy.</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actively working to support our borrowers to mitigate the impact of the COVID-19 pandemic on them and on our loan portfolio, including through loan modifications that defer payments for those who experienced a hardship as a result of the COVID-19 pandemic. Although recent regulatory guidance provides that such loan modifications are exempt from the calculation and reporting of TDRs and loan delinquencies, we cannot predict whether such loan modifications may ultimately have an adverse impact on our profitability in future periods. Our inability to successfully manage the increased credit risk caused by the COVID-19 pandemic could have a material adverse effect on our business, financial condition and results of operations.</w:t>
      </w:r>
    </w:p>
    <w:p>
      <w:pPr>
        <w:spacing w:after="0" w:line="18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Unpredictable future developments related to or resulting from the COVID-19 pandemic could materially and adversely affect our business and results of operations</w:t>
      </w:r>
      <w:r>
        <w:rPr>
          <w:rFonts w:ascii="Arial" w:cs="Arial" w:eastAsia="Arial" w:hAnsi="Arial"/>
          <w:sz w:val="18"/>
          <w:szCs w:val="18"/>
          <w:color w:val="auto"/>
        </w:rPr>
        <w:t>.</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Because there have been no comparable recent global pandemics that resulted in a similar global impact, we do not yet know the full extent of the COVID-19 pandemic’s effects on our business, operations, or the global economy as a whole. Any future development will be highly uncertain and cannot be predicted, including the scope and duration of the pandemic, the effectiveness of our work from home arrangements, third party providers’ ability to support our operation, and any actions taken by governmental authorities and other third parties in response to the pandemic. We are continuing to monitor the COVID-19 pandemic and related risks, although the rapid development and fluidity of the situation precludes any specific prediction as to its ultimate impact on us. However, if the pandemic continues to spread or otherwise results in a continuation or worsening of the current economic and commercial environments, our business, financial condition, results of operations and cash flows as well as our regulatory capital and liquidity ratios could be materially adversely affected and many of the risks described in our 2019 Form 10-K will be heightened.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April 25, 2019, the Company announced a stock repurchase program. The program enables the Company to repurchase up to $5.0 million of its outstanding common stock, and expires on December 31, 2020. During the year ended December 31, 2019 and the six months ended June 30, 2020, the Corporation repurchased shares under the stock repurchase program, as reflected in the following table.</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55"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Maximum Dollar Value of</w:t>
            </w:r>
          </w:p>
        </w:tc>
      </w:tr>
      <w:tr>
        <w:trPr>
          <w:trHeight w:val="162"/>
        </w:trPr>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500" w:type="dxa"/>
            <w:vAlign w:val="bottom"/>
          </w:tcPr>
          <w:p>
            <w:pPr>
              <w:spacing w:after="0"/>
              <w:rPr>
                <w:sz w:val="14"/>
                <w:szCs w:val="14"/>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 per</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 Plans</w:t>
            </w:r>
          </w:p>
        </w:tc>
        <w:tc>
          <w:tcPr>
            <w:tcW w:w="100" w:type="dxa"/>
            <w:vAlign w:val="bottom"/>
          </w:tcPr>
          <w:p>
            <w:pPr>
              <w:spacing w:after="0"/>
              <w:rPr>
                <w:sz w:val="14"/>
                <w:szCs w:val="14"/>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Purchased Under the Plans or</w:t>
            </w:r>
          </w:p>
        </w:tc>
      </w:tr>
      <w:tr>
        <w:trPr>
          <w:trHeight w:val="196"/>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Period</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or Programs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center"/>
              <w:ind w:right="88"/>
              <w:spacing w:after="0"/>
              <w:rPr>
                <w:sz w:val="20"/>
                <w:szCs w:val="20"/>
                <w:color w:val="auto"/>
              </w:rPr>
            </w:pPr>
            <w:r>
              <w:rPr>
                <w:rFonts w:ascii="Arial" w:cs="Arial" w:eastAsia="Arial" w:hAnsi="Arial"/>
                <w:sz w:val="14"/>
                <w:szCs w:val="14"/>
                <w:b w:val="1"/>
                <w:bCs w:val="1"/>
                <w:color w:val="auto"/>
              </w:rPr>
              <w:t>Programs</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Through December 31, 2019</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28,480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28,480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4,629,646</w:t>
            </w:r>
          </w:p>
        </w:tc>
      </w:tr>
      <w:tr>
        <w:trPr>
          <w:trHeight w:val="250"/>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 the three months ended March 31, 2020</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112,134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11.41</w:t>
            </w:r>
          </w:p>
        </w:tc>
        <w:tc>
          <w:tcPr>
            <w:tcW w:w="1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112,134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3,349,806</w:t>
            </w:r>
          </w:p>
        </w:tc>
      </w:tr>
      <w:tr>
        <w:trPr>
          <w:trHeight w:val="25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April 1, 2020 to April 30, 2020</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3,349,806</w:t>
            </w: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May 1, 2020 to May 31, 2020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22"/>
                <w:szCs w:val="22"/>
                <w:color w:val="auto"/>
              </w:rPr>
            </w:pP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tcPr>
          <w:p>
            <w:pPr>
              <w:jc w:val="right"/>
              <w:ind w:right="28"/>
              <w:spacing w:after="0"/>
              <w:rPr>
                <w:sz w:val="20"/>
                <w:szCs w:val="20"/>
                <w:color w:val="auto"/>
              </w:rPr>
            </w:pPr>
            <w:r>
              <w:rPr>
                <w:rFonts w:ascii="Arial" w:cs="Arial" w:eastAsia="Arial" w:hAnsi="Arial"/>
                <w:sz w:val="14"/>
                <w:szCs w:val="14"/>
                <w:color w:val="auto"/>
              </w:rPr>
              <w:t>3,335,691</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June 1, 2020 to June 30, 2020</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3,335,691</w:t>
            </w:r>
          </w:p>
        </w:tc>
      </w:tr>
      <w:tr>
        <w:trPr>
          <w:trHeight w:val="250"/>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 the three months ended June 30, 2020</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9.41</w:t>
            </w:r>
          </w:p>
        </w:tc>
        <w:tc>
          <w:tcPr>
            <w:tcW w:w="1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3,335,691</w:t>
            </w:r>
          </w:p>
        </w:tc>
      </w:tr>
      <w:tr>
        <w:trPr>
          <w:trHeight w:val="25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 the six months ended June 30, 2020</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113,634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11.39</w:t>
            </w:r>
          </w:p>
        </w:tc>
        <w:tc>
          <w:tcPr>
            <w:tcW w:w="100" w:type="dxa"/>
            <w:vAlign w:val="bottom"/>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113,634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3,335,691</w:t>
            </w:r>
          </w:p>
        </w:tc>
      </w:tr>
      <w:tr>
        <w:trPr>
          <w:trHeight w:val="243"/>
        </w:trPr>
        <w:tc>
          <w:tcPr>
            <w:tcW w:w="4500" w:type="dxa"/>
            <w:vAlign w:val="bottom"/>
          </w:tcPr>
          <w:p>
            <w:pPr>
              <w:ind w:left="40"/>
              <w:spacing w:after="0"/>
              <w:rPr>
                <w:sz w:val="20"/>
                <w:szCs w:val="20"/>
                <w:color w:val="auto"/>
              </w:rPr>
            </w:pPr>
            <w:r>
              <w:rPr>
                <w:rFonts w:ascii="Arial" w:cs="Arial" w:eastAsia="Arial" w:hAnsi="Arial"/>
                <w:sz w:val="14"/>
                <w:szCs w:val="14"/>
                <w:color w:val="auto"/>
              </w:rPr>
              <w:t>Total</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142,114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142,114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0"/>
        </w:trPr>
        <w:tc>
          <w:tcPr>
            <w:tcW w:w="4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50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Exhibit</w:t>
            </w:r>
          </w:p>
        </w:tc>
        <w:tc>
          <w:tcPr>
            <w:tcW w:w="9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0" w:type="dxa"/>
            <w:vAlign w:val="bottom"/>
          </w:tcPr>
          <w:p>
            <w:pPr>
              <w:jc w:val="right"/>
              <w:ind w:right="428"/>
              <w:spacing w:after="0"/>
              <w:rPr>
                <w:sz w:val="20"/>
                <w:szCs w:val="20"/>
                <w:color w:val="auto"/>
              </w:rPr>
            </w:pPr>
            <w:r>
              <w:rPr>
                <w:rFonts w:ascii="Arial" w:cs="Arial" w:eastAsia="Arial" w:hAnsi="Arial"/>
                <w:sz w:val="14"/>
                <w:szCs w:val="14"/>
                <w:b w:val="1"/>
                <w:bCs w:val="1"/>
                <w:color w:val="auto"/>
              </w:rPr>
              <w:t>Number</w:t>
            </w:r>
          </w:p>
        </w:tc>
        <w:tc>
          <w:tcPr>
            <w:tcW w:w="994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44"/>
        </w:trPr>
        <w:tc>
          <w:tcPr>
            <w:tcW w:w="1060" w:type="dxa"/>
            <w:vAlign w:val="bottom"/>
          </w:tcPr>
          <w:p>
            <w:pPr>
              <w:jc w:val="right"/>
              <w:ind w:right="368"/>
              <w:spacing w:after="0"/>
              <w:rPr>
                <w:sz w:val="20"/>
                <w:szCs w:val="20"/>
                <w:color w:val="auto"/>
              </w:rPr>
            </w:pPr>
            <w:r>
              <w:rPr>
                <w:rFonts w:ascii="Arial" w:cs="Arial" w:eastAsia="Arial" w:hAnsi="Arial"/>
                <w:sz w:val="14"/>
                <w:szCs w:val="14"/>
                <w:color w:val="auto"/>
              </w:rPr>
              <w:t>3.1</w:t>
            </w:r>
          </w:p>
        </w:tc>
        <w:tc>
          <w:tcPr>
            <w:tcW w:w="9940" w:type="dxa"/>
            <w:vAlign w:val="bottom"/>
          </w:tcPr>
          <w:p>
            <w:pPr>
              <w:ind w:left="40"/>
              <w:spacing w:after="0"/>
              <w:rPr>
                <w:sz w:val="20"/>
                <w:szCs w:val="20"/>
                <w:color w:val="auto"/>
              </w:rPr>
            </w:pPr>
            <w:r>
              <w:rPr>
                <w:rFonts w:ascii="Arial" w:cs="Arial" w:eastAsia="Arial" w:hAnsi="Arial"/>
                <w:sz w:val="14"/>
                <w:szCs w:val="14"/>
                <w:color w:val="auto"/>
              </w:rPr>
              <w:t>Amended and Restated Articles of Incorporation (incorporated by reference to Exhibit 3.1 to the Company’s Form S-1 filed on August 31, 2018).</w:t>
            </w:r>
          </w:p>
        </w:tc>
        <w:tc>
          <w:tcPr>
            <w:tcW w:w="0" w:type="dxa"/>
            <w:vAlign w:val="bottom"/>
          </w:tcPr>
          <w:p>
            <w:pPr>
              <w:spacing w:after="0"/>
              <w:rPr>
                <w:sz w:val="1"/>
                <w:szCs w:val="1"/>
                <w:color w:val="auto"/>
              </w:rPr>
            </w:pPr>
          </w:p>
        </w:tc>
      </w:tr>
      <w:tr>
        <w:trPr>
          <w:trHeight w:val="270"/>
        </w:trPr>
        <w:tc>
          <w:tcPr>
            <w:tcW w:w="1060" w:type="dxa"/>
            <w:vAlign w:val="bottom"/>
          </w:tcPr>
          <w:p>
            <w:pPr>
              <w:jc w:val="right"/>
              <w:ind w:right="368"/>
              <w:spacing w:after="0"/>
              <w:rPr>
                <w:sz w:val="20"/>
                <w:szCs w:val="20"/>
                <w:color w:val="auto"/>
              </w:rPr>
            </w:pPr>
            <w:r>
              <w:rPr>
                <w:rFonts w:ascii="Arial" w:cs="Arial" w:eastAsia="Arial" w:hAnsi="Arial"/>
                <w:sz w:val="14"/>
                <w:szCs w:val="14"/>
                <w:color w:val="auto"/>
              </w:rPr>
              <w:t>3.2</w:t>
            </w:r>
          </w:p>
        </w:tc>
        <w:tc>
          <w:tcPr>
            <w:tcW w:w="9940" w:type="dxa"/>
            <w:vAlign w:val="bottom"/>
          </w:tcPr>
          <w:p>
            <w:pPr>
              <w:ind w:left="40"/>
              <w:spacing w:after="0"/>
              <w:rPr>
                <w:sz w:val="20"/>
                <w:szCs w:val="20"/>
                <w:color w:val="auto"/>
              </w:rPr>
            </w:pPr>
            <w:r>
              <w:rPr>
                <w:rFonts w:ascii="Arial" w:cs="Arial" w:eastAsia="Arial" w:hAnsi="Arial"/>
                <w:sz w:val="14"/>
                <w:szCs w:val="14"/>
                <w:color w:val="auto"/>
              </w:rPr>
              <w:t>Amended and Restated Bylaws (incorporated by reference to Exhibit 3.2 to the Company’s Form S-1 filed on August 31, 2018).</w:t>
            </w:r>
          </w:p>
        </w:tc>
        <w:tc>
          <w:tcPr>
            <w:tcW w:w="0" w:type="dxa"/>
            <w:vAlign w:val="bottom"/>
          </w:tcPr>
          <w:p>
            <w:pPr>
              <w:spacing w:after="0"/>
              <w:rPr>
                <w:sz w:val="1"/>
                <w:szCs w:val="1"/>
                <w:color w:val="auto"/>
              </w:rPr>
            </w:pPr>
          </w:p>
        </w:tc>
      </w:tr>
      <w:tr>
        <w:trPr>
          <w:trHeight w:val="270"/>
        </w:trPr>
        <w:tc>
          <w:tcPr>
            <w:tcW w:w="1060" w:type="dxa"/>
            <w:vAlign w:val="bottom"/>
          </w:tcPr>
          <w:p>
            <w:pPr>
              <w:jc w:val="right"/>
              <w:ind w:right="368"/>
              <w:spacing w:after="0"/>
              <w:rPr>
                <w:sz w:val="20"/>
                <w:szCs w:val="20"/>
                <w:color w:val="auto"/>
              </w:rPr>
            </w:pPr>
            <w:r>
              <w:rPr>
                <w:rFonts w:ascii="Arial" w:cs="Arial" w:eastAsia="Arial" w:hAnsi="Arial"/>
                <w:sz w:val="14"/>
                <w:szCs w:val="14"/>
                <w:color w:val="auto"/>
              </w:rPr>
              <w:t>31.1</w:t>
            </w:r>
          </w:p>
        </w:tc>
        <w:tc>
          <w:tcPr>
            <w:tcW w:w="9940" w:type="dxa"/>
            <w:vAlign w:val="bottom"/>
          </w:tcPr>
          <w:p>
            <w:pPr>
              <w:ind w:left="40"/>
              <w:spacing w:after="0"/>
              <w:rPr>
                <w:rFonts w:ascii="Arial" w:cs="Arial" w:eastAsia="Arial" w:hAnsi="Arial"/>
                <w:sz w:val="14"/>
                <w:szCs w:val="14"/>
                <w:color w:val="0000FF"/>
              </w:rPr>
            </w:pPr>
            <w:hyperlink w:anchor="page77">
              <w:r>
                <w:rPr>
                  <w:rFonts w:ascii="Arial" w:cs="Arial" w:eastAsia="Arial" w:hAnsi="Arial"/>
                  <w:sz w:val="14"/>
                  <w:szCs w:val="14"/>
                  <w:u w:val="single" w:color="auto"/>
                  <w:color w:val="0000FF"/>
                </w:rPr>
                <w:t>Rule 13a-14(a) Certification of the Principal Executive Officer</w:t>
              </w:r>
              <w:r>
                <w:rPr>
                  <w:rFonts w:ascii="Arial" w:cs="Arial" w:eastAsia="Arial" w:hAnsi="Arial"/>
                  <w:sz w:val="14"/>
                  <w:szCs w:val="14"/>
                  <w:color w:val="0000FF"/>
                </w:rPr>
                <w:t>.</w:t>
              </w:r>
            </w:hyperlink>
          </w:p>
        </w:tc>
        <w:tc>
          <w:tcPr>
            <w:tcW w:w="0" w:type="dxa"/>
            <w:vAlign w:val="bottom"/>
          </w:tcPr>
          <w:p>
            <w:pPr>
              <w:spacing w:after="0"/>
              <w:rPr>
                <w:sz w:val="1"/>
                <w:szCs w:val="1"/>
                <w:color w:val="auto"/>
              </w:rPr>
            </w:pPr>
          </w:p>
        </w:tc>
      </w:tr>
      <w:tr>
        <w:trPr>
          <w:trHeight w:val="216"/>
        </w:trPr>
        <w:tc>
          <w:tcPr>
            <w:tcW w:w="1060" w:type="dxa"/>
            <w:vAlign w:val="bottom"/>
            <w:vMerge w:val="restart"/>
          </w:tcPr>
          <w:p>
            <w:pPr>
              <w:jc w:val="right"/>
              <w:ind w:right="368"/>
              <w:spacing w:after="0"/>
              <w:rPr>
                <w:sz w:val="20"/>
                <w:szCs w:val="20"/>
                <w:color w:val="auto"/>
              </w:rPr>
            </w:pPr>
            <w:r>
              <w:rPr>
                <w:rFonts w:ascii="Arial" w:cs="Arial" w:eastAsia="Arial" w:hAnsi="Arial"/>
                <w:sz w:val="14"/>
                <w:szCs w:val="14"/>
                <w:color w:val="auto"/>
              </w:rPr>
              <w:t>31.2</w:t>
            </w:r>
          </w:p>
        </w:tc>
        <w:tc>
          <w:tcPr>
            <w:tcW w:w="9940" w:type="dxa"/>
            <w:vAlign w:val="bottom"/>
          </w:tcPr>
          <w:p>
            <w:pPr>
              <w:ind w:left="40"/>
              <w:spacing w:after="0"/>
              <w:rPr>
                <w:rFonts w:ascii="Arial" w:cs="Arial" w:eastAsia="Arial" w:hAnsi="Arial"/>
                <w:sz w:val="14"/>
                <w:szCs w:val="14"/>
                <w:u w:val="single" w:color="auto"/>
                <w:color w:val="0000FF"/>
              </w:rPr>
            </w:pPr>
            <w:hyperlink w:anchor="page78">
              <w:r>
                <w:rPr>
                  <w:rFonts w:ascii="Arial" w:cs="Arial" w:eastAsia="Arial" w:hAnsi="Arial"/>
                  <w:sz w:val="14"/>
                  <w:szCs w:val="14"/>
                  <w:u w:val="single" w:color="auto"/>
                  <w:color w:val="0000FF"/>
                </w:rPr>
                <w:t>Rule 13a-14(a) Certification of the Principal Financial Officer.</w:t>
              </w:r>
            </w:hyperlink>
          </w:p>
        </w:tc>
        <w:tc>
          <w:tcPr>
            <w:tcW w:w="0" w:type="dxa"/>
            <w:vAlign w:val="bottom"/>
          </w:tcPr>
          <w:p>
            <w:pPr>
              <w:spacing w:after="0"/>
              <w:rPr>
                <w:sz w:val="1"/>
                <w:szCs w:val="1"/>
                <w:color w:val="auto"/>
              </w:rPr>
            </w:pPr>
          </w:p>
        </w:tc>
      </w:tr>
      <w:tr>
        <w:trPr>
          <w:trHeight w:val="162"/>
        </w:trPr>
        <w:tc>
          <w:tcPr>
            <w:tcW w:w="1060" w:type="dxa"/>
            <w:vAlign w:val="bottom"/>
            <w:vMerge w:val="continue"/>
          </w:tcPr>
          <w:p>
            <w:pPr>
              <w:spacing w:after="0"/>
              <w:rPr>
                <w:sz w:val="14"/>
                <w:szCs w:val="14"/>
                <w:color w:val="auto"/>
              </w:rPr>
            </w:pPr>
          </w:p>
        </w:tc>
        <w:tc>
          <w:tcPr>
            <w:tcW w:w="9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280" w:hanging="649"/>
        <w:spacing w:after="0"/>
        <w:tabs>
          <w:tab w:leader="none" w:pos="1280" w:val="left"/>
        </w:tabs>
        <w:numPr>
          <w:ilvl w:val="0"/>
          <w:numId w:val="20"/>
        </w:numPr>
        <w:rPr>
          <w:rFonts w:ascii="Arial" w:cs="Arial" w:eastAsia="Arial" w:hAnsi="Arial"/>
          <w:sz w:val="14"/>
          <w:szCs w:val="14"/>
          <w:u w:val="single" w:color="auto"/>
          <w:color w:val="0000FF"/>
        </w:rPr>
      </w:pPr>
      <w:hyperlink w:anchor="page79">
        <w:r>
          <w:rPr>
            <w:rFonts w:ascii="Arial" w:cs="Arial" w:eastAsia="Arial" w:hAnsi="Arial"/>
            <w:sz w:val="14"/>
            <w:szCs w:val="14"/>
            <w:u w:val="single" w:color="auto"/>
            <w:color w:val="0000FF"/>
          </w:rPr>
          <w:t>Section 1350 Certification of Chief Executive Officer and Chief Financial Officer.</w:t>
        </w:r>
      </w:hyperlink>
    </w:p>
    <w:p>
      <w:pPr>
        <w:spacing w:after="0" w:line="55" w:lineRule="exact"/>
        <w:rPr>
          <w:sz w:val="20"/>
          <w:szCs w:val="20"/>
          <w:color w:val="auto"/>
        </w:rPr>
      </w:pPr>
    </w:p>
    <w:p>
      <w:pPr>
        <w:ind w:left="1280" w:right="300" w:hanging="729"/>
        <w:spacing w:after="0" w:line="247" w:lineRule="auto"/>
        <w:tabs>
          <w:tab w:leader="none" w:pos="1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following materials from the Quarterly Report on Form 10-Q of Capital Bancorp, Inc. for the quarter ended June 30, 2020,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39"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480" w:type="dxa"/>
            <w:vAlign w:val="bottom"/>
          </w:tcPr>
          <w:p>
            <w:pPr>
              <w:jc w:val="right"/>
              <w:ind w:right="168"/>
              <w:spacing w:after="0"/>
              <w:rPr>
                <w:sz w:val="20"/>
                <w:szCs w:val="20"/>
                <w:color w:val="auto"/>
              </w:rPr>
            </w:pPr>
            <w:r>
              <w:rPr>
                <w:rFonts w:ascii="Arial" w:cs="Arial" w:eastAsia="Arial" w:hAnsi="Arial"/>
                <w:sz w:val="14"/>
                <w:szCs w:val="14"/>
                <w:color w:val="auto"/>
                <w:w w:val="94"/>
              </w:rPr>
              <w:t>104</w:t>
            </w:r>
          </w:p>
        </w:tc>
        <w:tc>
          <w:tcPr>
            <w:tcW w:w="5940" w:type="dxa"/>
            <w:vAlign w:val="bottom"/>
            <w:vMerge w:val="restart"/>
          </w:tcPr>
          <w:p>
            <w:pPr>
              <w:ind w:left="24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320" w:top="333" w:right="39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CAPITAL BANCORP, INC.</w:t>
            </w:r>
          </w:p>
        </w:tc>
        <w:tc>
          <w:tcPr>
            <w:tcW w:w="2960" w:type="dxa"/>
            <w:vAlign w:val="bottom"/>
          </w:tcPr>
          <w:p>
            <w:pPr>
              <w:spacing w:after="0"/>
              <w:rPr>
                <w:sz w:val="17"/>
                <w:szCs w:val="17"/>
                <w:color w:val="auto"/>
              </w:rPr>
            </w:pPr>
          </w:p>
        </w:tc>
      </w:tr>
      <w:tr>
        <w:trPr>
          <w:trHeight w:val="237"/>
        </w:trPr>
        <w:tc>
          <w:tcPr>
            <w:tcW w:w="2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Registrant</w:t>
            </w:r>
          </w:p>
        </w:tc>
      </w:tr>
      <w:tr>
        <w:trPr>
          <w:trHeight w:val="392"/>
        </w:trPr>
        <w:tc>
          <w:tcPr>
            <w:tcW w:w="2200" w:type="dxa"/>
            <w:vAlign w:val="bottom"/>
          </w:tcPr>
          <w:p>
            <w:pPr>
              <w:spacing w:after="0"/>
              <w:rPr>
                <w:sz w:val="20"/>
                <w:szCs w:val="20"/>
                <w:color w:val="auto"/>
              </w:rPr>
            </w:pPr>
            <w:r>
              <w:rPr>
                <w:rFonts w:ascii="Arial" w:cs="Arial" w:eastAsia="Arial" w:hAnsi="Arial"/>
                <w:sz w:val="18"/>
                <w:szCs w:val="18"/>
                <w:color w:val="auto"/>
              </w:rPr>
              <w:t>Date: August 10, 2020</w:t>
            </w: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 Barry</w:t>
            </w:r>
          </w:p>
        </w:tc>
        <w:tc>
          <w:tcPr>
            <w:tcW w:w="4780" w:type="dxa"/>
            <w:vAlign w:val="bottom"/>
            <w:gridSpan w:val="3"/>
          </w:tcPr>
          <w:p>
            <w:pPr>
              <w:spacing w:after="0"/>
              <w:rPr>
                <w:sz w:val="24"/>
                <w:szCs w:val="24"/>
                <w:color w:val="auto"/>
              </w:rPr>
            </w:pPr>
          </w:p>
        </w:tc>
      </w:tr>
      <w:tr>
        <w:trPr>
          <w:trHeight w:val="236"/>
        </w:trPr>
        <w:tc>
          <w:tcPr>
            <w:tcW w:w="2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Ed Barry</w:t>
            </w:r>
          </w:p>
        </w:tc>
      </w:tr>
      <w:tr>
        <w:trPr>
          <w:trHeight w:val="217"/>
        </w:trPr>
        <w:tc>
          <w:tcPr>
            <w:tcW w:w="2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391"/>
        </w:trPr>
        <w:tc>
          <w:tcPr>
            <w:tcW w:w="2200" w:type="dxa"/>
            <w:vAlign w:val="bottom"/>
          </w:tcPr>
          <w:p>
            <w:pPr>
              <w:spacing w:after="0"/>
              <w:rPr>
                <w:sz w:val="20"/>
                <w:szCs w:val="20"/>
                <w:color w:val="auto"/>
              </w:rPr>
            </w:pPr>
            <w:r>
              <w:rPr>
                <w:rFonts w:ascii="Arial" w:cs="Arial" w:eastAsia="Arial" w:hAnsi="Arial"/>
                <w:sz w:val="18"/>
                <w:szCs w:val="18"/>
                <w:color w:val="auto"/>
              </w:rPr>
              <w:t>Date: August 10, 2020</w:t>
            </w: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Alan W. Jackson</w:t>
            </w:r>
          </w:p>
        </w:tc>
        <w:tc>
          <w:tcPr>
            <w:tcW w:w="4360" w:type="dxa"/>
            <w:vAlign w:val="bottom"/>
            <w:gridSpan w:val="2"/>
          </w:tcPr>
          <w:p>
            <w:pPr>
              <w:spacing w:after="0"/>
              <w:rPr>
                <w:sz w:val="24"/>
                <w:szCs w:val="24"/>
                <w:color w:val="auto"/>
              </w:rPr>
            </w:pPr>
          </w:p>
        </w:tc>
      </w:tr>
      <w:tr>
        <w:trPr>
          <w:trHeight w:val="236"/>
        </w:trPr>
        <w:tc>
          <w:tcPr>
            <w:tcW w:w="2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rPr>
              <w:t>Alan W. Jackson</w:t>
            </w:r>
          </w:p>
        </w:tc>
      </w:tr>
      <w:tr>
        <w:trPr>
          <w:trHeight w:val="217"/>
        </w:trPr>
        <w:tc>
          <w:tcPr>
            <w:tcW w:w="2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80" w:type="dxa"/>
            <w:vAlign w:val="bottom"/>
            <w:gridSpan w:val="4"/>
          </w:tcPr>
          <w:p>
            <w:pPr>
              <w:spacing w:after="0"/>
              <w:rPr>
                <w:sz w:val="20"/>
                <w:szCs w:val="20"/>
                <w:color w:val="auto"/>
              </w:rPr>
            </w:pPr>
            <w:r>
              <w:rPr>
                <w:rFonts w:ascii="Arial" w:cs="Arial" w:eastAsia="Arial" w:hAnsi="Arial"/>
                <w:sz w:val="18"/>
                <w:szCs w:val="18"/>
                <w:color w:val="auto"/>
                <w:w w:val="99"/>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33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25"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25" w:lineRule="exact"/>
        <w:rPr>
          <w:rFonts w:ascii="Arial" w:cs="Arial" w:eastAsia="Arial" w:hAnsi="Arial"/>
          <w:sz w:val="18"/>
          <w:szCs w:val="18"/>
          <w:color w:val="auto"/>
        </w:rPr>
      </w:pPr>
    </w:p>
    <w:p>
      <w:pPr>
        <w:jc w:val="both"/>
        <w:ind w:firstLine="8"/>
        <w:spacing w:after="0" w:line="256" w:lineRule="auto"/>
        <w:tabs>
          <w:tab w:leader="none" w:pos="2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firstLine="8"/>
        <w:spacing w:after="0" w:line="261" w:lineRule="auto"/>
        <w:tabs>
          <w:tab w:leader="none" w:pos="2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2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8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7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right="20" w:firstLine="8"/>
        <w:spacing w:after="0" w:line="256" w:lineRule="auto"/>
        <w:tabs>
          <w:tab w:leader="none" w:pos="2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right="20" w:hanging="4"/>
        <w:spacing w:after="0" w:line="261" w:lineRule="auto"/>
        <w:tabs>
          <w:tab w:leader="none" w:pos="8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61" w:lineRule="auto"/>
        <w:tabs>
          <w:tab w:leader="none" w:pos="8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20"/>
                <w:szCs w:val="20"/>
                <w:color w:val="auto"/>
              </w:rPr>
            </w:pPr>
            <w:r>
              <w:rPr>
                <w:rFonts w:ascii="Arial" w:cs="Arial" w:eastAsia="Arial" w:hAnsi="Arial"/>
                <w:sz w:val="18"/>
                <w:szCs w:val="18"/>
                <w:color w:val="auto"/>
              </w:rPr>
              <w:t>Date:  August 10, 2020</w:t>
            </w:r>
          </w:p>
        </w:tc>
        <w:tc>
          <w:tcPr>
            <w:tcW w:w="2840" w:type="dxa"/>
            <w:vAlign w:val="bottom"/>
            <w:gridSpan w:val="3"/>
          </w:tcPr>
          <w:p>
            <w:pPr>
              <w:ind w:left="300"/>
              <w:spacing w:after="0"/>
              <w:rPr>
                <w:sz w:val="20"/>
                <w:szCs w:val="20"/>
                <w:color w:val="auto"/>
              </w:rPr>
            </w:pPr>
            <w:r>
              <w:rPr>
                <w:rFonts w:ascii="Arial" w:cs="Arial" w:eastAsia="Arial" w:hAnsi="Arial"/>
                <w:sz w:val="18"/>
                <w:szCs w:val="18"/>
                <w:color w:val="auto"/>
              </w:rPr>
              <w:t>By: /s/ Ed Barry</w:t>
            </w:r>
          </w:p>
        </w:tc>
      </w:tr>
      <w:tr>
        <w:trPr>
          <w:trHeight w:val="236"/>
        </w:trPr>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Ed Barry</w:t>
            </w:r>
          </w:p>
        </w:tc>
        <w:tc>
          <w:tcPr>
            <w:tcW w:w="880" w:type="dxa"/>
            <w:vAlign w:val="bottom"/>
          </w:tcPr>
          <w:p>
            <w:pPr>
              <w:spacing w:after="0"/>
              <w:rPr>
                <w:sz w:val="20"/>
                <w:szCs w:val="20"/>
                <w:color w:val="auto"/>
              </w:rPr>
            </w:pPr>
          </w:p>
        </w:tc>
      </w:tr>
      <w:tr>
        <w:trPr>
          <w:trHeight w:val="217"/>
        </w:trPr>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20" w:type="dxa"/>
            <w:vAlign w:val="bottom"/>
            <w:gridSpan w:val="2"/>
          </w:tcPr>
          <w:p>
            <w:pPr>
              <w:ind w:left="380"/>
              <w:spacing w:after="0"/>
              <w:rPr>
                <w:sz w:val="20"/>
                <w:szCs w:val="20"/>
                <w:color w:val="auto"/>
              </w:rPr>
            </w:pPr>
            <w:r>
              <w:rPr>
                <w:rFonts w:ascii="Arial" w:cs="Arial" w:eastAsia="Arial" w:hAnsi="Arial"/>
                <w:sz w:val="18"/>
                <w:szCs w:val="18"/>
                <w:color w:val="auto"/>
                <w:w w:val="99"/>
              </w:rPr>
              <w:t>Chief Executive Officer</w:t>
            </w:r>
          </w:p>
        </w:tc>
      </w:tr>
    </w:tbl>
    <w:p>
      <w:pPr>
        <w:sectPr>
          <w:pgSz w:w="11900" w:h="16838" w:orient="portrait"/>
          <w:cols w:equalWidth="0" w:num="1">
            <w:col w:w="11240"/>
          </w:cols>
          <w:pgMar w:left="320" w:top="54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25"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25" w:lineRule="exact"/>
        <w:rPr>
          <w:rFonts w:ascii="Arial" w:cs="Arial" w:eastAsia="Arial" w:hAnsi="Arial"/>
          <w:sz w:val="18"/>
          <w:szCs w:val="18"/>
          <w:color w:val="auto"/>
        </w:rPr>
      </w:pPr>
    </w:p>
    <w:p>
      <w:pPr>
        <w:jc w:val="both"/>
        <w:ind w:firstLine="8"/>
        <w:spacing w:after="0" w:line="256" w:lineRule="auto"/>
        <w:tabs>
          <w:tab w:leader="none" w:pos="2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firstLine="8"/>
        <w:spacing w:after="0" w:line="261" w:lineRule="auto"/>
        <w:tabs>
          <w:tab w:leader="none" w:pos="2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2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82"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7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right="20" w:firstLine="8"/>
        <w:spacing w:after="0" w:line="256" w:lineRule="auto"/>
        <w:tabs>
          <w:tab w:leader="none" w:pos="2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right="20" w:hanging="4"/>
        <w:spacing w:after="0" w:line="261" w:lineRule="auto"/>
        <w:tabs>
          <w:tab w:leader="none" w:pos="8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61" w:lineRule="auto"/>
        <w:tabs>
          <w:tab w:leader="none" w:pos="88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Arial" w:cs="Arial" w:eastAsia="Arial" w:hAnsi="Arial"/>
                <w:sz w:val="18"/>
                <w:szCs w:val="18"/>
                <w:color w:val="auto"/>
              </w:rPr>
              <w:t>Date: August 10, 2020</w:t>
            </w:r>
          </w:p>
        </w:tc>
        <w:tc>
          <w:tcPr>
            <w:tcW w:w="3460" w:type="dxa"/>
            <w:vAlign w:val="bottom"/>
            <w:gridSpan w:val="3"/>
          </w:tcPr>
          <w:p>
            <w:pPr>
              <w:ind w:left="400"/>
              <w:spacing w:after="0"/>
              <w:rPr>
                <w:sz w:val="20"/>
                <w:szCs w:val="20"/>
                <w:color w:val="auto"/>
              </w:rPr>
            </w:pPr>
            <w:r>
              <w:rPr>
                <w:rFonts w:ascii="Arial" w:cs="Arial" w:eastAsia="Arial" w:hAnsi="Arial"/>
                <w:sz w:val="18"/>
                <w:szCs w:val="18"/>
                <w:color w:val="auto"/>
              </w:rPr>
              <w:t>By: /s/ Alan W. Jackson</w:t>
            </w:r>
          </w:p>
        </w:tc>
      </w:tr>
      <w:tr>
        <w:trPr>
          <w:trHeight w:val="20"/>
        </w:trPr>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6"/>
        </w:trPr>
        <w:tc>
          <w:tcPr>
            <w:tcW w:w="2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60" w:type="dxa"/>
            <w:vAlign w:val="bottom"/>
            <w:gridSpan w:val="2"/>
          </w:tcPr>
          <w:p>
            <w:pPr>
              <w:ind w:left="1000"/>
              <w:spacing w:after="0"/>
              <w:rPr>
                <w:sz w:val="20"/>
                <w:szCs w:val="20"/>
                <w:color w:val="auto"/>
              </w:rPr>
            </w:pPr>
            <w:r>
              <w:rPr>
                <w:rFonts w:ascii="Arial" w:cs="Arial" w:eastAsia="Arial" w:hAnsi="Arial"/>
                <w:sz w:val="18"/>
                <w:szCs w:val="18"/>
                <w:color w:val="auto"/>
              </w:rPr>
              <w:t>Alan W. Jackson</w:t>
            </w:r>
          </w:p>
        </w:tc>
      </w:tr>
      <w:tr>
        <w:trPr>
          <w:trHeight w:val="217"/>
        </w:trPr>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60" w:type="dxa"/>
            <w:vAlign w:val="bottom"/>
            <w:gridSpan w:val="2"/>
          </w:tcPr>
          <w:p>
            <w:pPr>
              <w:ind w:left="1000"/>
              <w:spacing w:after="0"/>
              <w:rPr>
                <w:sz w:val="20"/>
                <w:szCs w:val="20"/>
                <w:color w:val="auto"/>
              </w:rPr>
            </w:pPr>
            <w:r>
              <w:rPr>
                <w:rFonts w:ascii="Arial" w:cs="Arial" w:eastAsia="Arial" w:hAnsi="Arial"/>
                <w:sz w:val="18"/>
                <w:szCs w:val="18"/>
                <w:color w:val="auto"/>
                <w:w w:val="98"/>
              </w:rPr>
              <w:t>Chief Financial Officer</w:t>
            </w:r>
          </w:p>
        </w:tc>
      </w:tr>
    </w:tbl>
    <w:p>
      <w:pPr>
        <w:sectPr>
          <w:pgSz w:w="11900" w:h="16838" w:orient="portrait"/>
          <w:cols w:equalWidth="0" w:num="1">
            <w:col w:w="11240"/>
          </w:cols>
          <w:pgMar w:left="320" w:top="549" w:right="339" w:bottom="1440" w:gutter="0" w:footer="0" w:header="0"/>
        </w:sectPr>
      </w:pPr>
    </w:p>
    <w:bookmarkStart w:id="78" w:name="page79"/>
    <w:bookmarkEnd w:id="78"/>
    <w:p>
      <w:pPr>
        <w:ind w:right="140"/>
        <w:spacing w:after="0" w:line="287"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June 30, 2020,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6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20"/>
                <w:szCs w:val="20"/>
                <w:color w:val="auto"/>
              </w:rPr>
            </w:pPr>
            <w:r>
              <w:rPr>
                <w:rFonts w:ascii="Arial" w:cs="Arial" w:eastAsia="Arial" w:hAnsi="Arial"/>
                <w:sz w:val="18"/>
                <w:szCs w:val="18"/>
                <w:color w:val="auto"/>
              </w:rPr>
              <w:t>Date:  August 10, 2020</w:t>
            </w:r>
          </w:p>
        </w:tc>
        <w:tc>
          <w:tcPr>
            <w:tcW w:w="3080" w:type="dxa"/>
            <w:vAlign w:val="bottom"/>
            <w:gridSpan w:val="4"/>
          </w:tcPr>
          <w:p>
            <w:pPr>
              <w:ind w:left="300"/>
              <w:spacing w:after="0"/>
              <w:rPr>
                <w:sz w:val="20"/>
                <w:szCs w:val="20"/>
                <w:color w:val="auto"/>
              </w:rPr>
            </w:pPr>
            <w:r>
              <w:rPr>
                <w:rFonts w:ascii="Arial" w:cs="Arial" w:eastAsia="Arial" w:hAnsi="Arial"/>
                <w:sz w:val="18"/>
                <w:szCs w:val="18"/>
                <w:color w:val="auto"/>
              </w:rPr>
              <w:t>By: /s/ Ed Barry</w:t>
            </w:r>
          </w:p>
        </w:tc>
      </w:tr>
      <w:tr>
        <w:trPr>
          <w:trHeight w:val="236"/>
        </w:trPr>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auto"/>
              </w:rPr>
              <w:t>Ed Barry</w:t>
            </w:r>
          </w:p>
        </w:tc>
        <w:tc>
          <w:tcPr>
            <w:tcW w:w="1120" w:type="dxa"/>
            <w:vAlign w:val="bottom"/>
          </w:tcPr>
          <w:p>
            <w:pPr>
              <w:spacing w:after="0"/>
              <w:rPr>
                <w:sz w:val="20"/>
                <w:szCs w:val="20"/>
                <w:color w:val="auto"/>
              </w:rPr>
            </w:pPr>
          </w:p>
        </w:tc>
      </w:tr>
      <w:tr>
        <w:trPr>
          <w:trHeight w:val="217"/>
        </w:trPr>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6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w:t>
            </w:r>
          </w:p>
        </w:tc>
      </w:tr>
      <w:tr>
        <w:trPr>
          <w:trHeight w:val="608"/>
        </w:trPr>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60" w:type="dxa"/>
            <w:vAlign w:val="bottom"/>
            <w:gridSpan w:val="3"/>
          </w:tcPr>
          <w:p>
            <w:pPr>
              <w:ind w:left="380"/>
              <w:spacing w:after="0"/>
              <w:rPr>
                <w:sz w:val="20"/>
                <w:szCs w:val="20"/>
                <w:color w:val="auto"/>
              </w:rPr>
            </w:pPr>
            <w:r>
              <w:rPr>
                <w:rFonts w:ascii="Arial" w:cs="Arial" w:eastAsia="Arial" w:hAnsi="Arial"/>
                <w:sz w:val="18"/>
                <w:szCs w:val="18"/>
                <w:color w:val="auto"/>
              </w:rPr>
              <w:t>By: /s/ Alan W. Jackson</w:t>
            </w: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r>
      <w:tr>
        <w:trPr>
          <w:trHeight w:val="236"/>
        </w:trPr>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60" w:type="dxa"/>
            <w:vAlign w:val="bottom"/>
            <w:gridSpan w:val="3"/>
          </w:tcPr>
          <w:p>
            <w:pPr>
              <w:ind w:left="380"/>
              <w:spacing w:after="0"/>
              <w:rPr>
                <w:sz w:val="20"/>
                <w:szCs w:val="20"/>
                <w:color w:val="auto"/>
              </w:rPr>
            </w:pPr>
            <w:r>
              <w:rPr>
                <w:rFonts w:ascii="Arial" w:cs="Arial" w:eastAsia="Arial" w:hAnsi="Arial"/>
                <w:sz w:val="18"/>
                <w:szCs w:val="18"/>
                <w:color w:val="auto"/>
              </w:rPr>
              <w:t>Alan W. Jackson</w:t>
            </w:r>
          </w:p>
        </w:tc>
      </w:tr>
      <w:tr>
        <w:trPr>
          <w:trHeight w:val="217"/>
        </w:trPr>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6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upperLetter"/>
      <w:start w:val="68"/>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2020-08-10T15:27:32Z</dcterms:created>
  <dcterms:modified xsi:type="dcterms:W3CDTF">2020-08-10T15:27:32Z</dcterms:modified>
</cp:coreProperties>
</file>