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60"/>
        <w:jc w:val="both"/>
        <w:rPr/>
      </w:pPr>
      <w:r>
        <w:rPr>
          <w:color w:val="000000"/>
        </w:rPr>
        <w:t xml:space="preserve">☒ </w:t>
      </w:r>
      <w:r>
        <w:rPr>
          <w:rFonts w:ascii="Arial;sans-serif" w:hAnsi="Arial;sans-serif"/>
          <w:b w:val="false"/>
          <w:color w:val="000000"/>
          <w:sz w:val="16"/>
        </w:rPr>
        <w:t>QUARTERLY REPORT PURSUANT TO SECTION 13 OR 15(d) OF THE SECURITIES EXCHANGE ACT OF 1934</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For the Quarterly Period ended September 30, 2023         OR</w:t>
      </w:r>
    </w:p>
    <w:p>
      <w:pPr>
        <w:pStyle w:val="TextBody"/>
        <w:bidi w:val="0"/>
        <w:spacing w:lineRule="auto" w:line="288" w:before="0" w:after="60"/>
        <w:jc w:val="both"/>
        <w:rPr/>
      </w:pPr>
      <w:r>
        <w:rPr>
          <w:color w:val="000000"/>
        </w:rPr>
        <w:t xml:space="preserve">☐ </w:t>
      </w:r>
      <w:r>
        <w:rPr>
          <w:rFonts w:ascii="Arial;sans-serif" w:hAnsi="Arial;sans-serif"/>
          <w:b w:val="false"/>
          <w:color w:val="000000"/>
          <w:sz w:val="16"/>
        </w:rPr>
        <w:t>TRANSITION REPORT PURSUANT TO SECTION 13 OR 15 (d) OF THE SECURITIES EXCHANGE ACT OF 1934</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For the Transition Period from to </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 xml:space="preserve">Commission file number 001-38671 </w:t>
      </w:r>
    </w:p>
    <w:p>
      <w:pPr>
        <w:pStyle w:val="TextBody"/>
        <w:bidi w:val="0"/>
        <w:spacing w:before="0" w:after="60"/>
        <w:jc w:val="center"/>
        <w:rPr/>
      </w:pPr>
      <w:r>
        <w:rPr/>
        <w:drawing>
          <wp:inline distT="0" distB="0" distL="0" distR="0">
            <wp:extent cx="32099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4381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CAPITAL BANCORP INC.</w:t>
      </w:r>
    </w:p>
    <w:p>
      <w:pPr>
        <w:pStyle w:val="TextBody"/>
        <w:bidi w:val="0"/>
        <w:spacing w:lineRule="auto" w:line="288" w:before="0" w:after="24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tbl>
      <w:tblPr>
        <w:tblW w:w="6515" w:type="dxa"/>
        <w:jc w:val="center"/>
        <w:tblInd w:w="0" w:type="dxa"/>
        <w:tblLayout w:type="fixed"/>
        <w:tblCellMar>
          <w:top w:w="28" w:type="dxa"/>
          <w:left w:w="28" w:type="dxa"/>
          <w:bottom w:w="28" w:type="dxa"/>
          <w:right w:w="28" w:type="dxa"/>
        </w:tblCellMar>
      </w:tblPr>
      <w:tblGrid>
        <w:gridCol w:w="855"/>
        <w:gridCol w:w="750"/>
        <w:gridCol w:w="750"/>
        <w:gridCol w:w="334"/>
        <w:gridCol w:w="334"/>
        <w:gridCol w:w="334"/>
        <w:gridCol w:w="334"/>
        <w:gridCol w:w="334"/>
        <w:gridCol w:w="334"/>
        <w:gridCol w:w="109"/>
        <w:gridCol w:w="109"/>
        <w:gridCol w:w="109"/>
        <w:gridCol w:w="534"/>
        <w:gridCol w:w="534"/>
        <w:gridCol w:w="761"/>
      </w:tblGrid>
      <w:tr>
        <w:trPr/>
        <w:tc>
          <w:tcPr>
            <w:tcW w:w="85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3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52-2083046</w:t>
            </w:r>
          </w:p>
        </w:tc>
      </w:tr>
      <w:tr>
        <w:trPr/>
        <w:tc>
          <w:tcPr>
            <w:tcW w:w="4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2275 Research Boulevard</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Suite 600</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Rockville</w:t>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10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20850</w:t>
            </w:r>
          </w:p>
        </w:tc>
      </w:tr>
      <w:tr>
        <w:trPr/>
        <w:tc>
          <w:tcPr>
            <w:tcW w:w="4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(Zip Code)</w:t>
            </w:r>
          </w:p>
        </w:tc>
      </w:tr>
    </w:tbl>
    <w:p>
      <w:pPr>
        <w:pStyle w:val="TextBody"/>
        <w:bidi w:val="0"/>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 xml:space="preserve">(301) 468-8848 </w:t>
      </w:r>
    </w:p>
    <w:p>
      <w:pPr>
        <w:pStyle w:val="TextBody"/>
        <w:bidi w:val="0"/>
        <w:spacing w:lineRule="auto" w:line="288" w:before="0" w:after="6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67" w:type="dxa"/>
        <w:jc w:val="center"/>
        <w:tblInd w:w="0" w:type="dxa"/>
        <w:tblLayout w:type="fixed"/>
        <w:tblCellMar>
          <w:top w:w="28" w:type="dxa"/>
          <w:left w:w="28" w:type="dxa"/>
          <w:bottom w:w="28" w:type="dxa"/>
          <w:right w:w="28" w:type="dxa"/>
        </w:tblCellMar>
      </w:tblPr>
      <w:tblGrid>
        <w:gridCol w:w="1162"/>
        <w:gridCol w:w="1017"/>
        <w:gridCol w:w="1030"/>
        <w:gridCol w:w="484"/>
        <w:gridCol w:w="484"/>
        <w:gridCol w:w="486"/>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CBNK</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Stock Market</w:t>
            </w:r>
          </w:p>
        </w:tc>
      </w:tr>
    </w:tbl>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820"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As of November 7, 2023, the Company had 13,894,419 shares of common stock,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tbl>
      <w:tblPr>
        <w:tblW w:w="5429" w:type="dxa"/>
        <w:jc w:val="left"/>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8"/>
              </w:rPr>
            </w:pPr>
            <w:r>
              <w:rPr>
                <w:rFonts w:ascii="Arial;sans-serif" w:hAnsi="Arial;sans-serif"/>
                <w:b/>
                <w:color w:val="000000"/>
                <w:sz w:val="28"/>
              </w:rPr>
              <w:t>Capital Bancorp, Inc. and Subsidiaries</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 10-Q</w:t>
            </w:r>
          </w:p>
        </w:tc>
      </w:tr>
      <w:tr>
        <w:trPr/>
        <w:tc>
          <w:tcPr>
            <w:tcW w:w="5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INDEX</w:t>
            </w:r>
          </w:p>
        </w:tc>
      </w:tr>
    </w:tbl>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47"/>
        <w:gridCol w:w="745"/>
        <w:gridCol w:w="745"/>
        <w:gridCol w:w="2423"/>
        <w:gridCol w:w="2416"/>
        <w:gridCol w:w="2440"/>
        <w:gridCol w:w="171"/>
        <w:gridCol w:w="171"/>
        <w:gridCol w:w="247"/>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 - CONSOLIDATED FINANCIAL INFORMATION</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Page</w:t>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Financial Statements (Unaudited)</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e8e1efb02459e9c9fd9058ba67145_19">
              <w:r>
                <w:rPr>
                  <w:rStyle w:val="InternetLink"/>
                  <w:rFonts w:ascii="Arial;sans-serif" w:hAnsi="Arial;sans-serif"/>
                  <w:b w:val="false"/>
                  <w:strike w:val="false"/>
                  <w:dstrike w:val="false"/>
                  <w:color w:val="000000"/>
                  <w:sz w:val="18"/>
                  <w:u w:val="none"/>
                  <w:effect w:val="none"/>
                </w:rPr>
                <w:t>Consolidated Balance Sheets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9">
              <w:r>
                <w:rPr>
                  <w:rStyle w:val="InternetLink"/>
                  <w:rFonts w:ascii="Arial;sans-serif" w:hAnsi="Arial;sans-serif"/>
                  <w:b w:val="false"/>
                  <w:color w:val="0000FF"/>
                  <w:sz w:val="18"/>
                  <w:u w:val="single"/>
                </w:rPr>
                <w:t>2</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e8e1efb02459e9c9fd9058ba67145_25">
              <w:r>
                <w:rPr>
                  <w:rStyle w:val="InternetLink"/>
                  <w:rFonts w:ascii="Arial;sans-serif" w:hAnsi="Arial;sans-serif"/>
                  <w:b w:val="false"/>
                  <w:strike w:val="false"/>
                  <w:dstrike w:val="false"/>
                  <w:color w:val="000000"/>
                  <w:sz w:val="18"/>
                  <w:u w:val="none"/>
                  <w:effect w:val="none"/>
                </w:rPr>
                <w:t>Consolidated Statements of Income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25">
              <w:r>
                <w:rPr>
                  <w:rStyle w:val="InternetLink"/>
                  <w:rFonts w:ascii="Arial;sans-serif" w:hAnsi="Arial;sans-serif"/>
                  <w:b w:val="false"/>
                  <w:color w:val="0000FF"/>
                  <w:sz w:val="18"/>
                  <w:u w:val="single"/>
                </w:rPr>
                <w:t>3</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e8e1efb02459e9c9fd9058ba67145_31">
              <w:r>
                <w:rPr>
                  <w:rStyle w:val="InternetLink"/>
                  <w:rFonts w:ascii="Arial;sans-serif" w:hAnsi="Arial;sans-serif"/>
                  <w:b w:val="false"/>
                  <w:strike w:val="false"/>
                  <w:dstrike w:val="false"/>
                  <w:color w:val="000000"/>
                  <w:sz w:val="18"/>
                  <w:u w:val="none"/>
                  <w:effect w:val="none"/>
                </w:rPr>
                <w:t>Consolidated Statements of Comprehensive Income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31">
              <w:r>
                <w:rPr>
                  <w:rStyle w:val="InternetLink"/>
                  <w:rFonts w:ascii="Arial;sans-serif" w:hAnsi="Arial;sans-serif"/>
                  <w:b w:val="false"/>
                  <w:color w:val="0000FF"/>
                  <w:sz w:val="18"/>
                  <w:u w:val="single"/>
                </w:rPr>
                <w:t>4</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e8e1efb02459e9c9fd9058ba67145_34">
              <w:r>
                <w:rPr>
                  <w:rStyle w:val="InternetLink"/>
                  <w:rFonts w:ascii="Arial;sans-serif" w:hAnsi="Arial;sans-serif"/>
                  <w:b w:val="false"/>
                  <w:strike w:val="false"/>
                  <w:dstrike w:val="false"/>
                  <w:color w:val="000000"/>
                  <w:sz w:val="18"/>
                  <w:u w:val="none"/>
                  <w:effect w:val="none"/>
                </w:rPr>
                <w:t>Consolidated Statements of Changes in Stockholders’ Equity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34">
              <w:r>
                <w:rPr>
                  <w:rStyle w:val="InternetLink"/>
                  <w:rFonts w:ascii="Arial;sans-serif" w:hAnsi="Arial;sans-serif"/>
                  <w:b w:val="false"/>
                  <w:color w:val="0000FF"/>
                  <w:sz w:val="18"/>
                  <w:u w:val="single"/>
                </w:rPr>
                <w:t>5</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e8e1efb02459e9c9fd9058ba67145_40">
              <w:r>
                <w:rPr>
                  <w:rStyle w:val="InternetLink"/>
                  <w:rFonts w:ascii="Arial;sans-serif" w:hAnsi="Arial;sans-serif"/>
                  <w:b w:val="false"/>
                  <w:strike w:val="false"/>
                  <w:dstrike w:val="false"/>
                  <w:color w:val="000000"/>
                  <w:sz w:val="18"/>
                  <w:u w:val="none"/>
                  <w:effect w:val="none"/>
                </w:rPr>
                <w:t>Consolidated Statements of Cash Flows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40">
              <w:r>
                <w:rPr>
                  <w:rStyle w:val="InternetLink"/>
                  <w:rFonts w:ascii="Arial;sans-serif" w:hAnsi="Arial;sans-serif"/>
                  <w:b w:val="false"/>
                  <w:color w:val="0000FF"/>
                  <w:sz w:val="18"/>
                  <w:u w:val="single"/>
                </w:rPr>
                <w:t>7</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8e8e1efb02459e9c9fd9058ba67145_43">
              <w:r>
                <w:rPr>
                  <w:rStyle w:val="InternetLink"/>
                  <w:rFonts w:ascii="Arial;sans-serif" w:hAnsi="Arial;sans-serif"/>
                  <w:b w:val="false"/>
                  <w:strike w:val="false"/>
                  <w:dstrike w:val="false"/>
                  <w:color w:val="000000"/>
                  <w:sz w:val="18"/>
                  <w:u w:val="none"/>
                  <w:effect w:val="none"/>
                </w:rPr>
                <w:t>Notes to Unaudited Consolidated Financial Statements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43">
              <w:r>
                <w:rPr>
                  <w:rStyle w:val="InternetLink"/>
                  <w:rFonts w:ascii="Arial;sans-serif" w:hAnsi="Arial;sans-serif"/>
                  <w:b w:val="false"/>
                  <w:color w:val="0000FF"/>
                  <w:sz w:val="18"/>
                  <w:u w:val="single"/>
                </w:rPr>
                <w:t>9</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Management’s Discussion and Analysis of Financial Condition and Results of Operations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00">
              <w:r>
                <w:rPr>
                  <w:rStyle w:val="InternetLink"/>
                  <w:rFonts w:ascii="Arial;sans-serif" w:hAnsi="Arial;sans-serif"/>
                  <w:b w:val="false"/>
                  <w:color w:val="0000FF"/>
                  <w:sz w:val="18"/>
                  <w:u w:val="single"/>
                </w:rPr>
                <w:t>40</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Quantitative and Qualitative Disclosures about Market Risk</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39">
              <w:r>
                <w:rPr>
                  <w:rStyle w:val="InternetLink"/>
                  <w:rFonts w:ascii="Arial;sans-serif" w:hAnsi="Arial;sans-serif"/>
                  <w:b w:val="false"/>
                  <w:color w:val="0000FF"/>
                  <w:sz w:val="18"/>
                  <w:u w:val="single"/>
                </w:rPr>
                <w:t>68</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Controls and Procedures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48">
              <w:r>
                <w:rPr>
                  <w:rStyle w:val="InternetLink"/>
                  <w:rFonts w:ascii="Arial;sans-serif" w:hAnsi="Arial;sans-serif"/>
                  <w:b w:val="false"/>
                  <w:color w:val="0000FF"/>
                  <w:sz w:val="18"/>
                  <w:u w:val="single"/>
                </w:rPr>
                <w:t>71</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 - OTHER INFORMATION</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Proceedings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54">
              <w:r>
                <w:rPr>
                  <w:rStyle w:val="InternetLink"/>
                  <w:rFonts w:ascii="Arial;sans-serif" w:hAnsi="Arial;sans-serif"/>
                  <w:b w:val="false"/>
                  <w:color w:val="0000FF"/>
                  <w:sz w:val="18"/>
                  <w:u w:val="single"/>
                </w:rPr>
                <w:t>72</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Factors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57">
              <w:r>
                <w:rPr>
                  <w:rStyle w:val="InternetLink"/>
                  <w:rFonts w:ascii="Arial;sans-serif" w:hAnsi="Arial;sans-serif"/>
                  <w:b w:val="false"/>
                  <w:color w:val="0000FF"/>
                  <w:sz w:val="18"/>
                  <w:u w:val="single"/>
                </w:rPr>
                <w:t>72</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Unregistered Sales of Equity Securities and Use of Proceeds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60">
              <w:r>
                <w:rPr>
                  <w:rStyle w:val="InternetLink"/>
                  <w:rFonts w:ascii="Arial;sans-serif" w:hAnsi="Arial;sans-serif"/>
                  <w:b w:val="false"/>
                  <w:color w:val="0000FF"/>
                  <w:sz w:val="18"/>
                  <w:u w:val="single"/>
                </w:rPr>
                <w:t>73</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Defaults upon Senior Securities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66">
              <w:r>
                <w:rPr>
                  <w:rStyle w:val="InternetLink"/>
                  <w:rFonts w:ascii="Arial;sans-serif" w:hAnsi="Arial;sans-serif"/>
                  <w:b w:val="false"/>
                  <w:color w:val="0000FF"/>
                  <w:sz w:val="18"/>
                  <w:u w:val="single"/>
                </w:rPr>
                <w:t>74</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69">
              <w:r>
                <w:rPr>
                  <w:rStyle w:val="InternetLink"/>
                  <w:rFonts w:ascii="Arial;sans-serif" w:hAnsi="Arial;sans-serif"/>
                  <w:b w:val="false"/>
                  <w:color w:val="0000FF"/>
                  <w:sz w:val="18"/>
                  <w:u w:val="single"/>
                </w:rPr>
                <w:t>74</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Information</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72">
              <w:r>
                <w:rPr>
                  <w:rStyle w:val="InternetLink"/>
                  <w:rFonts w:ascii="Arial;sans-serif" w:hAnsi="Arial;sans-serif"/>
                  <w:b w:val="false"/>
                  <w:color w:val="0000FF"/>
                  <w:sz w:val="18"/>
                  <w:u w:val="single"/>
                </w:rPr>
                <w:t>74</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8e8e1efb02459e9c9fd9058ba67145_175">
              <w:r>
                <w:rPr>
                  <w:rStyle w:val="InternetLink"/>
                  <w:rFonts w:ascii="Arial;sans-serif" w:hAnsi="Arial;sans-serif"/>
                  <w:b w:val="false"/>
                  <w:color w:val="0000FF"/>
                  <w:sz w:val="18"/>
                  <w:u w:val="single"/>
                </w:rPr>
                <w:t>74</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 I. CONSOLIDATED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376"/>
        <w:gridCol w:w="1898"/>
        <w:gridCol w:w="1855"/>
        <w:gridCol w:w="291"/>
        <w:gridCol w:w="1318"/>
        <w:gridCol w:w="162"/>
        <w:gridCol w:w="162"/>
        <w:gridCol w:w="162"/>
        <w:gridCol w:w="162"/>
        <w:gridCol w:w="291"/>
        <w:gridCol w:w="1296"/>
        <w:gridCol w:w="232"/>
      </w:tblGrid>
      <w:tr>
        <w:trPr/>
        <w:tc>
          <w:tcPr>
            <w:tcW w:w="237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Balance Sheets </w:t>
            </w:r>
            <w:r>
              <w:rPr>
                <w:rFonts w:ascii="Arial;sans-serif" w:hAnsi="Arial;sans-serif"/>
                <w:b/>
                <w:i/>
                <w:color w:val="000000"/>
                <w:sz w:val="16"/>
              </w:rPr>
              <w:t>(unaudited)</w:t>
            </w:r>
          </w:p>
          <w:p>
            <w:pPr>
              <w:pStyle w:val="TableContents"/>
              <w:bidi w:val="0"/>
              <w:spacing w:before="0" w:after="0"/>
              <w:jc w:val="left"/>
              <w:rPr/>
            </w:pPr>
            <w:r>
              <w:rPr/>
            </w:r>
          </w:p>
        </w:tc>
      </w:tr>
      <w:tr>
        <w:trPr/>
        <w:tc>
          <w:tcPr>
            <w:tcW w:w="6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data)</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2022</w:t>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13,767</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130,428</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146,152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206,055</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4,843</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Small Business Administration (“SBA”) Payroll Protection Program (“PPP”) loans receivable, net of fees and costs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 of deferred fees and costs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1,861,929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1,728,592 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allowance for credit losses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(28,279)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held for investment, net</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1,833,650</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1,702,207 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Premises and equipment, net</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5,297</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11,231</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612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37,315</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9,207</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assets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2,272,484</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2,123,655 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680,803</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1,287,185</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1,083,759 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deposits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1,967,988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1,758,072 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612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22,000</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borrowed funds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12,062</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payable</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22,352</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2,029,606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1,899,640 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Common stock, $.01 par value; 49,000,000 shares authorized;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13,896,062 issued and outstanding at September 30, 2023;</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14,138,829 issued and outstanding at December 31, 2022</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54,549</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58,190 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206,033</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242,878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224,015 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2,272,484</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2,123,655 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26135"/>
                <wp:effectExtent l="0" t="0" r="0" b="0"/>
                <wp:wrapNone/>
                <wp:docPr id="4" name="Frame3"/>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Income </w:t>
            </w:r>
            <w:r>
              <w:rPr>
                <w:rFonts w:ascii="Arial;sans-serif" w:hAnsi="Arial;sans-serif"/>
                <w:b/>
                <w:i/>
                <w:color w:val="000000"/>
                <w:sz w:val="16"/>
              </w:rPr>
              <w:t>(unaudited)</w:t>
            </w:r>
          </w:p>
          <w:p>
            <w:pPr>
              <w:pStyle w:val="TableContents"/>
              <w:bidi w:val="0"/>
              <w:spacing w:before="0" w:after="0"/>
              <w:jc w:val="left"/>
              <w:rPr/>
            </w:pPr>
            <w:r>
              <w:rPr/>
            </w:r>
          </w:p>
        </w:tc>
      </w:tr>
    </w:tbl>
    <w:tbl>
      <w:tblPr>
        <w:tblW w:w="9520" w:type="dxa"/>
        <w:jc w:val="center"/>
        <w:tblInd w:w="0" w:type="dxa"/>
        <w:tblLayout w:type="fixed"/>
        <w:tblCellMar>
          <w:top w:w="28" w:type="dxa"/>
          <w:left w:w="28" w:type="dxa"/>
          <w:bottom w:w="28" w:type="dxa"/>
          <w:right w:w="28" w:type="dxa"/>
        </w:tblCellMar>
      </w:tblPr>
      <w:tblGrid>
        <w:gridCol w:w="1513"/>
        <w:gridCol w:w="1332"/>
        <w:gridCol w:w="1339"/>
        <w:gridCol w:w="223"/>
        <w:gridCol w:w="753"/>
        <w:gridCol w:w="109"/>
        <w:gridCol w:w="109"/>
        <w:gridCol w:w="109"/>
        <w:gridCol w:w="109"/>
        <w:gridCol w:w="223"/>
        <w:gridCol w:w="738"/>
        <w:gridCol w:w="109"/>
        <w:gridCol w:w="109"/>
        <w:gridCol w:w="109"/>
        <w:gridCol w:w="109"/>
        <w:gridCol w:w="202"/>
        <w:gridCol w:w="774"/>
        <w:gridCol w:w="109"/>
        <w:gridCol w:w="109"/>
        <w:gridCol w:w="109"/>
        <w:gridCol w:w="109"/>
        <w:gridCol w:w="202"/>
        <w:gridCol w:w="759"/>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w:t>
              <w:br/>
              <w:t>September 30,</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data)</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income</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including fees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136,237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expense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 for credit losses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 expenses (income),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13,932,848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14,038,230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14,008,885 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14,023,906</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14,374,980 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14,111,887</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14,328,602 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26135"/>
                <wp:effectExtent l="0" t="0" r="0" b="0"/>
                <wp:wrapNone/>
                <wp:docPr id="5" name="Frame4"/>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Comprehensive Income </w:t>
            </w:r>
            <w:r>
              <w:rPr>
                <w:rFonts w:ascii="Arial;sans-serif" w:hAnsi="Arial;sans-serif"/>
                <w:b/>
                <w:i/>
                <w:color w:val="000000"/>
                <w:sz w:val="16"/>
              </w:rPr>
              <w:t>(unaudited)</w:t>
            </w:r>
          </w:p>
          <w:p>
            <w:pPr>
              <w:pStyle w:val="TableContents"/>
              <w:bidi w:val="0"/>
              <w:spacing w:before="0" w:after="0"/>
              <w:jc w:val="left"/>
              <w:rPr/>
            </w:pPr>
            <w:r>
              <w:rPr/>
            </w:r>
          </w:p>
        </w:tc>
      </w:tr>
    </w:tbl>
    <w:tbl>
      <w:tblPr>
        <w:tblW w:w="9614" w:type="dxa"/>
        <w:jc w:val="center"/>
        <w:tblInd w:w="0" w:type="dxa"/>
        <w:tblLayout w:type="fixed"/>
        <w:tblCellMar>
          <w:top w:w="28" w:type="dxa"/>
          <w:left w:w="28" w:type="dxa"/>
          <w:bottom w:w="28" w:type="dxa"/>
          <w:right w:w="28" w:type="dxa"/>
        </w:tblCellMar>
      </w:tblPr>
      <w:tblGrid>
        <w:gridCol w:w="1953"/>
        <w:gridCol w:w="1584"/>
        <w:gridCol w:w="1307"/>
        <w:gridCol w:w="196"/>
        <w:gridCol w:w="571"/>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54"/>
      </w:tblGrid>
      <w:tr>
        <w:trPr/>
        <w:tc>
          <w:tcPr>
            <w:tcW w:w="195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w:t>
              <w:br/>
              <w:t>September 30,</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investment securities available for sale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relating to the items above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6135"/>
                <wp:effectExtent l="0" t="0" r="0" b="0"/>
                <wp:wrapNone/>
                <wp:docPr id="6" name="Frame5"/>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999" w:type="dxa"/>
        <w:jc w:val="center"/>
        <w:tblInd w:w="0" w:type="dxa"/>
        <w:tblLayout w:type="fixed"/>
        <w:tblCellMar>
          <w:top w:w="28" w:type="dxa"/>
          <w:left w:w="28" w:type="dxa"/>
          <w:bottom w:w="28" w:type="dxa"/>
          <w:right w:w="28" w:type="dxa"/>
        </w:tblCellMar>
      </w:tblPr>
      <w:tblGrid>
        <w:gridCol w:w="1919"/>
        <w:gridCol w:w="1688"/>
        <w:gridCol w:w="2392"/>
      </w:tblGrid>
      <w:tr>
        <w:trPr/>
        <w:tc>
          <w:tcPr>
            <w:tcW w:w="191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Changes in Stockholders’ Equity </w:t>
            </w:r>
            <w:r>
              <w:rPr>
                <w:rFonts w:ascii="Arial;sans-serif" w:hAnsi="Arial;sans-serif"/>
                <w:b/>
                <w:i/>
                <w:color w:val="000000"/>
                <w:sz w:val="16"/>
              </w:rPr>
              <w:t>(unaudited)</w:t>
            </w:r>
          </w:p>
          <w:p>
            <w:pPr>
              <w:pStyle w:val="TableContents"/>
              <w:bidi w:val="0"/>
              <w:spacing w:before="0" w:after="0"/>
              <w:jc w:val="left"/>
              <w:rPr/>
            </w:pPr>
            <w:r>
              <w:rPr/>
            </w:r>
          </w:p>
        </w:tc>
      </w:tr>
    </w:tbl>
    <w:tbl>
      <w:tblPr>
        <w:tblW w:w="10205" w:type="dxa"/>
        <w:jc w:val="center"/>
        <w:tblInd w:w="0" w:type="dxa"/>
        <w:tblLayout w:type="fixed"/>
        <w:tblCellMar>
          <w:top w:w="28" w:type="dxa"/>
          <w:left w:w="28" w:type="dxa"/>
          <w:bottom w:w="28" w:type="dxa"/>
          <w:right w:w="28" w:type="dxa"/>
        </w:tblCellMar>
      </w:tblPr>
      <w:tblGrid>
        <w:gridCol w:w="1021"/>
        <w:gridCol w:w="544"/>
        <w:gridCol w:w="546"/>
        <w:gridCol w:w="488"/>
        <w:gridCol w:w="488"/>
        <w:gridCol w:w="186"/>
        <w:gridCol w:w="109"/>
        <w:gridCol w:w="109"/>
        <w:gridCol w:w="109"/>
        <w:gridCol w:w="196"/>
        <w:gridCol w:w="436"/>
        <w:gridCol w:w="109"/>
        <w:gridCol w:w="109"/>
        <w:gridCol w:w="109"/>
        <w:gridCol w:w="109"/>
        <w:gridCol w:w="196"/>
        <w:gridCol w:w="661"/>
        <w:gridCol w:w="109"/>
        <w:gridCol w:w="109"/>
        <w:gridCol w:w="109"/>
        <w:gridCol w:w="109"/>
        <w:gridCol w:w="196"/>
        <w:gridCol w:w="751"/>
        <w:gridCol w:w="109"/>
        <w:gridCol w:w="109"/>
        <w:gridCol w:w="109"/>
        <w:gridCol w:w="109"/>
        <w:gridCol w:w="289"/>
        <w:gridCol w:w="978"/>
        <w:gridCol w:w="163"/>
        <w:gridCol w:w="109"/>
        <w:gridCol w:w="109"/>
        <w:gridCol w:w="109"/>
        <w:gridCol w:w="196"/>
        <w:gridCol w:w="751"/>
        <w:gridCol w:w="157"/>
      </w:tblGrid>
      <w:tr>
        <w:trPr/>
        <w:tc>
          <w:tcPr>
            <w:tcW w:w="102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13,962,334</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54,306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144,533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197,903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10,211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 for 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($0.05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14,000,520</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55,226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153,949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(7,823)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201,492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 for sale, net of income taxes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($0.05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14,010,158</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(13,336)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207,316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11,095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 for 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($0.06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14,038,599</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174,916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(17,583)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214,005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6135"/>
                <wp:effectExtent l="0" t="0" r="0" b="0"/>
                <wp:wrapNone/>
                <wp:docPr id="7" name="Frame6"/>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999" w:type="dxa"/>
        <w:jc w:val="center"/>
        <w:tblInd w:w="0" w:type="dxa"/>
        <w:tblLayout w:type="fixed"/>
        <w:tblCellMar>
          <w:top w:w="28" w:type="dxa"/>
          <w:left w:w="28" w:type="dxa"/>
          <w:bottom w:w="28" w:type="dxa"/>
          <w:right w:w="28" w:type="dxa"/>
        </w:tblCellMar>
      </w:tblPr>
      <w:tblGrid>
        <w:gridCol w:w="1919"/>
        <w:gridCol w:w="1688"/>
        <w:gridCol w:w="2392"/>
      </w:tblGrid>
      <w:tr>
        <w:trPr/>
        <w:tc>
          <w:tcPr>
            <w:tcW w:w="191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Changes in Stockholders’ Equity </w:t>
            </w:r>
            <w:r>
              <w:rPr>
                <w:rFonts w:ascii="Arial;sans-serif" w:hAnsi="Arial;sans-serif"/>
                <w:b/>
                <w:i/>
                <w:color w:val="000000"/>
                <w:sz w:val="16"/>
              </w:rPr>
              <w:t>(unaudited)</w:t>
            </w:r>
          </w:p>
          <w:p>
            <w:pPr>
              <w:pStyle w:val="TableContents"/>
              <w:bidi w:val="0"/>
              <w:spacing w:before="0" w:after="0"/>
              <w:jc w:val="left"/>
              <w:rPr/>
            </w:pPr>
            <w:r>
              <w:rPr/>
            </w:r>
          </w:p>
        </w:tc>
      </w:tr>
    </w:tbl>
    <w:tbl>
      <w:tblPr>
        <w:tblW w:w="10205" w:type="dxa"/>
        <w:jc w:val="center"/>
        <w:tblInd w:w="0" w:type="dxa"/>
        <w:tblLayout w:type="fixed"/>
        <w:tblCellMar>
          <w:top w:w="28" w:type="dxa"/>
          <w:left w:w="28" w:type="dxa"/>
          <w:bottom w:w="28" w:type="dxa"/>
          <w:right w:w="28" w:type="dxa"/>
        </w:tblCellMar>
      </w:tblPr>
      <w:tblGrid>
        <w:gridCol w:w="1021"/>
        <w:gridCol w:w="544"/>
        <w:gridCol w:w="546"/>
        <w:gridCol w:w="488"/>
        <w:gridCol w:w="488"/>
        <w:gridCol w:w="186"/>
        <w:gridCol w:w="109"/>
        <w:gridCol w:w="109"/>
        <w:gridCol w:w="109"/>
        <w:gridCol w:w="196"/>
        <w:gridCol w:w="436"/>
        <w:gridCol w:w="109"/>
        <w:gridCol w:w="109"/>
        <w:gridCol w:w="109"/>
        <w:gridCol w:w="109"/>
        <w:gridCol w:w="196"/>
        <w:gridCol w:w="661"/>
        <w:gridCol w:w="109"/>
        <w:gridCol w:w="109"/>
        <w:gridCol w:w="109"/>
        <w:gridCol w:w="109"/>
        <w:gridCol w:w="196"/>
        <w:gridCol w:w="751"/>
        <w:gridCol w:w="109"/>
        <w:gridCol w:w="109"/>
        <w:gridCol w:w="109"/>
        <w:gridCol w:w="109"/>
        <w:gridCol w:w="289"/>
        <w:gridCol w:w="978"/>
        <w:gridCol w:w="163"/>
        <w:gridCol w:w="109"/>
        <w:gridCol w:w="109"/>
        <w:gridCol w:w="109"/>
        <w:gridCol w:w="196"/>
        <w:gridCol w:w="751"/>
        <w:gridCol w:w="157"/>
      </w:tblGrid>
      <w:tr>
        <w:trPr/>
        <w:tc>
          <w:tcPr>
            <w:tcW w:w="102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14,138,829</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(16,751)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224,015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effect adjustment due to adoption of the CECL standard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9,735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investment securities available for sale, net of income taxes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($0.06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(146,937)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14,083,037</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57,277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191,058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(13,959)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234,517</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 for sale, net of income taxes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($0.06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(138,407)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13,981,414</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197,490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(16,051)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237,435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 for sale, net of income taxes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($0.08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13,893,083</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54,549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206,033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(17,843)</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242,878</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11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6135"/>
                <wp:effectExtent l="0" t="0" r="0" b="0"/>
                <wp:wrapNone/>
                <wp:docPr id="8" name="Frame7"/>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100" w:after="240"/>
        <w:jc w:val="center"/>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p>
        </w:tc>
      </w:tr>
    </w:tbl>
    <w:tbl>
      <w:tblPr>
        <w:tblW w:w="9083" w:type="dxa"/>
        <w:jc w:val="center"/>
        <w:tblInd w:w="0" w:type="dxa"/>
        <w:tblLayout w:type="fixed"/>
        <w:tblCellMar>
          <w:top w:w="28" w:type="dxa"/>
          <w:left w:w="28" w:type="dxa"/>
          <w:bottom w:w="28" w:type="dxa"/>
          <w:right w:w="28" w:type="dxa"/>
        </w:tblCellMar>
      </w:tblPr>
      <w:tblGrid>
        <w:gridCol w:w="2387"/>
        <w:gridCol w:w="2103"/>
        <w:gridCol w:w="2124"/>
        <w:gridCol w:w="211"/>
        <w:gridCol w:w="736"/>
        <w:gridCol w:w="109"/>
        <w:gridCol w:w="109"/>
        <w:gridCol w:w="109"/>
        <w:gridCol w:w="109"/>
        <w:gridCol w:w="211"/>
        <w:gridCol w:w="721"/>
        <w:gridCol w:w="154"/>
      </w:tblGrid>
      <w:tr>
        <w:trPr/>
        <w:tc>
          <w:tcPr>
            <w:tcW w:w="238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mortgage put-back reserve,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amortization on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asset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surrender value of BOLI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long-term incentive plan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 and employee compensation paid in Company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(benefit)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marketable equity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decrease on derivatives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foreclosed real estate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valuation of loans held for sale carried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loans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Originations of loans held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accrued interest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taxes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accrued interest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41,225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securities available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calls and paydowns of securities available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(purchases) of restricted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SBA-PPP loans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portfolio loans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(139,049)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purchases of premises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foreclosed real estate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6135"/>
                <wp:effectExtent l="0" t="0" r="0" b="0"/>
                <wp:wrapNone/>
                <wp:docPr id="9" name="Frame8"/>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100" w:after="240"/>
        <w:jc w:val="center"/>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r>
              <w:rPr>
                <w:color w:val="000000"/>
              </w:rPr>
              <w:t xml:space="preserve"> </w:t>
            </w:r>
            <w:r>
              <w:rPr>
                <w:rFonts w:ascii="Arial;sans-serif" w:hAnsi="Arial;sans-serif"/>
                <w:b/>
                <w:color w:val="000000"/>
                <w:sz w:val="16"/>
              </w:rPr>
              <w:t>(Continued)</w:t>
            </w:r>
          </w:p>
        </w:tc>
      </w:tr>
    </w:tbl>
    <w:tbl>
      <w:tblPr>
        <w:tblW w:w="7358" w:type="dxa"/>
        <w:jc w:val="center"/>
        <w:tblInd w:w="0" w:type="dxa"/>
        <w:tblLayout w:type="fixed"/>
        <w:tblCellMar>
          <w:top w:w="28" w:type="dxa"/>
          <w:left w:w="28" w:type="dxa"/>
          <w:bottom w:w="28" w:type="dxa"/>
          <w:right w:w="28" w:type="dxa"/>
        </w:tblCellMar>
      </w:tblPr>
      <w:tblGrid>
        <w:gridCol w:w="1701"/>
        <w:gridCol w:w="1499"/>
        <w:gridCol w:w="1509"/>
        <w:gridCol w:w="211"/>
        <w:gridCol w:w="841"/>
        <w:gridCol w:w="109"/>
        <w:gridCol w:w="109"/>
        <w:gridCol w:w="109"/>
        <w:gridCol w:w="109"/>
        <w:gridCol w:w="211"/>
        <w:gridCol w:w="79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Home Loan Bank repayments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for)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increase (decrease)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80,415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losses on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paid during the period for:</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25,427</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26135"/>
                <wp:effectExtent l="0" t="0" r="0" b="0"/>
                <wp:wrapNone/>
                <wp:docPr id="10" name="Frame9"/>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jc w:val="center"/>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w:t>
            </w:r>
          </w:p>
        </w:tc>
      </w:tr>
    </w:tbl>
    <w:p>
      <w:pPr>
        <w:pStyle w:val="TextBody"/>
        <w:bidi w:val="0"/>
        <w:spacing w:lineRule="auto" w:line="288" w:before="0" w:after="240"/>
        <w:ind w:left="0" w:right="0" w:firstLine="360"/>
        <w:jc w:val="left"/>
        <w:rPr>
          <w:rFonts w:ascii="Arial;sans-serif" w:hAnsi="Arial;sans-serif"/>
          <w:b/>
          <w:i/>
          <w:color w:val="000000"/>
          <w:sz w:val="20"/>
          <w:u w:val="single"/>
        </w:rPr>
      </w:pPr>
      <w:r>
        <w:rPr>
          <w:rFonts w:ascii="Arial;sans-serif" w:hAnsi="Arial;sans-serif"/>
          <w:b/>
          <w:i/>
          <w:color w:val="000000"/>
          <w:sz w:val="20"/>
          <w:u w:val="single"/>
        </w:rPr>
        <w:t>Nature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 a digitally-driven nationwide credit card platform providing secured, partially secured, and unsecured credit solutions.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formed Church Street Capital, LLC (“Church Street Capital”) in 2014 to provide short-term secured real estate financing to Washington, D.C. area investors and developers that may not meet all Bank credit criteria. At September 30, 2023, Church Street Capital had loans totaling $8.0 million with a collectively assessed allowance for credit losses (“ACL”) of $280 thousand. Refer to Note 5 - Portfolio Loans Receivable to the Unaudited Consolidated Financial Statements for further discussion of the consolidated ACL.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the Company owns all of the stock of Capital Bancorp (MD) Statutory Trust I (the “Trust”). The Trust is a special purpose non-consolidated entity organized for the sole purpose of issuing trust preferred securities.</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Basis of presentation: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wholly-owned subsidiaries, the Bank and Church Street Capital. The statements do not include all of the information and footnotes required by GAAP for complete financial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The results of operations for the three and nine months ended September 30, 2023 are not necessarily indicative of the results that may be expected for the full year. These unaudited interim consolidated financial statements should be read in conjunction with the Company’s audited financial statements and the notes thereto as of December 31, 2022, included in the Company’s Annual Report on Form 10-K for the fiscal year ended December 31, 2022.</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reports its activities as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Significant accounting policies: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value of certain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liabilities that are not readily available from other sources. Estimates are evaluated on an ongoing basis. Actual results may materially differ from these estimates under different assumptions or conditions.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Cash and cash equivalents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purposes of reporting cash flows, cash and cash equivalents include cash on hand, amounts due from financial institutions, interest-bearing deposits with financial institutions and federal funds sold. Generally, federal funds are sold for one-day periods.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Investment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If either of the above criteria is not met, the Company evaluates whether the decline in fair value is the result of credit losses or other factors. In making the assessment, the Company may consider various factors including the extent to which fair value is less than amortized cost, performance on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are compared to the amortized cost basis of the security and any excess is recorded as an ACL, limited by the amount that the fair value is less than the amortized cost basis. Any amount of unrealized loss that has not been recorded through an ACL is recognized in other comprehensive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Changes in the ACL are recorded as provision for (or reversal of) credit loss expense. Losses are charged against the ACL when management believes an AFS security is confirmed to be uncollectible or when either of the criteria regarding intent or requirement to sell is met. At September 30, 2023, there was no ACL related to the AFS portfolio.</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Loans held for sale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Interest on loans held for sale is credited to income based on the principal amounts outstanding.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Upon sale and delivery, loans are legally isolated from the Company and the Company has no ability to restrict or constrain the ability of third</w:t>
        <w:noBreakHyphen/>
        <w:t>party investors to pledge or exchange the mortgage loans. The Company does not have the entitlement or ability to repurchase the mortgage loans or unilaterally cause third</w:t>
        <w:noBreakHyphen/>
        <w:t xml:space="preserve">party investors to put the mortgage loans back to the Company. Unrealized and realized gains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loan sales are determined using the specific-identification method and are recognized through mortgage banking activity in the Consolidated Statements of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elects to measure loans held for sale at fair value to better align reported results with the underlying economic changes in value of the loans on the Company’s balance sheet.</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U.S. Small Business Administration Paycheck Protection Program</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global COVID-19 pandemic, pursuant to the CARES Act and the Consolidated Appropriations Act, 2021, the United States Small Business Administration Payroll Protection Program (“SBA-PPP”) provided forgivable loans to small businesses to enable them to maintain payroll, hire back employees who had been laid off, and cover overhead. SBA-PPP loans have an interest rate of 1%, have two or five year terms, and carry a 100% guarantee of the SBA. The program ended on May 31, 2021. SBA-PPP loans are eligible to be forgiven by the SBA.</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The remaining net deferred income is recognized upon forgiveness of the loan. </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Portfolio loans and the allowance for credit losses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stated at the principal amount outstanding, adjusted for deferred origination fees and costs, discounts on loans acquired, and the ACL. Interest is accrued based on the loan principal balances and stated interest rates. Origination fees and costs are recognized as an adjustment to the related loan yield using approximate interest methods. For credit card loans, loan origination fees and direct loan origination costs are amortized on a straight-line basis over a 12-month period.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considered past due if the required principal and interest payments have not been received as of the date such payments were due. For reporting purposes, the Company discontinues the accrual of interest at the earlier of the date any portion of the principal and/or interest is 90 days past due, or at such time as we determine that it is probable that not all principal and interest payments will be collected, and that collateral is insufficient to discharge the debt in full. When the interest accrual is discontinued, all unpaid accrued interest is reversed from income. Generally, interest payments on nonaccrual loans are recorded as a reduction of the principal balance. Interest income is subsequently recognized only to the extent cash payments are received in excess of principal due.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January 1, 2023, we adopted Accounting Standards Update (“ASU”) 2016-13 “Financial Instruments – Credit Losses (Topic 326): Measurement of Credit Losses on Financial Instruments” (“ASU 2016-13”), which replaces the incurred loss methodology for determining our provision for credit losses and ACL with an expected loss methodology that is referred to as the Current Expected Credit Loss model (“CECL”). The measurement of expected credit losses under the CECL methodology is applicable to financial assets measured at amortized cost, including loans receivable and held-to-maturity (“HTM”) debt securities. It also applies to off-balance sheet credit exposures not accounted for as insurance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commitments, standby letters of credit, financial guarantees, and other similar instruments) and net investments in leases recognized by a lessor in accordance with ASU 2016-02 “Leases (Topic 842)”.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ASU 2016-13 made changes to the accounting for AFS debt securities. One such change is to require credit-related impairments to be recognized as an ACL rather than as a write-down of the security’s amortized cost basis when the Company does not intend to sell or believes that the Company will be required to sell the securities prior to recovery of the security’s amortized cost basis. The Company adopted ASU 2016-13 using the modified retrospective method. Results for reporting periods beginning after January 1, 2023 are presented under ASU 2016-13 while prior period amounts continue to be reported in accordance with previously applicable GAAP. The Company does not own HTM debt securities. There was no ACL on available for sale securities at September 30, 2023.</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illustrates the impact of the adoption of ASC 326, or the CECL standard. The adoption of the standard required an $804 thousand increase in the ACL and a $775 thousand reduction to the reserve for unfunded commitments (“RUC”). The improved precision of the calculation of the historical utilization of unfunded commitments gave rise to the reduction. The net impact of the adoption of the CECL standard to retained earnings was $29 thousand.</w:t>
      </w:r>
    </w:p>
    <w:tbl>
      <w:tblPr>
        <w:tblW w:w="10205" w:type="dxa"/>
        <w:jc w:val="left"/>
        <w:tblInd w:w="0" w:type="dxa"/>
        <w:tblLayout w:type="fixed"/>
        <w:tblCellMar>
          <w:top w:w="28" w:type="dxa"/>
          <w:left w:w="28" w:type="dxa"/>
          <w:bottom w:w="28" w:type="dxa"/>
          <w:right w:w="28" w:type="dxa"/>
        </w:tblCellMar>
      </w:tblPr>
      <w:tblGrid>
        <w:gridCol w:w="991"/>
        <w:gridCol w:w="840"/>
        <w:gridCol w:w="811"/>
        <w:gridCol w:w="109"/>
        <w:gridCol w:w="109"/>
        <w:gridCol w:w="109"/>
        <w:gridCol w:w="366"/>
        <w:gridCol w:w="1696"/>
        <w:gridCol w:w="189"/>
        <w:gridCol w:w="109"/>
        <w:gridCol w:w="109"/>
        <w:gridCol w:w="109"/>
        <w:gridCol w:w="320"/>
        <w:gridCol w:w="1483"/>
        <w:gridCol w:w="165"/>
        <w:gridCol w:w="109"/>
        <w:gridCol w:w="109"/>
        <w:gridCol w:w="109"/>
        <w:gridCol w:w="576"/>
        <w:gridCol w:w="1358"/>
        <w:gridCol w:w="429"/>
      </w:tblGrid>
      <w:tr>
        <w:trPr/>
        <w:tc>
          <w:tcPr>
            <w:tcW w:w="99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January 1, 2023</w:t>
            </w:r>
          </w:p>
        </w:tc>
      </w:tr>
      <w:tr>
        <w:trPr/>
        <w:tc>
          <w:tcPr>
            <w:tcW w:w="26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Pre-adoption of the CECL 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As Reported Under ASC 326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Impact of adoption of the CECL standard</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484,735 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484,735 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664,551 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664,551 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238,099 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238,099 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220,221 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220,221 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Credit card, net of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128,434 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128,434 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Other 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1,737,219 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1,737,219 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Deferred origination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(8,627)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(8,627)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(26,385)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(27,189)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Portfolio loans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1,702,207 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1,701,403 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Liabilities: Reserve for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(775)</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maintain an ACL that represents management’s estimate of the expected credit losses and risks inherent in our loan portfolio. The amount of the ACL should not be interpreted as an indication that charge-offs in future periods will necessarily occur in those amounts, or at all. The allowance immediately recognizes lifetime expected credit losses when a financial asset is originated or purchased. The ACL is a valuation account that is deducted from the amortized cost basis of loans to present the net amount expected to be collected on the loans. Loans, or portions thereof, are charged-off against the allowance when they are deemed uncollectible. Factors for charge-off that may be considered include: repayments deemed to be extended out beyond reasonable time frames, customer bankruptcy and lack of assets, and/or collateral deficiencies. Expected recoveries do not exceed the aggregate of amounts previously charged-off and expected to be charged-off.</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determining the ACL, we estimate losses collectively based on quantitative analysis of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credit losses adjusted for current conditions and reasonable and supportable forecasts of collectability of future cash flows over the remaining term of each financial instrument. The Company has elected to utilize a discounted cash flow methodology for all segments, except for the other consumer portfolio segment, which applies a simplified, remaining life approach. See further detail regarding our forecasting methodology in the “Discounted Cash Flow Method” section below.</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Quarterly, the Company utilizes a Qualitative Scorecard to consider the need to qualitatively adjust expected credit loss estimates for information not already captured in the quantitative loss estimation process, which may impact expected credit losses. The Qualitative Scorecard evaluates certain risk environments such as economic conditions, changes in the nature and volume of portfolios, changes in experience, depth, and ability of lending management, changes in volume and severity of past due loans and similar conditions, and changes in the value of underlying collateral. The scorecard results help the Company analyze directional consistency to risk conditions and circumstances that should be considered for each loan segment and to refine its estimates of expected credit losses. As of September 30, 2023, there have been no significant changes applied through the Qualitative Scorecard subsequent to implementation on January 1, 2023.</w:t>
      </w:r>
    </w:p>
    <w:p>
      <w:pPr>
        <w:pStyle w:val="TextBody"/>
        <w:bidi w:val="0"/>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Purchased Credit Deterioration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Upon adoption of ASU 2016-13, loans which were identified as Purchase Credit Impaired under the incurred loss model are identified as Purchased Credit Deteriorated (“PCD”) loans at January 1, 2023 without reassessment. In future acquisitions, the Company may purchase loans, some of which have experienced more than insignificant credit deterioration since origination. In those cases, the Company will consider certain criteria including days past due, accrual status, risk rating, credit mark, and other relevant factors in assessing whether purchased loans are PCD. PCD loans are recorded at the amount paid and the Company will determine the initial ACL required for PCD assets with no impact to earnings. The loan’s purchase price and ACL is then the initial amortized cost basis for PCD loans.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pStyle w:val="TextBody"/>
        <w:bidi w:val="0"/>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Discounted Cash Flow Method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the discounted cash flow (“DCF”) method to estimate expected credit losses for each portfolio loan segment, with the exception of other consumer loans. For each of these loan segments, the Company generates cash flow projections at the instrument level. Payment expectations are adjusted for estimated prepayment speed and for probability and severity of a loss. The expected credit losses derived from the DCF are estimated over the contractual term of the loans, adjusted for expected prepayments when appropriate. The modeling of expected prepayment speeds is based on historical internal data. The contractual term excludes expected extensions, renewals and modifications.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regression analysis of historical internal and peer data to determine suitable portfolio segment level loss drivers to utilize when modeling lifetime probability of default and loss given default. This analysis also determines how expected probability of default and loss given default will react to forecasted levels of the loss drivers.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credit card portfolio, a major consideration in the determination of the ACL is our historical loss experience. The Company calculates the credit card ACL collectively, applying segmentation based on collateral positions: secured, partially secured, and unsecured.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all DCF models, the Company has elected to use a four quarter forecast period across all portfolio segments. After the forecasted period, the models will revert to a long run average of each economic factor over four quarters. The Company uses economic projections from reputable and independent third parties to inform its loss driver forecast over the forecast period.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combination of adjustments for credit expectations (default and loss) and timing expectations (prepayment, curtailment, and time to recovery) produces an expected cash flow stream at the instrument level. An effective interest rate is calculated by the Company, adjusted for any net deferred fees or costs, premium, or discount existing at the origination or acquisition, to produce an instrument-level net present value of expected cash flows. The ACL reflects the difference between the amortized cost basis and the present value of the expected cash flows. </w:t>
      </w:r>
    </w:p>
    <w:p>
      <w:pPr>
        <w:pStyle w:val="TextBody"/>
        <w:bidi w:val="0"/>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Individual Evaluation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will evaluate individual instruments for expected credit losses when those instruments do not share similar risk characteristics with instruments evaluated on a collective basis. Instruments may be evaluated whether or not there is an expectation of collectability in place. Instruments evaluated individually are not included in the Company’s collective analysis. Collateral dependent or secured loans with respect to which the Company expects repayment to be provided substantially through the operation or sale of the collateral utilize a collateral-based methodology in which ACL is measured based on the difference between the net realizable value of the collateral and the amortized cost basis of the asset as of the measurement date. If the collateral valuation is equal to or greater than amortized cost, no reserve is applied. If a loan is not collateral dependent, the loan will be analyzed based on a forecast of future cash flows.</w:t>
      </w:r>
    </w:p>
    <w:p>
      <w:pPr>
        <w:pStyle w:val="TextBody"/>
        <w:bidi w:val="0"/>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Credit Losses on Off-Balance Sheet Credit Exposures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financial instruments include off-balance sheet credit instruments such as unfunded commitments to make loans, commercial letters of credit issued, and commitments to fund other investments. The Company’s maximum exposure to credit loss in the event of nonperformance by the other party to the financial instrument for off-balance sheet loan commitments is represented by the contractual amount of the credit commitment. Loan commitments and lines of credit are generally made on the same terms, including with regard to collateral, as outstanding loans.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maintains RUC on off-balance sheet credit exposures through a provision reflected in other liabilities. Increases or decreases in the reserve are charged to or released from the provision for credit losses for unfunded commitments in the consolidated statements of income. The provision (credit) for credit losses on off-balance sheet exposures prior to January 1, 2023 was included in other noninterest expense in the consolidated statements of income. The RUC on off-balance credit exposures is estimated by loan segment at each balance sheet date under the current expected credit loss model based on the segment loss factor and the estimated utilization rate of the unfunded commitments. The Company has analyzed its historic funding behavior at the segment level to determine an expected utilization rate.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above methodology for determining an appropriate ACL is based on a comprehensive analysis of the loan portfolio in accordance with ASC 326. The analysis considers all significant factors that affect the expected collectability of the portfolio and supports the expected credit losses estimated by this process. It is important to recognize that the related process, methodology, and underlying assumptions require a substantial degree of judgment. Additional disclosure on the ACL, and qualitative factors can be found in Part II, Item 1A - Risk Factors and Note 5 - Portfolio Loans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Credit Losses on SBA-PPP loans and interest receivable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ACL for SBA-PPP loans was separately evaluated given the explicit government guarantee. The Company has incorporated historical experience with similar SBA guarantees and underwriting adjusted for reasonable and supportable forecasts and concluded the expected credit loss is zero and, therefore, no allowance has been assigned to these loans.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does not measure an ACL on accrued interest receivable balances because these balances are written off as a reduction to interest income when loans are placed on nonaccrual status.</w:t>
      </w:r>
    </w:p>
    <w:p>
      <w:pPr>
        <w:pStyle w:val="TextBody"/>
        <w:bidi w:val="0"/>
        <w:spacing w:lineRule="auto" w:line="288" w:before="0" w:after="240"/>
        <w:ind w:left="0" w:right="0" w:firstLine="360"/>
        <w:jc w:val="both"/>
        <w:rPr>
          <w:rFonts w:ascii="Arial;sans-serif" w:hAnsi="Arial;sans-serif"/>
          <w:b w:val="false"/>
          <w:i/>
          <w:color w:val="000000"/>
          <w:sz w:val="20"/>
        </w:rPr>
      </w:pPr>
      <w:r>
        <w:rPr>
          <w:rFonts w:ascii="Arial;sans-serif" w:hAnsi="Arial;sans-serif"/>
          <w:b w:val="false"/>
          <w:i/>
          <w:color w:val="000000"/>
          <w:sz w:val="20"/>
        </w:rPr>
        <w:t>Loan modifications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Effective January 1, 2023, the Company adopted ASU 2022-02 - Financial Instruments - Credit Losses (Topic 326): Troubled Debt Restructurings and Vintage Disclosures. From time to time, the Company may elect to modify the contractual terms of loans to a borrower experiencing financial difficulties as a way to mitigate loss, to proactively work with borrowers in financial difficulty, or to comply with regulations regarding the treatment of certain bankruptcy filing and discharge situations. These modifications may include reductions in the interest rate, payment extensions, forgiveness of principal, forbearance or other actions. Under ASU 2022-02, modifications to a loan for a borrower experiencing financial difficulty that have occurred in the current reporting period, are disclosed along with the impact of the modifications. During the three and nine months ended September 30, 2023, the Company did not have any such modifications.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Premises and equipment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Premises and equipment are stated at cost less accumulated depreciation and amortization. Depreciation and amortization are computed using the straight-line method over the estimated useful life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 Expenditures for maintenance, repairs and minor replacements are charged to noninterest expenses as incurred.</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Leases</w:t>
      </w:r>
    </w:p>
    <w:p>
      <w:pPr>
        <w:pStyle w:val="TextBody"/>
        <w:bidi w:val="0"/>
        <w:spacing w:lineRule="auto" w:line="288" w:before="0" w:after="240"/>
        <w:ind w:left="0" w:right="0" w:firstLine="360"/>
        <w:jc w:val="both"/>
        <w:rPr/>
      </w:pPr>
      <w:r>
        <w:rPr>
          <w:rFonts w:ascii="Arial;sans-serif" w:hAnsi="Arial;sans-serif"/>
          <w:b w:val="false"/>
          <w:color w:val="000000"/>
          <w:sz w:val="20"/>
        </w:rPr>
        <w:t xml:space="preserve">The Company accounts for leases according to ASU 2016-02, </w:t>
      </w:r>
      <w:r>
        <w:rPr>
          <w:rFonts w:ascii="Arial;sans-serif" w:hAnsi="Arial;sans-serif"/>
          <w:b w:val="false"/>
          <w:i/>
          <w:color w:val="000000"/>
          <w:sz w:val="20"/>
        </w:rPr>
        <w:t xml:space="preserve">Leases (Topic 842), </w:t>
      </w:r>
      <w:r>
        <w:rPr>
          <w:rFonts w:ascii="Arial;sans-serif" w:hAnsi="Arial;sans-serif"/>
          <w:b w:val="false"/>
          <w:color w:val="000000"/>
          <w:sz w:val="20"/>
        </w:rPr>
        <w:t>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left"/>
        <w:rPr/>
      </w:pPr>
      <w:r>
        <w:rPr>
          <w:rFonts w:ascii="Arial;sans-serif" w:hAnsi="Arial;sans-serif"/>
          <w:b w:val="false"/>
          <w:color w:val="000000"/>
          <w:sz w:val="20"/>
          <w:u w:val="single"/>
        </w:rPr>
        <w:t>Derivative financial instruments</w:t>
      </w:r>
      <w:r>
        <w:rPr>
          <w:color w:val="000000"/>
          <w:u w:val="single"/>
        </w:rPr>
        <w:t xml:space="preserv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 </w:t>
      </w:r>
    </w:p>
    <w:p>
      <w:pPr>
        <w:pStyle w:val="TextBody"/>
        <w:bidi w:val="0"/>
        <w:spacing w:lineRule="auto" w:line="288" w:before="0" w:after="240"/>
        <w:ind w:left="0" w:right="0" w:firstLine="360"/>
        <w:jc w:val="both"/>
        <w:rPr/>
      </w:pPr>
      <w:r>
        <w:rPr>
          <w:rFonts w:ascii="Arial;sans-serif" w:hAnsi="Arial;sans-serif"/>
          <w:b w:val="false"/>
          <w:color w:val="000000"/>
          <w:sz w:val="20"/>
        </w:rPr>
        <w:t xml:space="preserve">The Company accounts for derivative instruments and hedging activities according to guidelines established in ASC 815-10, </w:t>
      </w:r>
      <w:r>
        <w:rPr>
          <w:rFonts w:ascii="Arial;sans-serif" w:hAnsi="Arial;sans-serif"/>
          <w:b w:val="false"/>
          <w:i/>
          <w:color w:val="000000"/>
          <w:sz w:val="20"/>
        </w:rPr>
        <w:t>Accounting for Derivative Instruments and Hedging Activities</w:t>
      </w:r>
      <w:r>
        <w:rPr>
          <w:rFonts w:ascii="Arial;sans-serif" w:hAnsi="Arial;sans-serif"/>
          <w:b w:val="false"/>
          <w:color w:val="000000"/>
          <w:sz w:val="20"/>
        </w:rPr>
        <w:t>, as amended. The Company recognizes all derivatives as either assets or liabilities on the 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 As of September 30, 2023, there were no derivative instruments held which would require recognition by the Company.</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 xml:space="preserve">Fair value measurements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Note 8 -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Bank-owned life insurance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had $37.3 million of bank-owned life insurance at September 30, 2023 and $36.5 million at December 31, 2022.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recognized income on bank-owned life insurance, which is included in other noninterest income, of $274 thousand for the three months ended September 30, 2023 and $255 thousand for the three months ended September 30, 2022, and recognized $791 thousand for the nine months ended September 30, 2023 and $761 thousand for the nine months ended September 30, 2022.</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Income taxes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Deferred tax assets and liabilities are determined based on the difference between the financial statement and tax basis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Earnings per share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September 30, 2023, there were 282 thousand stock options excluded from the calculation as their effect would have been anti-dilutive, whereas at September 30, 2022 there were 141 thousand such options.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Comprehensive loss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reports as comprehensive loss all changes in stockholders' equity during the year from non-stockholder sources. Other comprehensive loss refers to all components (income, expenses, gains, and losses) of comprehensive loss that are excluded from net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only component of other comprehensive loss is unrealized losses on investment securities available for sale, net of income taxes. Information concerning the Company's accumulated other comprehensive loss as of September 30, 2023 and December 31, 2022 is as follows:</w:t>
      </w:r>
    </w:p>
    <w:tbl>
      <w:tblPr>
        <w:tblW w:w="8393" w:type="dxa"/>
        <w:jc w:val="left"/>
        <w:tblInd w:w="0" w:type="dxa"/>
        <w:tblLayout w:type="fixed"/>
        <w:tblCellMar>
          <w:top w:w="28" w:type="dxa"/>
          <w:left w:w="28" w:type="dxa"/>
          <w:bottom w:w="28" w:type="dxa"/>
          <w:right w:w="28" w:type="dxa"/>
        </w:tblCellMar>
      </w:tblPr>
      <w:tblGrid>
        <w:gridCol w:w="1481"/>
        <w:gridCol w:w="1308"/>
        <w:gridCol w:w="1320"/>
        <w:gridCol w:w="109"/>
        <w:gridCol w:w="109"/>
        <w:gridCol w:w="109"/>
        <w:gridCol w:w="343"/>
        <w:gridCol w:w="1295"/>
        <w:gridCol w:w="177"/>
        <w:gridCol w:w="109"/>
        <w:gridCol w:w="109"/>
        <w:gridCol w:w="109"/>
        <w:gridCol w:w="330"/>
        <w:gridCol w:w="1245"/>
        <w:gridCol w:w="240"/>
      </w:tblGrid>
      <w:tr>
        <w:trPr/>
        <w:tc>
          <w:tcPr>
            <w:tcW w:w="148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4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(22,416)</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accumulated comprehensive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(17,843)</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(16,751)</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Recently issued accounting pronouncements: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March 2020, the Financial Accounting Standards Board (“FASB”) released ASU 2020-04 - Reference Rate Reform, Topic 848, which provides temporary guidance to ease the potential accounting burden in accounting for, or recognizing the effects of,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or other transactions that reference LIBOR, or another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reference rate expected to be discontinued. The amendments in the update are effective for all entities between March 12, 2020 and an extended sunset date of December 31, 2024 which was extended by ASU 2022-06 issued by FASB in December 2022. The adoption of this guidance is not expected to have a material impact on the Company’s financial statements.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accounting standards that have been issued or proposed by the FASB or other standards-setting bodies are not expected to have a material impact on the Company's financial position, results of operations or cash flows.</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Reclassifications: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Certain reclassifications have been made to amounts reported in prior periods to conform to the current period presentation. The reclassifications had no material effect on net income or total stockholders' equity.</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Subsequent events: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2 - Cash and Cash Equivalents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Cash and cash equivalents include cash and amounts due from banks, interest-bearing deposits and federal funds sold. The Bank is required by regulations to maintain an average cash reserve balance based on a percentage of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 Investment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amortized cost and estimated fair value of investment securities at September 30, 2023 and December 31, 2022 are summarized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3 - Investment Securities (continued)</w:t>
            </w:r>
          </w:p>
        </w:tc>
      </w:tr>
    </w:tbl>
    <w:tbl>
      <w:tblPr>
        <w:tblW w:w="7597" w:type="dxa"/>
        <w:jc w:val="center"/>
        <w:tblInd w:w="0" w:type="dxa"/>
        <w:tblLayout w:type="fixed"/>
        <w:tblCellMar>
          <w:top w:w="28" w:type="dxa"/>
          <w:left w:w="28" w:type="dxa"/>
          <w:bottom w:w="28" w:type="dxa"/>
          <w:right w:w="28" w:type="dxa"/>
        </w:tblCellMar>
      </w:tblPr>
      <w:tblGrid>
        <w:gridCol w:w="779"/>
        <w:gridCol w:w="686"/>
        <w:gridCol w:w="695"/>
        <w:gridCol w:w="109"/>
        <w:gridCol w:w="109"/>
        <w:gridCol w:w="109"/>
        <w:gridCol w:w="196"/>
        <w:gridCol w:w="751"/>
        <w:gridCol w:w="109"/>
        <w:gridCol w:w="109"/>
        <w:gridCol w:w="109"/>
        <w:gridCol w:w="109"/>
        <w:gridCol w:w="260"/>
        <w:gridCol w:w="540"/>
        <w:gridCol w:w="146"/>
        <w:gridCol w:w="109"/>
        <w:gridCol w:w="109"/>
        <w:gridCol w:w="109"/>
        <w:gridCol w:w="196"/>
        <w:gridCol w:w="721"/>
        <w:gridCol w:w="109"/>
        <w:gridCol w:w="109"/>
        <w:gridCol w:w="109"/>
        <w:gridCol w:w="109"/>
        <w:gridCol w:w="196"/>
        <w:gridCol w:w="751"/>
        <w:gridCol w:w="154"/>
      </w:tblGrid>
      <w:tr>
        <w:trPr/>
        <w:tc>
          <w:tcPr>
            <w:tcW w:w="7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154,813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229,354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206,055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no securities sold during the nine months ended September 30, 2023 or the nine months ended September 30, 2022. There was no ACL on available for sale securities at September 30, 2023.</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Information related to unrealized losses in the investment portfolio as of September 30, 2023 and December 31, 2022 is summarized as follows:</w:t>
      </w:r>
    </w:p>
    <w:tbl>
      <w:tblPr>
        <w:tblW w:w="10205" w:type="dxa"/>
        <w:jc w:val="center"/>
        <w:tblInd w:w="0" w:type="dxa"/>
        <w:tblLayout w:type="fixed"/>
        <w:tblCellMar>
          <w:top w:w="28" w:type="dxa"/>
          <w:left w:w="28" w:type="dxa"/>
          <w:bottom w:w="28" w:type="dxa"/>
          <w:right w:w="28" w:type="dxa"/>
        </w:tblCellMar>
      </w:tblPr>
      <w:tblGrid>
        <w:gridCol w:w="779"/>
        <w:gridCol w:w="632"/>
        <w:gridCol w:w="639"/>
        <w:gridCol w:w="109"/>
        <w:gridCol w:w="109"/>
        <w:gridCol w:w="109"/>
        <w:gridCol w:w="196"/>
        <w:gridCol w:w="736"/>
        <w:gridCol w:w="109"/>
        <w:gridCol w:w="109"/>
        <w:gridCol w:w="109"/>
        <w:gridCol w:w="109"/>
        <w:gridCol w:w="211"/>
        <w:gridCol w:w="628"/>
        <w:gridCol w:w="119"/>
        <w:gridCol w:w="109"/>
        <w:gridCol w:w="109"/>
        <w:gridCol w:w="109"/>
        <w:gridCol w:w="196"/>
        <w:gridCol w:w="751"/>
        <w:gridCol w:w="109"/>
        <w:gridCol w:w="109"/>
        <w:gridCol w:w="109"/>
        <w:gridCol w:w="109"/>
        <w:gridCol w:w="196"/>
        <w:gridCol w:w="712"/>
        <w:gridCol w:w="109"/>
        <w:gridCol w:w="109"/>
        <w:gridCol w:w="109"/>
        <w:gridCol w:w="109"/>
        <w:gridCol w:w="196"/>
        <w:gridCol w:w="751"/>
        <w:gridCol w:w="109"/>
        <w:gridCol w:w="109"/>
        <w:gridCol w:w="109"/>
        <w:gridCol w:w="109"/>
        <w:gridCol w:w="196"/>
        <w:gridCol w:w="712"/>
        <w:gridCol w:w="157"/>
      </w:tblGrid>
      <w:tr>
        <w:trPr/>
        <w:tc>
          <w:tcPr>
            <w:tcW w:w="77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(16,683)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(2,890)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204,086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204,086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(23,313)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September 30, 2023, there were twenty-four treasury securities, ten municipal securities, five corporate securities, nine mortgage-backed securities, and two asset-backed securities that had been in an unrealized loss position for greater than twelve months. At December 31, 2022, there were sixteen treasury securities, seven municipal securities, five corporate securities, one asset-backed security, and three mortgage-backed securities that had been in an unrealized loss position for greater than twelve months. Management believes that all unrealized losses at September 30, 2023 and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3 - Investment Securities (continued)</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resulted from changes in interest rates and current market conditions and not as a result of credit deterioration. Management has the ability and the intent to hold these investment securities until maturity or until they recover in value. Pledged securities totaled $150.0 million at September 30, 2023 and $0 at December 31, 2022.</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Contractual maturities of U.S. government and government-sponsored agencies, asset-backed, municipal, corporate and mortgage-backed securities at September 30, 2023 and December 31, 2022 are shown below. Actual maturities may differ from contractual maturities because issuers may have the right to call or prepay obligations with or without call premiums or prepayment penalties.</w:t>
      </w:r>
    </w:p>
    <w:tbl>
      <w:tblPr>
        <w:tblW w:w="7827" w:type="dxa"/>
        <w:jc w:val="left"/>
        <w:tblInd w:w="0" w:type="dxa"/>
        <w:tblLayout w:type="fixed"/>
        <w:tblCellMar>
          <w:top w:w="28" w:type="dxa"/>
          <w:left w:w="28" w:type="dxa"/>
          <w:bottom w:w="28" w:type="dxa"/>
          <w:right w:w="28" w:type="dxa"/>
        </w:tblCellMar>
      </w:tblPr>
      <w:tblGrid>
        <w:gridCol w:w="823"/>
        <w:gridCol w:w="725"/>
        <w:gridCol w:w="732"/>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one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Asset-backed securities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Mortgage-backed securities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229,354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Asset-backed and Mortgage-backed securities are due in monthly installments.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Note 4 - SBA-PPP Loans Receivable </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SBA-PPP gross loans receivable totaled $0.8 million at September 30, 2023, and $2.2 million at December 31, 2022, and were all rated as pass credits and were not past due, nonaccrual or otherwise impaired. Unearned net fees associated with the SBA-PPP loans amounted to $17 thousand at September 30, 2023 and $31 thousand at December 31, 2022.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SBA-PPP loans generated income of $11 thousand for the three months ended September 30, 2023 and $0.3 million for the three months ended September 30, 2022, of which, earned fees, primarily on loans forgiven by the SBA, represented $9 thousand and $0.2 million of the income, respectively. SBA-PPP loans generated income of $26 thousand for the nine months ended September 30, 2023 and $3.4 million for the nine months ended September 30, 2022, of which, earned fees, primarily on loans forgiven by the SBA, represented $14 thousand and $3.2 million of the income,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5 - Portfolio Loans Receivable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Major classifications of portfolio loans receivable are as follows:</w:t>
      </w:r>
    </w:p>
    <w:tbl>
      <w:tblPr>
        <w:tblW w:w="8428" w:type="dxa"/>
        <w:jc w:val="center"/>
        <w:tblInd w:w="0" w:type="dxa"/>
        <w:tblLayout w:type="fixed"/>
        <w:tblCellMar>
          <w:top w:w="28" w:type="dxa"/>
          <w:left w:w="28" w:type="dxa"/>
          <w:bottom w:w="28" w:type="dxa"/>
          <w:right w:w="28" w:type="dxa"/>
        </w:tblCellMar>
      </w:tblPr>
      <w:tblGrid>
        <w:gridCol w:w="988"/>
        <w:gridCol w:w="868"/>
        <w:gridCol w:w="873"/>
        <w:gridCol w:w="109"/>
        <w:gridCol w:w="109"/>
        <w:gridCol w:w="109"/>
        <w:gridCol w:w="211"/>
        <w:gridCol w:w="991"/>
        <w:gridCol w:w="109"/>
        <w:gridCol w:w="109"/>
        <w:gridCol w:w="109"/>
        <w:gridCol w:w="109"/>
        <w:gridCol w:w="240"/>
        <w:gridCol w:w="241"/>
        <w:gridCol w:w="392"/>
        <w:gridCol w:w="109"/>
        <w:gridCol w:w="109"/>
        <w:gridCol w:w="109"/>
        <w:gridCol w:w="211"/>
        <w:gridCol w:w="976"/>
        <w:gridCol w:w="109"/>
        <w:gridCol w:w="109"/>
        <w:gridCol w:w="109"/>
        <w:gridCol w:w="109"/>
        <w:gridCol w:w="231"/>
        <w:gridCol w:w="235"/>
        <w:gridCol w:w="445"/>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Portfolio Loan Categories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558,147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670,594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280,905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Credit card, net of reserve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122,533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1,869,909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w:t>
            </w:r>
            <w:r>
              <w:rPr>
                <w:color w:val="000000"/>
              </w:rPr>
              <w:t>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1,833,650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13"/>
        </w:rPr>
      </w:pPr>
      <w:r>
        <w:rPr>
          <w:rFonts w:ascii="Arial;sans-serif" w:hAnsi="Arial;sans-serif"/>
          <w:b w:val="false"/>
          <w:color w:val="000000"/>
          <w:sz w:val="13"/>
        </w:rPr>
        <w:t>(1) Credit card loans are presented net of reserve for interest and fees.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 </w:t>
      </w:r>
    </w:p>
    <w:p>
      <w:pPr>
        <w:pStyle w:val="TextBody"/>
        <w:bidi w:val="0"/>
        <w:spacing w:lineRule="auto" w:line="288" w:before="0" w:after="240"/>
        <w:ind w:left="0" w:right="0" w:firstLine="360"/>
        <w:jc w:val="both"/>
        <w:rPr/>
      </w:pPr>
      <w:r>
        <w:rPr>
          <w:rFonts w:ascii="Arial;sans-serif" w:hAnsi="Arial;sans-serif"/>
          <w:b w:val="false"/>
          <w:i/>
          <w:color w:val="000000"/>
          <w:sz w:val="20"/>
        </w:rPr>
        <w:t>Residential Real Estate Loans</w:t>
      </w:r>
      <w:r>
        <w:rPr>
          <w:rFonts w:ascii="Arial;sans-serif" w:hAnsi="Arial;sans-serif"/>
          <w:b w:val="false"/>
          <w:color w:val="000000"/>
          <w:sz w:val="20"/>
        </w:rPr>
        <w:t xml:space="preserve">. One-to-four family mortgage loans are primarily secured by owner-occupied primary residences and, to a lesser extent, investor-owned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w:t>
      </w:r>
    </w:p>
    <w:p>
      <w:pPr>
        <w:pStyle w:val="TextBody"/>
        <w:bidi w:val="0"/>
        <w:spacing w:lineRule="auto" w:line="288" w:before="0" w:after="240"/>
        <w:ind w:left="0" w:right="0" w:firstLine="360"/>
        <w:jc w:val="both"/>
        <w:rPr/>
      </w:pPr>
      <w:r>
        <w:rPr>
          <w:rFonts w:ascii="Arial;sans-serif" w:hAnsi="Arial;sans-serif"/>
          <w:b w:val="false"/>
          <w:i/>
          <w:color w:val="000000"/>
          <w:sz w:val="20"/>
        </w:rPr>
        <w:t>Commercial Real Estate Loans</w:t>
      </w:r>
      <w:r>
        <w:rPr>
          <w:rFonts w:ascii="Arial;sans-serif" w:hAnsi="Arial;sans-serif"/>
          <w:b w:val="false"/>
          <w:color w:val="000000"/>
          <w:sz w:val="20"/>
        </w:rPr>
        <w:t xml:space="preserve">. Commercial real estate loans are originated on owner-occupied and non-owner-occupied properties. These loans may be adversely affected by conditions in the real estate markets or in the general economy. Business equity lines of credit totaling $14.2 million as of September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30, 2023, and $12.3 million as of December 31, 2022, are included in the commercial real estate loan category. Business equity lines of credit are commercial purpose lines of credit primarily secured by the business owners residential properties. Commercial loans that are secured by owner-occupied commercial real estate and primarily collateralized by operating cash flows are also included in this category of loans. As of September 30, 2023, there were approximately $305.8 million of owner-occupied commercial real estate loans, representing approximately 16.4% of the loan portfolio. In prior reporting periods, the Company classified certain commercial real estate loans as owner-occupied that should have been classified as non owner-occupied. For the reporting periods ended December 31, 2022 and March 31, 2023, the Company disclosed owner-occupied commercial real estate loans of $387.7 million and $377.4 million, respectively. Based on the revised classification metrics, the correct amount of owner-occupied commercial real estate loans at December 31, 2022 and March 31, 2023 was $300.8 million and $300.0 million, respectively.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pStyle w:val="TextBody"/>
        <w:bidi w:val="0"/>
        <w:spacing w:lineRule="auto" w:line="288" w:before="0" w:after="240"/>
        <w:ind w:left="0" w:right="0" w:firstLine="360"/>
        <w:jc w:val="both"/>
        <w:rPr/>
      </w:pPr>
      <w:r>
        <w:rPr>
          <w:rFonts w:ascii="Arial;sans-serif" w:hAnsi="Arial;sans-serif"/>
          <w:b w:val="false"/>
          <w:i/>
          <w:color w:val="000000"/>
          <w:sz w:val="20"/>
        </w:rPr>
        <w:t>Construction Loans</w:t>
      </w:r>
      <w:r>
        <w:rPr>
          <w:rFonts w:ascii="Arial;sans-serif" w:hAnsi="Arial;sans-serif"/>
          <w:b w:val="false"/>
          <w:color w:val="000000"/>
          <w:sz w:val="20"/>
        </w:rPr>
        <w:t>. Construction loans are offered within the Company’s Washington, D.C. and Baltimore, Maryland metropolitan operating 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although exceptions are sometimes made. Semi-annual stress testing of the construction loan portfolio is conducted, and underlying real estate conditions are monitored as well as trends in sales outcomes versus underwriting valuations as part of ongoing risk management efforts. The borrowers’ progress in construction buildout is monitored against the original underwriting guidelines for construction milestones and completion timelines.</w:t>
      </w:r>
    </w:p>
    <w:p>
      <w:pPr>
        <w:pStyle w:val="TextBody"/>
        <w:bidi w:val="0"/>
        <w:spacing w:lineRule="auto" w:line="288" w:before="0" w:after="240"/>
        <w:ind w:left="0" w:right="0" w:firstLine="360"/>
        <w:jc w:val="both"/>
        <w:rPr/>
      </w:pPr>
      <w:r>
        <w:rPr>
          <w:rFonts w:ascii="Arial;sans-serif" w:hAnsi="Arial;sans-serif"/>
          <w:b w:val="false"/>
          <w:i/>
          <w:color w:val="000000"/>
          <w:sz w:val="20"/>
        </w:rPr>
        <w:t>Commercial and Industrial</w:t>
      </w:r>
      <w:r>
        <w:rPr>
          <w:rFonts w:ascii="Arial;sans-serif" w:hAnsi="Arial;sans-serif"/>
          <w:b w:val="false"/>
          <w:color w:val="000000"/>
          <w:sz w:val="20"/>
        </w:rPr>
        <w:t>. In addition to other loan products, general commercial loans, including commercial lines of credit, working 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pStyle w:val="TextBody"/>
        <w:bidi w:val="0"/>
        <w:spacing w:lineRule="auto" w:line="288" w:before="0" w:after="240"/>
        <w:ind w:left="0" w:right="0" w:firstLine="360"/>
        <w:jc w:val="both"/>
        <w:rPr/>
      </w:pPr>
      <w:r>
        <w:rPr>
          <w:rFonts w:ascii="Arial;sans-serif" w:hAnsi="Arial;sans-serif"/>
          <w:b w:val="false"/>
          <w:i/>
          <w:color w:val="000000"/>
          <w:sz w:val="20"/>
        </w:rPr>
        <w:t>Credit Cards</w:t>
      </w:r>
      <w:r>
        <w:rPr>
          <w:rFonts w:ascii="Arial;sans-serif" w:hAnsi="Arial;sans-serif"/>
          <w:b w:val="false"/>
          <w:color w:val="000000"/>
          <w:sz w:val="20"/>
        </w:rPr>
        <w:t>. Through the OpenSky</w:t>
      </w:r>
      <w:r>
        <w:rPr>
          <w:rFonts w:ascii="Arial;sans-serif" w:hAnsi="Arial;sans-serif"/>
          <w:b w:val="false"/>
          <w:color w:val="000000"/>
          <w:sz w:val="13"/>
        </w:rPr>
        <w:t xml:space="preserve">® </w:t>
      </w:r>
      <w:r>
        <w:rPr>
          <w:rFonts w:ascii="Arial;sans-serif" w:hAnsi="Arial;sans-serif"/>
          <w:b w:val="false"/>
          <w:color w:val="000000"/>
          <w:sz w:val="20"/>
        </w:rPr>
        <w:t xml:space="preserve">credit card division, the Company offers secured, partially secured, and unsecured credit cards on a nationwide basis to under-banked 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payments, but ultimately determined on a case-by-case basis). Partially secured and unsecured credit cards are only extended to existing secured card customers who have demonstrated sound credit behaviors.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Approximately $98.1 million and $109.4 million in secured and partially secured credit card balances were protected by savings deposits held by the Company as of September 30, 2023 and December 31, 2022, respectively. Unsecured balances were $27.4 million and $26.8 million, respectively, for the same periods.</w:t>
      </w:r>
    </w:p>
    <w:p>
      <w:pPr>
        <w:pStyle w:val="TextBody"/>
        <w:bidi w:val="0"/>
        <w:spacing w:lineRule="auto" w:line="288" w:before="0" w:after="240"/>
        <w:ind w:left="0" w:right="0" w:firstLine="360"/>
        <w:jc w:val="both"/>
        <w:rPr/>
      </w:pPr>
      <w:r>
        <w:rPr>
          <w:rFonts w:ascii="Arial;sans-serif" w:hAnsi="Arial;sans-serif"/>
          <w:b w:val="false"/>
          <w:i/>
          <w:color w:val="000000"/>
          <w:sz w:val="20"/>
        </w:rPr>
        <w:t>Other Consumer Loans</w:t>
      </w:r>
      <w:r>
        <w:rPr>
          <w:rFonts w:ascii="Arial;sans-serif" w:hAnsi="Arial;sans-serif"/>
          <w:b w:val="false"/>
          <w:color w:val="000000"/>
          <w:sz w:val="20"/>
        </w:rPr>
        <w:t>. To a limited extent and typically as an accommodation to existing customers, personal consumer loans, such as term loans, car loans and boat loans are offered.</w:t>
      </w:r>
    </w:p>
    <w:p>
      <w:pPr>
        <w:pStyle w:val="TextBody"/>
        <w:bidi w:val="0"/>
        <w:spacing w:lineRule="auto" w:line="288" w:before="0" w:after="240"/>
        <w:ind w:left="0" w:right="0" w:firstLine="360"/>
        <w:jc w:val="both"/>
        <w:rPr/>
      </w:pPr>
      <w:r>
        <w:rPr>
          <w:rFonts w:ascii="Arial;sans-serif" w:hAnsi="Arial;sans-serif"/>
          <w:b w:val="false"/>
          <w:i/>
          <w:color w:val="000000"/>
          <w:sz w:val="20"/>
        </w:rPr>
        <w:t>Purchased Credit Deterioration.</w:t>
      </w:r>
      <w:r>
        <w:rPr>
          <w:color w:val="000000"/>
        </w:rPr>
        <w:t xml:space="preserve"> </w:t>
      </w:r>
      <w:r>
        <w:rPr>
          <w:rFonts w:ascii="Arial;sans-serif" w:hAnsi="Arial;sans-serif"/>
          <w:b w:val="false"/>
          <w:color w:val="000000"/>
          <w:sz w:val="20"/>
        </w:rPr>
        <w:t xml:space="preserve">There were no loans purchased with credit deterioration during the three and nine months ended September 30, 2023.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September 30, 2023 the Company recorded a $284 thousand increase to the ACL, reflected in “Other”, from residual non-accretable discounts on acquired loans post CECL adoption. The following tables set forth the changes in the ACL and an allocation of the ACL by loan segment class for the three and nine months ended September 30, 2023 and September 30, 2022.</w:t>
      </w:r>
    </w:p>
    <w:tbl>
      <w:tblPr>
        <w:tblW w:w="10205" w:type="dxa"/>
        <w:jc w:val="center"/>
        <w:tblInd w:w="0" w:type="dxa"/>
        <w:tblLayout w:type="fixed"/>
        <w:tblCellMar>
          <w:top w:w="28" w:type="dxa"/>
          <w:left w:w="28" w:type="dxa"/>
          <w:bottom w:w="28" w:type="dxa"/>
          <w:right w:w="28" w:type="dxa"/>
        </w:tblCellMar>
      </w:tblPr>
      <w:tblGrid>
        <w:gridCol w:w="454"/>
        <w:gridCol w:w="336"/>
        <w:gridCol w:w="341"/>
        <w:gridCol w:w="109"/>
        <w:gridCol w:w="109"/>
        <w:gridCol w:w="109"/>
        <w:gridCol w:w="218"/>
        <w:gridCol w:w="719"/>
        <w:gridCol w:w="121"/>
        <w:gridCol w:w="109"/>
        <w:gridCol w:w="109"/>
        <w:gridCol w:w="109"/>
        <w:gridCol w:w="212"/>
        <w:gridCol w:w="627"/>
        <w:gridCol w:w="118"/>
        <w:gridCol w:w="109"/>
        <w:gridCol w:w="109"/>
        <w:gridCol w:w="109"/>
        <w:gridCol w:w="196"/>
        <w:gridCol w:w="421"/>
        <w:gridCol w:w="109"/>
        <w:gridCol w:w="109"/>
        <w:gridCol w:w="109"/>
        <w:gridCol w:w="109"/>
        <w:gridCol w:w="224"/>
        <w:gridCol w:w="636"/>
        <w:gridCol w:w="126"/>
        <w:gridCol w:w="109"/>
        <w:gridCol w:w="109"/>
        <w:gridCol w:w="109"/>
        <w:gridCol w:w="241"/>
        <w:gridCol w:w="704"/>
        <w:gridCol w:w="136"/>
        <w:gridCol w:w="109"/>
        <w:gridCol w:w="109"/>
        <w:gridCol w:w="109"/>
        <w:gridCol w:w="269"/>
        <w:gridCol w:w="557"/>
        <w:gridCol w:w="150"/>
        <w:gridCol w:w="109"/>
        <w:gridCol w:w="109"/>
        <w:gridCol w:w="109"/>
        <w:gridCol w:w="196"/>
        <w:gridCol w:w="646"/>
        <w:gridCol w:w="159"/>
      </w:tblGrid>
      <w:tr>
        <w:trPr/>
        <w:tc>
          <w:tcPr>
            <w:tcW w:w="4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 Prior to Adoption of the CECL 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Impact of Adopting the CECL 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(Release of Provision) for</w:t>
              <w:b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tbl>
      <w:tblPr>
        <w:tblW w:w="10205" w:type="dxa"/>
        <w:jc w:val="center"/>
        <w:tblInd w:w="0" w:type="dxa"/>
        <w:tblLayout w:type="fixed"/>
        <w:tblCellMar>
          <w:top w:w="28" w:type="dxa"/>
          <w:left w:w="28" w:type="dxa"/>
          <w:bottom w:w="28" w:type="dxa"/>
          <w:right w:w="28" w:type="dxa"/>
        </w:tblCellMar>
      </w:tblPr>
      <w:tblGrid>
        <w:gridCol w:w="859"/>
        <w:gridCol w:w="727"/>
        <w:gridCol w:w="737"/>
        <w:gridCol w:w="109"/>
        <w:gridCol w:w="109"/>
        <w:gridCol w:w="109"/>
        <w:gridCol w:w="196"/>
        <w:gridCol w:w="646"/>
        <w:gridCol w:w="109"/>
        <w:gridCol w:w="109"/>
        <w:gridCol w:w="109"/>
        <w:gridCol w:w="109"/>
        <w:gridCol w:w="109"/>
        <w:gridCol w:w="109"/>
        <w:gridCol w:w="459"/>
        <w:gridCol w:w="1305"/>
        <w:gridCol w:w="258"/>
        <w:gridCol w:w="109"/>
        <w:gridCol w:w="109"/>
        <w:gridCol w:w="109"/>
        <w:gridCol w:w="241"/>
        <w:gridCol w:w="704"/>
        <w:gridCol w:w="136"/>
        <w:gridCol w:w="109"/>
        <w:gridCol w:w="109"/>
        <w:gridCol w:w="109"/>
        <w:gridCol w:w="269"/>
        <w:gridCol w:w="557"/>
        <w:gridCol w:w="150"/>
        <w:gridCol w:w="109"/>
        <w:gridCol w:w="109"/>
        <w:gridCol w:w="109"/>
        <w:gridCol w:w="196"/>
        <w:gridCol w:w="646"/>
        <w:gridCol w:w="157"/>
      </w:tblGrid>
      <w:tr>
        <w:trPr/>
        <w:tc>
          <w:tcPr>
            <w:tcW w:w="85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(Release of Provision) for</w:t>
              <w:br/>
              <w:t>Loan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Nine Months Ended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tables present a summary of loan balances and the related allowance for loan losses summarized by loan category for each impairment method used as of December 31, 2022. </w:t>
      </w:r>
    </w:p>
    <w:tbl>
      <w:tblPr>
        <w:tblW w:w="7206" w:type="dxa"/>
        <w:jc w:val="center"/>
        <w:tblInd w:w="0" w:type="dxa"/>
        <w:tblLayout w:type="fixed"/>
        <w:tblCellMar>
          <w:top w:w="28" w:type="dxa"/>
          <w:left w:w="28" w:type="dxa"/>
          <w:bottom w:w="28" w:type="dxa"/>
          <w:right w:w="28" w:type="dxa"/>
        </w:tblCellMar>
      </w:tblPr>
      <w:tblGrid>
        <w:gridCol w:w="724"/>
        <w:gridCol w:w="638"/>
        <w:gridCol w:w="647"/>
        <w:gridCol w:w="109"/>
        <w:gridCol w:w="109"/>
        <w:gridCol w:w="109"/>
        <w:gridCol w:w="231"/>
        <w:gridCol w:w="496"/>
        <w:gridCol w:w="129"/>
        <w:gridCol w:w="109"/>
        <w:gridCol w:w="109"/>
        <w:gridCol w:w="109"/>
        <w:gridCol w:w="196"/>
        <w:gridCol w:w="646"/>
        <w:gridCol w:w="109"/>
        <w:gridCol w:w="109"/>
        <w:gridCol w:w="109"/>
        <w:gridCol w:w="109"/>
        <w:gridCol w:w="196"/>
        <w:gridCol w:w="556"/>
        <w:gridCol w:w="109"/>
        <w:gridCol w:w="109"/>
        <w:gridCol w:w="109"/>
        <w:gridCol w:w="109"/>
        <w:gridCol w:w="196"/>
        <w:gridCol w:w="87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Allowance for Loan Losses</w:t>
              <w:br/>
              <w:t>Ending Balance Evaluated</w:t>
              <w:br/>
              <w:t>for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Outstanding Portfolio </w:t>
              <w:br/>
              <w:t>Loan Balances Evaluated</w:t>
              <w:br/>
              <w:t>for Impairment: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736" w:type="dxa"/>
            <w:gridSpan w:val="12"/>
            <w:tcBorders/>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Individually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Collectively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Individually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Collectively</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1,727,826 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Past due loans, segregated by age and class of loans, as of September 30, 2023 and December 31, 2022 were as follows:</w:t>
      </w:r>
    </w:p>
    <w:tbl>
      <w:tblPr>
        <w:tblW w:w="11665" w:type="dxa"/>
        <w:jc w:val="center"/>
        <w:tblInd w:w="0" w:type="dxa"/>
        <w:tblLayout w:type="fixed"/>
        <w:tblCellMar>
          <w:top w:w="28" w:type="dxa"/>
          <w:left w:w="28" w:type="dxa"/>
          <w:bottom w:w="28" w:type="dxa"/>
          <w:right w:w="28" w:type="dxa"/>
        </w:tblCellMar>
      </w:tblPr>
      <w:tblGrid>
        <w:gridCol w:w="427"/>
        <w:gridCol w:w="310"/>
        <w:gridCol w:w="314"/>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886"/>
        <w:gridCol w:w="109"/>
        <w:gridCol w:w="109"/>
        <w:gridCol w:w="109"/>
        <w:gridCol w:w="109"/>
        <w:gridCol w:w="196"/>
        <w:gridCol w:w="886"/>
        <w:gridCol w:w="109"/>
        <w:gridCol w:w="109"/>
        <w:gridCol w:w="109"/>
        <w:gridCol w:w="109"/>
        <w:gridCol w:w="196"/>
        <w:gridCol w:w="436"/>
        <w:gridCol w:w="109"/>
        <w:gridCol w:w="109"/>
        <w:gridCol w:w="109"/>
        <w:gridCol w:w="109"/>
        <w:gridCol w:w="196"/>
        <w:gridCol w:w="661"/>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Portfolio Loans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12,256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669,186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670,594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274,792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280,905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235,636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122,533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1,831,742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1,869,909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$8.8 million and $1.3 million of loans secured by one-to-four family residential properties in the process of foreclosure as of September 30, 2023 and December 31, 2022, respectively.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presents the nonaccrual loans as of September 30, 2023 and December 31, 2022:</w:t>
      </w:r>
    </w:p>
    <w:tbl>
      <w:tblPr>
        <w:tblW w:w="10205" w:type="dxa"/>
        <w:jc w:val="left"/>
        <w:tblInd w:w="0" w:type="dxa"/>
        <w:tblLayout w:type="fixed"/>
        <w:tblCellMar>
          <w:top w:w="28" w:type="dxa"/>
          <w:left w:w="28" w:type="dxa"/>
          <w:bottom w:w="28" w:type="dxa"/>
          <w:right w:w="28" w:type="dxa"/>
        </w:tblCellMar>
      </w:tblPr>
      <w:tblGrid>
        <w:gridCol w:w="530"/>
        <w:gridCol w:w="466"/>
        <w:gridCol w:w="388"/>
        <w:gridCol w:w="109"/>
        <w:gridCol w:w="109"/>
        <w:gridCol w:w="109"/>
        <w:gridCol w:w="344"/>
        <w:gridCol w:w="1160"/>
        <w:gridCol w:w="191"/>
        <w:gridCol w:w="109"/>
        <w:gridCol w:w="109"/>
        <w:gridCol w:w="109"/>
        <w:gridCol w:w="421"/>
        <w:gridCol w:w="941"/>
        <w:gridCol w:w="235"/>
        <w:gridCol w:w="109"/>
        <w:gridCol w:w="109"/>
        <w:gridCol w:w="109"/>
        <w:gridCol w:w="240"/>
        <w:gridCol w:w="813"/>
        <w:gridCol w:w="134"/>
        <w:gridCol w:w="109"/>
        <w:gridCol w:w="109"/>
        <w:gridCol w:w="109"/>
        <w:gridCol w:w="398"/>
        <w:gridCol w:w="886"/>
        <w:gridCol w:w="224"/>
        <w:gridCol w:w="109"/>
        <w:gridCol w:w="109"/>
        <w:gridCol w:w="109"/>
        <w:gridCol w:w="252"/>
        <w:gridCol w:w="738"/>
        <w:gridCol w:w="209"/>
      </w:tblGrid>
      <w:tr>
        <w:trPr/>
        <w:tc>
          <w:tcPr>
            <w:tcW w:w="5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No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an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Recognized on Nonaccrual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11,653</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12,256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4,288</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1,563</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2,033</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2,033</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2,837</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14,546</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678</w:t>
            </w:r>
            <w:r>
              <w:rPr>
                <w:color w:val="000000"/>
              </w:rPr>
              <w:t>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15,224</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9,393</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collateral dependent loans: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Residential real estate loans are primarily secured by owner-occupied primary residences and, to a lesser extent, investor-owned residences.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Commercial real estate loans can be secured by either owner-occupied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Construction loans are typically secured by owner occupied commercial real estate or non-owner occupied investment real estate. Typically, owner occupied construction loans are secured by office buildings, warehouses, manufacturing facilities, and other commercial and industrial properties that are in process of construction. Non-owner occupied commercial construction loans are generally secured by office buildings and complexes, multi-family complexes, land under development, and other commercial and industrial real estate in process of construction.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Commercial and industrial loans are generally secured by equipment, inventory, accounts receivable, and other commercial property.</w:t>
      </w:r>
    </w:p>
    <w:tbl>
      <w:tblPr>
        <w:tblW w:w="5727" w:type="dxa"/>
        <w:jc w:val="left"/>
        <w:tblInd w:w="0" w:type="dxa"/>
        <w:tblLayout w:type="fixed"/>
        <w:tblCellMar>
          <w:top w:w="28" w:type="dxa"/>
          <w:left w:w="28" w:type="dxa"/>
          <w:bottom w:w="28" w:type="dxa"/>
          <w:right w:w="28" w:type="dxa"/>
        </w:tblCellMar>
      </w:tblPr>
      <w:tblGrid>
        <w:gridCol w:w="1348"/>
        <w:gridCol w:w="1184"/>
        <w:gridCol w:w="1188"/>
        <w:gridCol w:w="109"/>
        <w:gridCol w:w="109"/>
        <w:gridCol w:w="109"/>
        <w:gridCol w:w="325"/>
        <w:gridCol w:w="1099"/>
        <w:gridCol w:w="256"/>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Collateral dependent loans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14,888</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Of the collateral dependent loans as of September 30, 2023, a specific reserve of $12 thousand was assessed for commercial and industrial loans.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Prior to the adoption of the CECL standard, loans were considered impaired when, based on current information, management believed the Company would not collect all principal and interest payments according to contractual terms. Generally, loans were reviewed for impairment when the risk grade for a loan was downgraded to a classified asset category. For loans that were classified as impaired, an allowance was established when the collateral value, if the loan was collateral dependent, or the discounted cash flows of the impaired loan was lower than the carrying value of the loan. Loans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generally charged-off in part or in full when management determined the loan to be uncollectible.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Impaired portfolio loans for the period ended December 31, 2022 were as follows:</w:t>
      </w:r>
    </w:p>
    <w:tbl>
      <w:tblPr>
        <w:tblW w:w="10205" w:type="dxa"/>
        <w:jc w:val="center"/>
        <w:tblInd w:w="0" w:type="dxa"/>
        <w:tblLayout w:type="fixed"/>
        <w:tblCellMar>
          <w:top w:w="28" w:type="dxa"/>
          <w:left w:w="28" w:type="dxa"/>
          <w:bottom w:w="28" w:type="dxa"/>
          <w:right w:w="28" w:type="dxa"/>
        </w:tblCellMar>
      </w:tblPr>
      <w:tblGrid>
        <w:gridCol w:w="686"/>
        <w:gridCol w:w="587"/>
        <w:gridCol w:w="595"/>
        <w:gridCol w:w="109"/>
        <w:gridCol w:w="109"/>
        <w:gridCol w:w="109"/>
        <w:gridCol w:w="196"/>
        <w:gridCol w:w="556"/>
        <w:gridCol w:w="109"/>
        <w:gridCol w:w="109"/>
        <w:gridCol w:w="109"/>
        <w:gridCol w:w="109"/>
        <w:gridCol w:w="196"/>
        <w:gridCol w:w="556"/>
        <w:gridCol w:w="109"/>
        <w:gridCol w:w="109"/>
        <w:gridCol w:w="109"/>
        <w:gridCol w:w="109"/>
        <w:gridCol w:w="218"/>
        <w:gridCol w:w="470"/>
        <w:gridCol w:w="123"/>
        <w:gridCol w:w="109"/>
        <w:gridCol w:w="109"/>
        <w:gridCol w:w="109"/>
        <w:gridCol w:w="196"/>
        <w:gridCol w:w="556"/>
        <w:gridCol w:w="109"/>
        <w:gridCol w:w="109"/>
        <w:gridCol w:w="109"/>
        <w:gridCol w:w="109"/>
        <w:gridCol w:w="206"/>
        <w:gridCol w:w="444"/>
        <w:gridCol w:w="116"/>
        <w:gridCol w:w="109"/>
        <w:gridCol w:w="109"/>
        <w:gridCol w:w="109"/>
        <w:gridCol w:w="196"/>
        <w:gridCol w:w="646"/>
        <w:gridCol w:w="109"/>
        <w:gridCol w:w="109"/>
        <w:gridCol w:w="109"/>
        <w:gridCol w:w="109"/>
        <w:gridCol w:w="237"/>
        <w:gridCol w:w="510"/>
        <w:gridCol w:w="190"/>
      </w:tblGrid>
      <w:tr>
        <w:trPr/>
        <w:tc>
          <w:tcPr>
            <w:tcW w:w="6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Unpaid</w:t>
              <w:br/>
              <w:t>Contractual</w:t>
              <w:br/>
              <w:t>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Recorded</w:t>
              <w:br/>
              <w:t>Investment</w:t>
              <w:br/>
              <w:t>With No</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Recorded</w:t>
              <w:br/>
              <w:t>Investment</w:t>
              <w:br/>
              <w:t>With</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Related</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Recorded</w:t>
              <w:br/>
              <w:t>Investment</w:t>
              <w:br/>
              <w:t>Year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Recognized</w:t>
              <w:br/>
              <w:t>Year to Date</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summarize interest recognized on impaired loans for the period ended September 30, 2022:</w:t>
      </w:r>
    </w:p>
    <w:tbl>
      <w:tblPr>
        <w:tblW w:w="10205" w:type="dxa"/>
        <w:jc w:val="center"/>
        <w:tblInd w:w="0" w:type="dxa"/>
        <w:tblLayout w:type="fixed"/>
        <w:tblCellMar>
          <w:top w:w="28" w:type="dxa"/>
          <w:left w:w="28" w:type="dxa"/>
          <w:bottom w:w="28" w:type="dxa"/>
          <w:right w:w="28" w:type="dxa"/>
        </w:tblCellMar>
      </w:tblPr>
      <w:tblGrid>
        <w:gridCol w:w="1052"/>
        <w:gridCol w:w="923"/>
        <w:gridCol w:w="928"/>
        <w:gridCol w:w="352"/>
        <w:gridCol w:w="1025"/>
        <w:gridCol w:w="195"/>
        <w:gridCol w:w="195"/>
        <w:gridCol w:w="195"/>
        <w:gridCol w:w="195"/>
        <w:gridCol w:w="407"/>
        <w:gridCol w:w="728"/>
        <w:gridCol w:w="195"/>
        <w:gridCol w:w="109"/>
        <w:gridCol w:w="109"/>
        <w:gridCol w:w="109"/>
        <w:gridCol w:w="342"/>
        <w:gridCol w:w="999"/>
        <w:gridCol w:w="190"/>
        <w:gridCol w:w="190"/>
        <w:gridCol w:w="190"/>
        <w:gridCol w:w="190"/>
        <w:gridCol w:w="397"/>
        <w:gridCol w:w="710"/>
        <w:gridCol w:w="280"/>
      </w:tblGrid>
      <w:tr>
        <w:trPr/>
        <w:tc>
          <w:tcPr>
            <w:tcW w:w="105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Recognized on Impaired Portfolio Loans</w:t>
            </w:r>
          </w:p>
        </w:tc>
        <w:tc>
          <w:tcPr>
            <w:tcW w:w="34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For the 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For the Nine Months Ended September 30, 2022</w:t>
            </w:r>
          </w:p>
        </w:tc>
      </w:tr>
      <w:tr>
        <w:trPr/>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Recorded</w:t>
              <w:br/>
              <w:t>Investment</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w:t>
              <w:br/>
              <w:t>Recorded</w:t>
              <w:br/>
              <w:t>Investment</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w:t>
              <w:br/>
              <w:t>Recognized</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3,329</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3,341</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1,643</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1,650</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2,939</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2,938</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Commercial and Industrial </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1,242</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1,267</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9,153</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9,196</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Credit quality indicators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 From a credit risk standpoint, the Company utilizes a risk grading matrix to assign a risk grade to each of its loans. The classifications of loans reflect a judgment about the risk of expected credit loss associated with each loan. Credit quality indicators are reviewed and adjusted regularly to account for the degree of risk and expected credit loss that the Company believes to be appropriate for each financial asset.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description of the general characteristics of loans characterized as classified is as follows: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Pass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characterized as pass includes loans graded exceptional, very good, good, satisfactory and pass/watch. The Company believes that there is a low likelihood of credit deterioration related to those loans that are considered pass.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Special mention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Substandard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recent or unexpected unprofitable operations, an inadequate debt service coverage ratio, or marginal liquidity and capitalization. These loans require more intense supervision by Company management.</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Doubtful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balances of classified loans based on the most recent credit quality indicator analysis. Classified loans include Special Mention, Substandard and Doubtful loans. Pass classified loans include loans graded exceptional, very good, good, satisfactory, and pass/watch. Credit card loans are ungraded as they are not individually graded. Charge-offs presented represent gross charge-offs recognized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tbl>
      <w:tblPr>
        <w:tblW w:w="12295" w:type="dxa"/>
        <w:jc w:val="left"/>
        <w:tblInd w:w="0" w:type="dxa"/>
        <w:tblLayout w:type="fixed"/>
        <w:tblCellMar>
          <w:top w:w="28" w:type="dxa"/>
          <w:left w:w="28" w:type="dxa"/>
          <w:bottom w:w="28" w:type="dxa"/>
          <w:right w:w="28" w:type="dxa"/>
        </w:tblCellMar>
      </w:tblPr>
      <w:tblGrid>
        <w:gridCol w:w="548"/>
        <w:gridCol w:w="311"/>
        <w:gridCol w:w="31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Residential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139,619 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82,856 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558,147 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118,278 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661,294 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193,251 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98,363 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119,275 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670,594 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Construction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276,968 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118,709 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280,905 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215,462 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80,039 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46,897 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236,782 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Ungraded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313,187 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486,368 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336,940 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190,422 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164,155 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256,304 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122,533 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1,869,909 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
        <w:gridCol w:w="489"/>
        <w:gridCol w:w="490"/>
        <w:gridCol w:w="109"/>
        <w:gridCol w:w="109"/>
        <w:gridCol w:w="109"/>
        <w:gridCol w:w="196"/>
        <w:gridCol w:w="406"/>
        <w:gridCol w:w="109"/>
        <w:gridCol w:w="109"/>
        <w:gridCol w:w="109"/>
        <w:gridCol w:w="109"/>
        <w:gridCol w:w="196"/>
        <w:gridCol w:w="331"/>
        <w:gridCol w:w="109"/>
        <w:gridCol w:w="109"/>
        <w:gridCol w:w="109"/>
        <w:gridCol w:w="109"/>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205"/>
        <w:gridCol w:w="581"/>
        <w:gridCol w:w="115"/>
        <w:gridCol w:w="109"/>
        <w:gridCol w:w="109"/>
        <w:gridCol w:w="109"/>
        <w:gridCol w:w="196"/>
        <w:gridCol w:w="556"/>
        <w:gridCol w:w="155"/>
      </w:tblGrid>
      <w:tr>
        <w:trPr/>
        <w:tc>
          <w:tcPr>
            <w:tcW w:w="5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5,036 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6,056 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balances of classified loans based on credit quality indicator as of December 31, 2022:</w:t>
      </w:r>
    </w:p>
    <w:tbl>
      <w:tblPr>
        <w:tblW w:w="10205" w:type="dxa"/>
        <w:jc w:val="center"/>
        <w:tblInd w:w="0" w:type="dxa"/>
        <w:tblLayout w:type="fixed"/>
        <w:tblCellMar>
          <w:top w:w="28" w:type="dxa"/>
          <w:left w:w="28" w:type="dxa"/>
          <w:bottom w:w="28" w:type="dxa"/>
          <w:right w:w="28" w:type="dxa"/>
        </w:tblCellMar>
      </w:tblPr>
      <w:tblGrid>
        <w:gridCol w:w="664"/>
        <w:gridCol w:w="523"/>
        <w:gridCol w:w="530"/>
        <w:gridCol w:w="109"/>
        <w:gridCol w:w="109"/>
        <w:gridCol w:w="109"/>
        <w:gridCol w:w="196"/>
        <w:gridCol w:w="871"/>
        <w:gridCol w:w="109"/>
        <w:gridCol w:w="109"/>
        <w:gridCol w:w="109"/>
        <w:gridCol w:w="109"/>
        <w:gridCol w:w="236"/>
        <w:gridCol w:w="780"/>
        <w:gridCol w:w="131"/>
        <w:gridCol w:w="109"/>
        <w:gridCol w:w="109"/>
        <w:gridCol w:w="109"/>
        <w:gridCol w:w="232"/>
        <w:gridCol w:w="764"/>
        <w:gridCol w:w="130"/>
        <w:gridCol w:w="109"/>
        <w:gridCol w:w="109"/>
        <w:gridCol w:w="109"/>
        <w:gridCol w:w="223"/>
        <w:gridCol w:w="463"/>
        <w:gridCol w:w="125"/>
        <w:gridCol w:w="109"/>
        <w:gridCol w:w="109"/>
        <w:gridCol w:w="109"/>
        <w:gridCol w:w="196"/>
        <w:gridCol w:w="736"/>
        <w:gridCol w:w="109"/>
        <w:gridCol w:w="109"/>
        <w:gridCol w:w="109"/>
        <w:gridCol w:w="109"/>
        <w:gridCol w:w="196"/>
        <w:gridCol w:w="871"/>
        <w:gridCol w:w="158"/>
      </w:tblGrid>
      <w:tr>
        <w:trPr/>
        <w:tc>
          <w:tcPr>
            <w:tcW w:w="66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Pass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Special Mention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Substandard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Doubtful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Ungraded</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664,551 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238,099 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1,737,219 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________________________</w:t>
      </w:r>
    </w:p>
    <w:p>
      <w:pPr>
        <w:pStyle w:val="TextBody"/>
        <w:bidi w:val="0"/>
        <w:spacing w:lineRule="auto" w:line="288" w:before="0" w:after="0"/>
        <w:ind w:left="0" w:right="0" w:hanging="360"/>
        <w:jc w:val="both"/>
        <w:rPr/>
      </w:pPr>
      <w:r>
        <w:rPr>
          <w:rFonts w:ascii="Arial;sans-serif" w:hAnsi="Arial;sans-serif"/>
          <w:b w:val="false"/>
          <w:color w:val="000000"/>
          <w:sz w:val="10"/>
        </w:rPr>
        <w:t>(1)     </w:t>
      </w:r>
      <w:r>
        <w:rPr>
          <w:rFonts w:ascii="Arial;sans-serif" w:hAnsi="Arial;sans-serif"/>
          <w:b w:val="false"/>
          <w:color w:val="000000"/>
          <w:sz w:val="12"/>
        </w:rPr>
        <w:t>Pass includes loans graded exceptional, very good, good, satisfactory and pass/watch, in addition to credit cards and consumer credits that are not individually graded.</w:t>
      </w:r>
    </w:p>
    <w:p>
      <w:pPr>
        <w:pStyle w:val="TextBody"/>
        <w:bidi w:val="0"/>
        <w:spacing w:lineRule="auto" w:line="288" w:before="0" w:after="240"/>
        <w:jc w:val="both"/>
        <w:rPr/>
      </w:pPr>
      <w:r>
        <w:rPr>
          <w:rFonts w:ascii="Arial;sans-serif" w:hAnsi="Arial;sans-serif"/>
          <w:b w:val="false"/>
          <w:color w:val="000000"/>
          <w:sz w:val="10"/>
        </w:rPr>
        <w:t xml:space="preserve">(2) </w:t>
      </w:r>
      <w:r>
        <w:rPr>
          <w:rFonts w:ascii="Arial;sans-serif" w:hAnsi="Arial;sans-serif"/>
          <w:b w:val="false"/>
          <w:color w:val="000000"/>
          <w:sz w:val="12"/>
        </w:rPr>
        <w:t>Credit card loans are not individually graded.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Outstanding loan commitments were as follows:</w:t>
      </w:r>
    </w:p>
    <w:tbl>
      <w:tblPr>
        <w:tblW w:w="5917" w:type="dxa"/>
        <w:jc w:val="left"/>
        <w:tblInd w:w="0" w:type="dxa"/>
        <w:tblLayout w:type="fixed"/>
        <w:tblCellMar>
          <w:top w:w="28" w:type="dxa"/>
          <w:left w:w="28" w:type="dxa"/>
          <w:bottom w:w="28" w:type="dxa"/>
          <w:right w:w="28" w:type="dxa"/>
        </w:tblCellMar>
      </w:tblPr>
      <w:tblGrid>
        <w:gridCol w:w="725"/>
        <w:gridCol w:w="640"/>
        <w:gridCol w:w="645"/>
        <w:gridCol w:w="109"/>
        <w:gridCol w:w="109"/>
        <w:gridCol w:w="109"/>
        <w:gridCol w:w="303"/>
        <w:gridCol w:w="1163"/>
        <w:gridCol w:w="168"/>
        <w:gridCol w:w="109"/>
        <w:gridCol w:w="109"/>
        <w:gridCol w:w="109"/>
        <w:gridCol w:w="292"/>
        <w:gridCol w:w="1098"/>
        <w:gridCol w:w="229"/>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Unused lines of credit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16,635</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 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44,069</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21,483</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36,609 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115,478</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43,948</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Credit card</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115,637</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357,548</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345,062 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w:t>
            </w:r>
            <w:r>
              <w:rPr>
                <w:color w:val="000000"/>
              </w:rPr>
              <w:t>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5,105 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20"/>
        </w:rPr>
        <w:br/>
      </w:r>
      <w:r>
        <w:rPr>
          <w:rFonts w:ascii="Arial;sans-serif" w:hAnsi="Arial;sans-serif"/>
          <w:b w:val="false"/>
          <w:color w:val="000000"/>
          <w:sz w:val="16"/>
        </w:rPr>
        <w:t>________________________</w:t>
      </w:r>
      <w:r>
        <w:rPr>
          <w:rFonts w:ascii="Arial;sans-serif" w:hAnsi="Arial;sans-serif"/>
          <w:b w:val="false"/>
          <w:color w:val="000000"/>
          <w:sz w:val="20"/>
        </w:rPr>
        <w:br/>
      </w:r>
      <w:r>
        <w:rPr>
          <w:rFonts w:ascii="Arial;sans-serif" w:hAnsi="Arial;sans-serif"/>
          <w:b w:val="false"/>
          <w:color w:val="000000"/>
          <w:sz w:val="8"/>
        </w:rPr>
        <w:t xml:space="preserve">(1) </w:t>
      </w:r>
      <w:r>
        <w:rPr>
          <w:color w:val="000000"/>
        </w:rPr>
        <w:t>    </w:t>
      </w:r>
      <w:r>
        <w:rPr>
          <w:rFonts w:ascii="Arial;sans-serif" w:hAnsi="Arial;sans-serif"/>
          <w:b w:val="false"/>
          <w:color w:val="000000"/>
          <w:sz w:val="12"/>
        </w:rPr>
        <w:t>Outstanding loan commitments in the credit card portfolio include $103.8 million and $106.9 million in secured and partially secured balances as of September 30, 2023 and December 31, 2022, respectively.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 The Company maintains an estimated reserve for unfunded commitments and certain off-balance sheet items such as unfunded lines of credit, which is reflected in other liabilities, with increases or decreases in the reserve being charged to or released from operating expense. Activity for this account is as follows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5 - Portfolio Loans Receivable (continued)</w:t>
            </w:r>
          </w:p>
        </w:tc>
      </w:tr>
    </w:tbl>
    <w:tbl>
      <w:tblPr>
        <w:tblW w:w="10205" w:type="dxa"/>
        <w:jc w:val="center"/>
        <w:tblInd w:w="0" w:type="dxa"/>
        <w:tblLayout w:type="fixed"/>
        <w:tblCellMar>
          <w:top w:w="28" w:type="dxa"/>
          <w:left w:w="28" w:type="dxa"/>
          <w:bottom w:w="28" w:type="dxa"/>
          <w:right w:w="28" w:type="dxa"/>
        </w:tblCellMar>
      </w:tblPr>
      <w:tblGrid>
        <w:gridCol w:w="1262"/>
        <w:gridCol w:w="1019"/>
        <w:gridCol w:w="1018"/>
        <w:gridCol w:w="109"/>
        <w:gridCol w:w="109"/>
        <w:gridCol w:w="109"/>
        <w:gridCol w:w="366"/>
        <w:gridCol w:w="815"/>
        <w:gridCol w:w="204"/>
        <w:gridCol w:w="109"/>
        <w:gridCol w:w="109"/>
        <w:gridCol w:w="109"/>
        <w:gridCol w:w="314"/>
        <w:gridCol w:w="895"/>
        <w:gridCol w:w="177"/>
        <w:gridCol w:w="109"/>
        <w:gridCol w:w="109"/>
        <w:gridCol w:w="109"/>
        <w:gridCol w:w="310"/>
        <w:gridCol w:w="904"/>
        <w:gridCol w:w="173"/>
        <w:gridCol w:w="109"/>
        <w:gridCol w:w="109"/>
        <w:gridCol w:w="109"/>
        <w:gridCol w:w="308"/>
        <w:gridCol w:w="878"/>
        <w:gridCol w:w="254"/>
      </w:tblGrid>
      <w:tr>
        <w:trPr/>
        <w:tc>
          <w:tcPr>
            <w:tcW w:w="126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1,682</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adopting the CECL standard on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(reversal of) reserve for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maintains a reserve for potential losses on mortgage loans sold, which is reflected in other liabilities, with changes being charged to or released from operating expense. Activity in this reserve is as follows for the periods presented:</w:t>
      </w:r>
    </w:p>
    <w:tbl>
      <w:tblPr>
        <w:tblW w:w="10205" w:type="dxa"/>
        <w:jc w:val="center"/>
        <w:tblInd w:w="0" w:type="dxa"/>
        <w:tblLayout w:type="fixed"/>
        <w:tblCellMar>
          <w:top w:w="28" w:type="dxa"/>
          <w:left w:w="28" w:type="dxa"/>
          <w:bottom w:w="28" w:type="dxa"/>
          <w:right w:w="28" w:type="dxa"/>
        </w:tblCellMar>
      </w:tblPr>
      <w:tblGrid>
        <w:gridCol w:w="1040"/>
        <w:gridCol w:w="916"/>
        <w:gridCol w:w="918"/>
        <w:gridCol w:w="109"/>
        <w:gridCol w:w="109"/>
        <w:gridCol w:w="109"/>
        <w:gridCol w:w="334"/>
        <w:gridCol w:w="973"/>
        <w:gridCol w:w="186"/>
        <w:gridCol w:w="109"/>
        <w:gridCol w:w="109"/>
        <w:gridCol w:w="109"/>
        <w:gridCol w:w="339"/>
        <w:gridCol w:w="964"/>
        <w:gridCol w:w="191"/>
        <w:gridCol w:w="109"/>
        <w:gridCol w:w="109"/>
        <w:gridCol w:w="109"/>
        <w:gridCol w:w="334"/>
        <w:gridCol w:w="973"/>
        <w:gridCol w:w="186"/>
        <w:gridCol w:w="109"/>
        <w:gridCol w:w="109"/>
        <w:gridCol w:w="109"/>
        <w:gridCol w:w="331"/>
        <w:gridCol w:w="943"/>
        <w:gridCol w:w="269"/>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1,182</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1,174</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mortgage loan put-back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Consolidated Financial Statements</w:t>
            </w:r>
          </w:p>
        </w:tc>
      </w:tr>
      <w:tr>
        <w:trPr/>
        <w:tc>
          <w:tcPr>
            <w:tcW w:w="5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6 - Derivative Financial Instruments</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part of its mortgage banking activities, the Company enters into interest rate lock commitments, which are commitments to originate loans whereby the interest rate on the loan is determined prior to funding and customers have locked into that interest rate. The Company then locks the loan and rate in with an investor and commits to deliver the loan if settlement occurs (Best Efforts).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to be derivatives. The market value of interest rate lock commitments and best efforts contracts are not readily ascertainable with precision because they are not actively traded in stand-alone markets. The Company determines the fair value of rate lock commitments by estimating the fair value of the underlying asset, which is impacted by current interest rates and takes into consideration the probability that the rate lock commitments will close or will be funded.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reports the commitment and fair value amounts on the outstanding derivatives:</w:t>
      </w:r>
    </w:p>
    <w:tbl>
      <w:tblPr>
        <w:tblW w:w="7569" w:type="dxa"/>
        <w:jc w:val="center"/>
        <w:tblInd w:w="0" w:type="dxa"/>
        <w:tblLayout w:type="fixed"/>
        <w:tblCellMar>
          <w:top w:w="28" w:type="dxa"/>
          <w:left w:w="28" w:type="dxa"/>
          <w:bottom w:w="28" w:type="dxa"/>
          <w:right w:w="28" w:type="dxa"/>
        </w:tblCellMar>
      </w:tblPr>
      <w:tblGrid>
        <w:gridCol w:w="1441"/>
        <w:gridCol w:w="1268"/>
        <w:gridCol w:w="1280"/>
        <w:gridCol w:w="109"/>
        <w:gridCol w:w="109"/>
        <w:gridCol w:w="109"/>
        <w:gridCol w:w="449"/>
        <w:gridCol w:w="932"/>
        <w:gridCol w:w="253"/>
        <w:gridCol w:w="349"/>
        <w:gridCol w:w="993"/>
        <w:gridCol w:w="277"/>
      </w:tblGrid>
      <w:tr>
        <w:trPr/>
        <w:tc>
          <w:tcPr>
            <w:tcW w:w="14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Notional amount of open forward sales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open forward delivery sales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Notional amount of interest rate lock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interest rate lock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7 -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primary leasing activities relate to certain real estate leases entered into in support of the Company’s branch operations and back office operations. The Company leases four of its full service branches and three other locations for corporate/administration activities, operations, and loan production. All property leases under lease agreements have been designated as operating leases. The Company does not have leases designated as finance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Operating lease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was 3.65% at September 30, 2023 and 1.94% at December 31, 2022.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2023, the Company’s net lease ROU assets and related lease liabilities were $3.8 million and $4.0 million, respectively, compared to December 31, 2022 balances of $2.1 million of ROU assets and $2.4 million of lease liabilities, and have remaining terms ranging from one to nine years, including extension options that the Company is reasonably certain will be exercised. As of September 30, 2023, the Company had not entered into any material leases that have not yet commenced. The Company’s lease information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7 - Leases (continued)</w:t>
            </w:r>
          </w:p>
        </w:tc>
      </w:tr>
    </w:tbl>
    <w:tbl>
      <w:tblPr>
        <w:tblW w:w="6353" w:type="dxa"/>
        <w:jc w:val="center"/>
        <w:tblInd w:w="0" w:type="dxa"/>
        <w:tblLayout w:type="fixed"/>
        <w:tblCellMar>
          <w:top w:w="28" w:type="dxa"/>
          <w:left w:w="28" w:type="dxa"/>
          <w:bottom w:w="28" w:type="dxa"/>
          <w:right w:w="28" w:type="dxa"/>
        </w:tblCellMar>
      </w:tblPr>
      <w:tblGrid>
        <w:gridCol w:w="883"/>
        <w:gridCol w:w="778"/>
        <w:gridCol w:w="784"/>
        <w:gridCol w:w="109"/>
        <w:gridCol w:w="109"/>
        <w:gridCol w:w="109"/>
        <w:gridCol w:w="366"/>
        <w:gridCol w:w="1065"/>
        <w:gridCol w:w="204"/>
        <w:gridCol w:w="109"/>
        <w:gridCol w:w="109"/>
        <w:gridCol w:w="109"/>
        <w:gridCol w:w="349"/>
        <w:gridCol w:w="993"/>
        <w:gridCol w:w="277"/>
      </w:tblGrid>
      <w:tr>
        <w:trPr/>
        <w:tc>
          <w:tcPr>
            <w:tcW w:w="88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Right of 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7,229</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(3,470)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(3,074)</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3,759</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7,378</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(3,397)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3,981</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Future minimum payments for operating leases with initial or remaining terms of one year or more are as follows:</w:t>
      </w:r>
    </w:p>
    <w:tbl>
      <w:tblPr>
        <w:tblW w:w="5247" w:type="dxa"/>
        <w:jc w:val="center"/>
        <w:tblInd w:w="0" w:type="dxa"/>
        <w:tblLayout w:type="fixed"/>
        <w:tblCellMar>
          <w:top w:w="28" w:type="dxa"/>
          <w:left w:w="28" w:type="dxa"/>
          <w:bottom w:w="28" w:type="dxa"/>
          <w:right w:w="28" w:type="dxa"/>
        </w:tblCellMar>
      </w:tblPr>
      <w:tblGrid>
        <w:gridCol w:w="1171"/>
        <w:gridCol w:w="1029"/>
        <w:gridCol w:w="1040"/>
        <w:gridCol w:w="109"/>
        <w:gridCol w:w="109"/>
        <w:gridCol w:w="109"/>
        <w:gridCol w:w="357"/>
        <w:gridCol w:w="1041"/>
        <w:gridCol w:w="282"/>
      </w:tblGrid>
      <w:tr>
        <w:trP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due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4,604</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net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3,981</w:t>
            </w:r>
            <w:r>
              <w:rPr>
                <w:color w:val="000000"/>
              </w:rPr>
              <w:t>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8 - Fair Value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Level 1 - Inputs to the valuation method are quoted prices (unadjusted) for identical assets or liabilities in active markets. This also includes certain U.S. Treasury and other U.S. Government and government agency securities actively traded in over-the-counter markets;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Level 3 - Inputs to the valuation method are unobservable and significant to the fair value measurement.</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Fair value measurements on a recurring basis</w:t>
      </w:r>
    </w:p>
    <w:p>
      <w:pPr>
        <w:pStyle w:val="TextBody"/>
        <w:bidi w:val="0"/>
        <w:spacing w:lineRule="auto" w:line="288" w:before="0" w:after="240"/>
        <w:ind w:left="0" w:right="0" w:firstLine="360"/>
        <w:jc w:val="both"/>
        <w:rPr/>
      </w:pPr>
      <w:r>
        <w:rPr>
          <w:rFonts w:ascii="Arial;sans-serif" w:hAnsi="Arial;sans-serif"/>
          <w:b w:val="false"/>
          <w:i/>
          <w:color w:val="000000"/>
          <w:sz w:val="20"/>
        </w:rPr>
        <w:t>Investment securities available for sale</w:t>
      </w:r>
      <w:r>
        <w:rPr>
          <w:color w:val="000000"/>
        </w:rPr>
        <w:t xml:space="preserve"> </w:t>
      </w:r>
      <w:r>
        <w:rPr>
          <w:rFonts w:ascii="Arial;sans-serif" w:hAnsi="Arial;sans-serif"/>
          <w:b w:val="false"/>
          <w:color w:val="000000"/>
          <w:sz w:val="20"/>
        </w:rPr>
        <w:t xml:space="preserve">- The fair values of the Company's investment securities available for sale are provided by an independent pricing service. The fair values of the Company's securities are determined based on quoted prices for similar securities under Level 1 or Level 2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pPr>
      <w:r>
        <w:rPr>
          <w:rFonts w:ascii="Arial;sans-serif" w:hAnsi="Arial;sans-serif"/>
          <w:b w:val="false"/>
          <w:i/>
          <w:color w:val="000000"/>
          <w:sz w:val="20"/>
        </w:rPr>
        <w:t>Loans held for sale</w:t>
      </w:r>
      <w:r>
        <w:rPr>
          <w:color w:val="000000"/>
        </w:rPr>
        <w:t xml:space="preserve"> </w:t>
      </w:r>
      <w:r>
        <w:rPr>
          <w:rFonts w:ascii="Arial;sans-serif" w:hAnsi="Arial;sans-serif"/>
          <w:b w:val="false"/>
          <w:color w:val="000000"/>
          <w:sz w:val="20"/>
        </w:rPr>
        <w:t xml:space="preserve">- The fair value of loans held for sale is determined using Level 2 inputs of quoted prices for a similar asset, adjusted for specific attributes of that loan. </w:t>
      </w:r>
    </w:p>
    <w:p>
      <w:pPr>
        <w:pStyle w:val="TextBody"/>
        <w:bidi w:val="0"/>
        <w:spacing w:lineRule="auto" w:line="288" w:before="0" w:after="240"/>
        <w:ind w:left="0" w:right="0" w:firstLine="360"/>
        <w:jc w:val="both"/>
        <w:rPr/>
      </w:pPr>
      <w:r>
        <w:rPr>
          <w:rFonts w:ascii="Arial;sans-serif" w:hAnsi="Arial;sans-serif"/>
          <w:b w:val="false"/>
          <w:i/>
          <w:color w:val="000000"/>
          <w:sz w:val="20"/>
        </w:rPr>
        <w:t>Derivative financial instruments</w:t>
      </w:r>
      <w:r>
        <w:rPr>
          <w:color w:val="000000"/>
        </w:rPr>
        <w:t xml:space="preserve"> </w:t>
      </w:r>
      <w:r>
        <w:rPr>
          <w:rFonts w:ascii="Arial;sans-serif" w:hAnsi="Arial;sans-serif"/>
          <w:b w:val="false"/>
          <w:color w:val="000000"/>
          <w:sz w:val="20"/>
        </w:rPr>
        <w:t>- Derivative instruments used to hedge residential mortgage loans held for sale and the related interest rate 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financial instruments measured at fair value on a recurring basis as of September 30, 2023 and December 31, 2022 as follows:</w:t>
      </w:r>
    </w:p>
    <w:tbl>
      <w:tblPr>
        <w:tblW w:w="8991" w:type="dxa"/>
        <w:jc w:val="center"/>
        <w:tblInd w:w="0" w:type="dxa"/>
        <w:tblLayout w:type="fixed"/>
        <w:tblCellMar>
          <w:top w:w="28" w:type="dxa"/>
          <w:left w:w="28" w:type="dxa"/>
          <w:bottom w:w="28" w:type="dxa"/>
          <w:right w:w="28" w:type="dxa"/>
        </w:tblCellMar>
      </w:tblPr>
      <w:tblGrid>
        <w:gridCol w:w="1060"/>
        <w:gridCol w:w="933"/>
        <w:gridCol w:w="946"/>
        <w:gridCol w:w="109"/>
        <w:gridCol w:w="109"/>
        <w:gridCol w:w="109"/>
        <w:gridCol w:w="196"/>
        <w:gridCol w:w="751"/>
        <w:gridCol w:w="109"/>
        <w:gridCol w:w="109"/>
        <w:gridCol w:w="109"/>
        <w:gridCol w:w="109"/>
        <w:gridCol w:w="225"/>
        <w:gridCol w:w="864"/>
        <w:gridCol w:w="125"/>
        <w:gridCol w:w="109"/>
        <w:gridCol w:w="109"/>
        <w:gridCol w:w="109"/>
        <w:gridCol w:w="246"/>
        <w:gridCol w:w="832"/>
        <w:gridCol w:w="137"/>
        <w:gridCol w:w="109"/>
        <w:gridCol w:w="109"/>
        <w:gridCol w:w="109"/>
        <w:gridCol w:w="326"/>
        <w:gridCol w:w="677"/>
        <w:gridCol w:w="256"/>
      </w:tblGrid>
      <w:tr>
        <w:trPr/>
        <w:tc>
          <w:tcPr>
            <w:tcW w:w="106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 Inputs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154,813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7,266</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206,055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154,813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51,242</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4,843</w:t>
            </w:r>
            <w:r>
              <w:rPr>
                <w:color w:val="000000"/>
              </w:rPr>
              <w:t>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Financial instruments recorded using FASB ASC 825-10</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reflects the difference between the fair value carrying amount of loans held for sale, measured at fair value under FASB ASC 825-10, and the aggregate unpaid principal amount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Company is contractually entitled to receive at maturity:</w:t>
      </w:r>
    </w:p>
    <w:tbl>
      <w:tblPr>
        <w:tblW w:w="6803" w:type="dxa"/>
        <w:jc w:val="center"/>
        <w:tblInd w:w="0" w:type="dxa"/>
        <w:tblLayout w:type="fixed"/>
        <w:tblCellMar>
          <w:top w:w="28" w:type="dxa"/>
          <w:left w:w="28" w:type="dxa"/>
          <w:bottom w:w="28" w:type="dxa"/>
          <w:right w:w="28" w:type="dxa"/>
        </w:tblCellMar>
      </w:tblPr>
      <w:tblGrid>
        <w:gridCol w:w="1049"/>
        <w:gridCol w:w="919"/>
        <w:gridCol w:w="927"/>
        <w:gridCol w:w="109"/>
        <w:gridCol w:w="109"/>
        <w:gridCol w:w="109"/>
        <w:gridCol w:w="366"/>
        <w:gridCol w:w="1065"/>
        <w:gridCol w:w="204"/>
        <w:gridCol w:w="109"/>
        <w:gridCol w:w="109"/>
        <w:gridCol w:w="109"/>
        <w:gridCol w:w="349"/>
        <w:gridCol w:w="993"/>
        <w:gridCol w:w="277"/>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 of Loans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Aggregate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4,843</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Contractual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3,035</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1,808</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elected to account for loans held for sale at fair value to eliminate the mismatch that would occur by recording changes in market value on derivative instruments used to hedge loans held for sale while carrying the loans at the lower of cost or market. As of September 30, 2023 and December 31, 2022, there were no held for sale loans which were classified as nonaccrual.</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Fair value measurements on a nonrecurring basis</w:t>
      </w:r>
    </w:p>
    <w:p>
      <w:pPr>
        <w:pStyle w:val="TextBody"/>
        <w:bidi w:val="0"/>
        <w:spacing w:lineRule="auto" w:line="288" w:before="0" w:after="240"/>
        <w:ind w:left="0" w:right="0" w:firstLine="360"/>
        <w:jc w:val="both"/>
        <w:rPr/>
      </w:pPr>
      <w:r>
        <w:rPr>
          <w:rFonts w:ascii="Arial;sans-serif" w:hAnsi="Arial;sans-serif"/>
          <w:b w:val="false"/>
          <w:i/>
          <w:color w:val="000000"/>
          <w:sz w:val="20"/>
        </w:rPr>
        <w:t>Individually evaluated loans</w:t>
      </w:r>
      <w:r>
        <w:rPr>
          <w:color w:val="000000"/>
        </w:rPr>
        <w:t xml:space="preserve"> </w:t>
      </w:r>
      <w:r>
        <w:rPr>
          <w:rFonts w:ascii="Arial;sans-serif" w:hAnsi="Arial;sans-serif"/>
          <w:b w:val="false"/>
          <w:color w:val="000000"/>
          <w:sz w:val="20"/>
        </w:rPr>
        <w:t>- The Company has measured expected credit losses based on the fair value of the loan's collateral and discounted cash flow analysis, where appropriate. Fair value of the collateral is generally determined based upon independent third-party appraisals of the properties, or discounted cash flows based upon the expected proceeds. These assets are included as Level 3 fair values. As of September 30, 2023 and December 31, 2022, the fair values consist of loan receivables of $15.3 million and $9.4 million, with specific reserves of $678 thousand and $372 thousand, respectively.</w:t>
      </w:r>
    </w:p>
    <w:p>
      <w:pPr>
        <w:pStyle w:val="TextBody"/>
        <w:bidi w:val="0"/>
        <w:spacing w:lineRule="auto" w:line="288" w:before="0" w:after="240"/>
        <w:ind w:left="0" w:right="0" w:firstLine="360"/>
        <w:jc w:val="both"/>
        <w:rPr/>
      </w:pPr>
      <w:r>
        <w:rPr>
          <w:rFonts w:ascii="Arial;sans-serif" w:hAnsi="Arial;sans-serif"/>
          <w:b w:val="false"/>
          <w:i/>
          <w:color w:val="000000"/>
          <w:sz w:val="20"/>
        </w:rPr>
        <w:t>Foreclosed real estate</w:t>
      </w:r>
      <w:r>
        <w:rPr>
          <w:color w:val="000000"/>
        </w:rPr>
        <w:t xml:space="preserve"> </w:t>
      </w:r>
      <w:r>
        <w:rPr>
          <w:rFonts w:ascii="Arial;sans-serif" w:hAnsi="Arial;sans-serif"/>
          <w:b w:val="false"/>
          <w:color w:val="000000"/>
          <w:sz w:val="20"/>
        </w:rPr>
        <w:t>- The Company's foreclosed real estate is measured at fair value less cost to sell. Fair value is determined based on offers and/or appraisals. Cost to sell the real estate is based on standard market factors. The Company categorizes its foreclosed real estate as Level 3. As of September 30, 2023 and December 31, 2022, there was no foreclosed real estate held by the Company.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financial instruments measured at fair value on a nonrecurring basis as of September 30, 2023 and December 31, 2022 as follows:</w:t>
      </w:r>
    </w:p>
    <w:tbl>
      <w:tblPr>
        <w:tblW w:w="7716" w:type="dxa"/>
        <w:jc w:val="left"/>
        <w:tblInd w:w="0" w:type="dxa"/>
        <w:tblLayout w:type="fixed"/>
        <w:tblCellMar>
          <w:top w:w="28" w:type="dxa"/>
          <w:left w:w="28" w:type="dxa"/>
          <w:bottom w:w="28" w:type="dxa"/>
          <w:right w:w="28" w:type="dxa"/>
        </w:tblCellMar>
      </w:tblPr>
      <w:tblGrid>
        <w:gridCol w:w="1375"/>
        <w:gridCol w:w="1213"/>
        <w:gridCol w:w="1221"/>
        <w:gridCol w:w="109"/>
        <w:gridCol w:w="109"/>
        <w:gridCol w:w="109"/>
        <w:gridCol w:w="331"/>
        <w:gridCol w:w="1119"/>
        <w:gridCol w:w="184"/>
        <w:gridCol w:w="109"/>
        <w:gridCol w:w="109"/>
        <w:gridCol w:w="109"/>
        <w:gridCol w:w="474"/>
        <w:gridCol w:w="474"/>
        <w:gridCol w:w="671"/>
      </w:tblGrid>
      <w:tr>
        <w:trPr/>
        <w:tc>
          <w:tcPr>
            <w:tcW w:w="137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946" w:type="dxa"/>
            <w:gridSpan w:val="6"/>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Individually evaluated loans for credit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Level 3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14,575</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14,575</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information describing the unobservable inputs used in Level 3 fair value measurements at September 30, 2023 and December 31, 2022:</w:t>
      </w:r>
    </w:p>
    <w:tbl>
      <w:tblPr>
        <w:tblW w:w="10205" w:type="dxa"/>
        <w:jc w:val="center"/>
        <w:tblInd w:w="0" w:type="dxa"/>
        <w:tblLayout w:type="fixed"/>
        <w:tblCellMar>
          <w:top w:w="28" w:type="dxa"/>
          <w:left w:w="28" w:type="dxa"/>
          <w:bottom w:w="28" w:type="dxa"/>
          <w:right w:w="28" w:type="dxa"/>
        </w:tblCellMar>
      </w:tblPr>
      <w:tblGrid>
        <w:gridCol w:w="607"/>
        <w:gridCol w:w="532"/>
        <w:gridCol w:w="536"/>
        <w:gridCol w:w="770"/>
        <w:gridCol w:w="770"/>
        <w:gridCol w:w="772"/>
        <w:gridCol w:w="183"/>
        <w:gridCol w:w="183"/>
        <w:gridCol w:w="190"/>
        <w:gridCol w:w="1391"/>
        <w:gridCol w:w="1391"/>
        <w:gridCol w:w="1395"/>
        <w:gridCol w:w="109"/>
        <w:gridCol w:w="109"/>
        <w:gridCol w:w="109"/>
        <w:gridCol w:w="336"/>
        <w:gridCol w:w="336"/>
        <w:gridCol w:w="486"/>
      </w:tblGrid>
      <w:tr>
        <w:trPr/>
        <w:tc>
          <w:tcPr>
            <w:tcW w:w="60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Unobservable Inputs</w:t>
            </w:r>
          </w:p>
        </w:tc>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Range of Inputs</w:t>
            </w:r>
          </w:p>
        </w:tc>
      </w:tr>
      <w:tr>
        <w:trP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Individually evaluated loans</w:t>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Appraised Value/Discounted Cash Flows</w:t>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Discounts to appraisals or cash flows for estimated holding and/or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 to 25%</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that convey or impose on an entity the contractual right or obligation to either receive or deliver cash for another financial instrument.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information used to determine fair value is highly subjective in nature and, therefore, the results are imprecise.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cash and cash equivalents and investments in restricted stocks is the carrying amount. Restricted investments includes equity of the Federal Reserve and other banker’s banks.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noninterest-bearing deposits and securities sold under agreements to repurchase is the carrying amount.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certificates of deposit in other financial institutions is estimated based on interest rates currently offered for deposits of similar remaining maturities.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borrowings is estimated by discounting the value of contractual cash flows using current market rates for borrowings with similar terms and remaining maturities.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table below presents the carrying amount, fair value, and placement in the fair value hierarchy of the Company’s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tbl>
      <w:tblPr>
        <w:tblW w:w="10171" w:type="dxa"/>
        <w:jc w:val="left"/>
        <w:tblInd w:w="0" w:type="dxa"/>
        <w:tblLayout w:type="fixed"/>
        <w:tblCellMar>
          <w:top w:w="28" w:type="dxa"/>
          <w:left w:w="28" w:type="dxa"/>
          <w:bottom w:w="28" w:type="dxa"/>
          <w:right w:w="28" w:type="dxa"/>
        </w:tblCellMar>
      </w:tblPr>
      <w:tblGrid>
        <w:gridCol w:w="1436"/>
        <w:gridCol w:w="1265"/>
        <w:gridCol w:w="1273"/>
        <w:gridCol w:w="242"/>
        <w:gridCol w:w="1094"/>
        <w:gridCol w:w="134"/>
        <w:gridCol w:w="109"/>
        <w:gridCol w:w="109"/>
        <w:gridCol w:w="109"/>
        <w:gridCol w:w="196"/>
        <w:gridCol w:w="886"/>
        <w:gridCol w:w="109"/>
        <w:gridCol w:w="109"/>
        <w:gridCol w:w="109"/>
        <w:gridCol w:w="109"/>
        <w:gridCol w:w="222"/>
        <w:gridCol w:w="989"/>
        <w:gridCol w:w="123"/>
        <w:gridCol w:w="109"/>
        <w:gridCol w:w="109"/>
        <w:gridCol w:w="109"/>
        <w:gridCol w:w="196"/>
        <w:gridCol w:w="871"/>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 Value</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assets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13,767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130,428</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Portfolio loans receivable, net </w:t>
            </w:r>
            <w:r>
              <w:rPr>
                <w:rFonts w:ascii="Arial;sans-serif" w:hAnsi="Arial;sans-serif"/>
                <w:b w:val="false"/>
                <w:color w:val="000000"/>
                <w:sz w:val="10"/>
              </w:rPr>
              <w:t>(1)</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1,834,400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1,821,205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1,704,370 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liabilities</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680,803</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1,287,185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1,285,398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1,083,759 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 and other borrowed funds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34,062</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Includes SBA-PPP loans and portfolio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Arial;sans-serif" w:hAnsi="Arial;sans-serif"/>
          <w:b w:val="false"/>
          <w:color w:val="000000"/>
          <w:sz w:val="20"/>
        </w:rPr>
        <w:t>The Company’s reportable segments represent business units with discrete financial information whose results are regularly reviewed by management. The four segments include Commercial Banking, Capital Bank Home Loans (the Company’s mortgage loan division),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(the Company’s credit card division) and the Corporate Office. The following schedule presents financial information for each reportable segment at September 30, 2023 and September 30, 2022. </w:t>
      </w:r>
    </w:p>
    <w:tbl>
      <w:tblPr>
        <w:tblW w:w="10205" w:type="dxa"/>
        <w:jc w:val="center"/>
        <w:tblInd w:w="0" w:type="dxa"/>
        <w:tblLayout w:type="fixed"/>
        <w:tblCellMar>
          <w:top w:w="28" w:type="dxa"/>
          <w:left w:w="28" w:type="dxa"/>
          <w:bottom w:w="28" w:type="dxa"/>
          <w:right w:w="28" w:type="dxa"/>
        </w:tblCellMar>
      </w:tblPr>
      <w:tblGrid>
        <w:gridCol w:w="820"/>
        <w:gridCol w:w="384"/>
        <w:gridCol w:w="387"/>
        <w:gridCol w:w="114"/>
        <w:gridCol w:w="114"/>
        <w:gridCol w:w="114"/>
        <w:gridCol w:w="205"/>
        <w:gridCol w:w="930"/>
        <w:gridCol w:w="114"/>
        <w:gridCol w:w="114"/>
        <w:gridCol w:w="114"/>
        <w:gridCol w:w="114"/>
        <w:gridCol w:w="205"/>
        <w:gridCol w:w="599"/>
        <w:gridCol w:w="114"/>
        <w:gridCol w:w="109"/>
        <w:gridCol w:w="109"/>
        <w:gridCol w:w="109"/>
        <w:gridCol w:w="196"/>
        <w:gridCol w:w="751"/>
        <w:gridCol w:w="109"/>
        <w:gridCol w:w="109"/>
        <w:gridCol w:w="109"/>
        <w:gridCol w:w="109"/>
        <w:gridCol w:w="196"/>
        <w:gridCol w:w="751"/>
        <w:gridCol w:w="109"/>
        <w:gridCol w:w="109"/>
        <w:gridCol w:w="109"/>
        <w:gridCol w:w="109"/>
        <w:gridCol w:w="196"/>
        <w:gridCol w:w="794"/>
        <w:gridCol w:w="109"/>
        <w:gridCol w:w="109"/>
        <w:gridCol w:w="109"/>
        <w:gridCol w:w="109"/>
        <w:gridCol w:w="196"/>
        <w:gridCol w:w="886"/>
        <w:gridCol w:w="162"/>
      </w:tblGrid>
      <w:tr>
        <w:trPr/>
        <w:tc>
          <w:tcPr>
            <w:tcW w:w="82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4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OpenSky</w:t>
            </w:r>
            <w:r>
              <w:rPr>
                <w:rFonts w:ascii="Arial;sans-serif" w:hAnsi="Arial;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Corporate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30,409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47,741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10,736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10,931</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19,673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36,810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19,374</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34,506</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6,326</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Noninterest expense</w:t>
            </w:r>
            <w:r>
              <w:rPr>
                <w:rFonts w:ascii="Arial;sans-serif" w:hAnsi="Arial;sans-serif"/>
                <w:b w:val="false"/>
                <w:color w:val="000000"/>
                <w:sz w:val="10"/>
              </w:rPr>
              <w:t>(1)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15,784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28,046</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12,786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2,102,749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(216,813)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2,272,484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September 30, 2022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(release of provision) for loan losses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Noninterest expense</w:t>
            </w:r>
            <w:r>
              <w:rPr>
                <w:rFonts w:ascii="Arial;sans-serif" w:hAnsi="Arial;sans-serif"/>
                <w:b w:val="false"/>
                <w:color w:val="000000"/>
                <w:sz w:val="10"/>
              </w:rPr>
              <w:t>(1)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1,823,049 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2,009,358 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w:t>
            </w:r>
          </w:p>
        </w:tc>
      </w:tr>
    </w:tbl>
    <w:p>
      <w:pPr>
        <w:pStyle w:val="TextBody"/>
        <w:bidi w:val="0"/>
        <w:spacing w:before="0" w:after="24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818"/>
        <w:gridCol w:w="368"/>
        <w:gridCol w:w="300"/>
        <w:gridCol w:w="125"/>
        <w:gridCol w:w="125"/>
        <w:gridCol w:w="125"/>
        <w:gridCol w:w="226"/>
        <w:gridCol w:w="1022"/>
        <w:gridCol w:w="125"/>
        <w:gridCol w:w="109"/>
        <w:gridCol w:w="109"/>
        <w:gridCol w:w="109"/>
        <w:gridCol w:w="196"/>
        <w:gridCol w:w="579"/>
        <w:gridCol w:w="109"/>
        <w:gridCol w:w="109"/>
        <w:gridCol w:w="109"/>
        <w:gridCol w:w="109"/>
        <w:gridCol w:w="196"/>
        <w:gridCol w:w="751"/>
        <w:gridCol w:w="109"/>
        <w:gridCol w:w="109"/>
        <w:gridCol w:w="109"/>
        <w:gridCol w:w="109"/>
        <w:gridCol w:w="196"/>
        <w:gridCol w:w="751"/>
        <w:gridCol w:w="109"/>
        <w:gridCol w:w="109"/>
        <w:gridCol w:w="109"/>
        <w:gridCol w:w="109"/>
        <w:gridCol w:w="196"/>
        <w:gridCol w:w="793"/>
        <w:gridCol w:w="109"/>
        <w:gridCol w:w="109"/>
        <w:gridCol w:w="109"/>
        <w:gridCol w:w="109"/>
        <w:gridCol w:w="196"/>
        <w:gridCol w:w="886"/>
        <w:gridCol w:w="160"/>
      </w:tblGrid>
      <w:tr>
        <w:trPr/>
        <w:tc>
          <w:tcPr>
            <w:tcW w:w="8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OpenSky</w:t>
            </w:r>
            <w:r>
              <w:rPr>
                <w:rFonts w:ascii="Arial;sans-serif" w:hAnsi="Arial;sans-serif"/>
                <w:b/>
                <w:color w:val="000000"/>
                <w:sz w:val="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Corporate</w:t>
            </w:r>
            <w:r>
              <w:rPr>
                <w:rFonts w:ascii="Arial;sans-serif" w:hAnsi="Arial;sans-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85,451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136,237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29,012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29,600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56,439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106,637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credit losses on unfunded commitments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55,585</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99,830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Noninterest expense</w:t>
            </w:r>
            <w:r>
              <w:rPr>
                <w:rFonts w:ascii="Arial;sans-serif" w:hAnsi="Arial;sans-serif"/>
                <w:b w:val="false"/>
                <w:color w:val="000000"/>
                <w:sz w:val="10"/>
              </w:rPr>
              <w:t>(3)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46,701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83,860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10,848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35,009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2,102,749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(216,813)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2,272,484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Nine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54,539 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(release of provision) for loan losses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55,519 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101,161 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Noninterest expense</w:t>
            </w:r>
            <w:r>
              <w:rPr>
                <w:rFonts w:ascii="Arial;sans-serif" w:hAnsi="Arial;sans-serif"/>
                <w:b w:val="false"/>
                <w:color w:val="000000"/>
                <w:sz w:val="10"/>
              </w:rPr>
              <w:t>(3)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1,823,049 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128,842 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(184,928)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2,009,358 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Noninterest expense includes $6.1 million and $6.6 million in data processing expense in OpenSky’s</w:t>
      </w:r>
      <w:r>
        <w:rPr>
          <w:rFonts w:ascii="Arial;sans-serif" w:hAnsi="Arial;sans-serif"/>
          <w:b w:val="false"/>
          <w:color w:val="000000"/>
          <w:sz w:val="9"/>
        </w:rPr>
        <w:t>®</w:t>
      </w:r>
      <w:r>
        <w:rPr>
          <w:color w:val="000000"/>
        </w:rPr>
        <w:t xml:space="preserve"> </w:t>
      </w:r>
      <w:r>
        <w:rPr>
          <w:rFonts w:ascii="Arial;sans-serif" w:hAnsi="Arial;sans-serif"/>
          <w:b w:val="false"/>
          <w:color w:val="000000"/>
          <w:sz w:val="14"/>
        </w:rPr>
        <w:t>segment for the three months ended September 30, 2023 and 2022, respectively.</w:t>
      </w:r>
    </w:p>
    <w:p>
      <w:pPr>
        <w:pStyle w:val="TextBody"/>
        <w:bidi w:val="0"/>
        <w:spacing w:lineRule="auto" w:line="288" w:before="0" w:after="0"/>
        <w:ind w:left="0" w:right="0" w:hanging="360"/>
        <w:jc w:val="both"/>
        <w:rPr/>
      </w:pPr>
      <w:r>
        <w:rPr>
          <w:rFonts w:ascii="Arial;sans-serif" w:hAnsi="Arial;sans-serif"/>
          <w:b w:val="false"/>
          <w:color w:val="000000"/>
          <w:sz w:val="9"/>
        </w:rPr>
        <w:t>(2)    </w:t>
      </w:r>
      <w:r>
        <w:rPr>
          <w:rFonts w:ascii="Arial;sans-serif" w:hAnsi="Arial;sans-serif"/>
          <w:b w:val="false"/>
          <w:color w:val="000000"/>
          <w:sz w:val="14"/>
        </w:rPr>
        <w:t>The Corporate segment invests idle cash in revenue producing assets including interest-bearing cash accounts, loan participations and other appropriate investments for the Company.</w:t>
      </w:r>
    </w:p>
    <w:p>
      <w:pPr>
        <w:pStyle w:val="TextBody"/>
        <w:bidi w:val="0"/>
        <w:spacing w:lineRule="auto" w:line="288" w:before="0" w:after="240"/>
        <w:ind w:left="0" w:right="0" w:hanging="360"/>
        <w:jc w:val="both"/>
        <w:rPr/>
      </w:pPr>
      <w:r>
        <w:rPr>
          <w:rFonts w:ascii="Arial;sans-serif" w:hAnsi="Arial;sans-serif"/>
          <w:b w:val="false"/>
          <w:color w:val="000000"/>
          <w:sz w:val="9"/>
        </w:rPr>
        <w:t>(3)</w:t>
      </w:r>
      <w:r>
        <w:rPr>
          <w:color w:val="000000"/>
        </w:rPr>
        <w:t>    </w:t>
      </w:r>
      <w:r>
        <w:rPr>
          <w:rFonts w:ascii="Arial;sans-serif" w:hAnsi="Arial;sans-serif"/>
          <w:b w:val="false"/>
          <w:color w:val="000000"/>
          <w:sz w:val="14"/>
        </w:rPr>
        <w:t>Noninterest expense includes $17.9 million and $20.9 million in data processing expense in OpenSky’s</w:t>
      </w:r>
      <w:r>
        <w:rPr>
          <w:rFonts w:ascii="Arial;sans-serif" w:hAnsi="Arial;sans-serif"/>
          <w:b w:val="false"/>
          <w:color w:val="000000"/>
          <w:sz w:val="9"/>
        </w:rPr>
        <w:t>®</w:t>
      </w:r>
      <w:r>
        <w:rPr>
          <w:color w:val="000000"/>
        </w:rPr>
        <w:t xml:space="preserve"> </w:t>
      </w:r>
      <w:r>
        <w:rPr>
          <w:rFonts w:ascii="Arial;sans-serif" w:hAnsi="Arial;sans-serif"/>
          <w:b w:val="false"/>
          <w:color w:val="000000"/>
          <w:sz w:val="14"/>
        </w:rPr>
        <w:t>segment for the nine months ended September 30, 2023 and 2022, respectively.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2022.</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PRIVATE SECURITIES LITIGATION REFORM ACT SAFE HARBOR STATEMENT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“forecast,” “could,” “project,” “seek,” “should,” “will,” or “would,” or the negative of these words and phrases or similar words and phrases.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factors, among others, could cause our financial performance to differ materially from that expressed in such forward-looking statements:</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Economic Conditions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economic conditions (including the interest rate environment, government economic and monetary policies, the strength of global financial markets and inflation/deflation) that impact the financial services industry as a whole and/or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recent adverse developments in the banking industry highlighted by high-profile bank failures and the potential impact of such developments on customer confidence, liquidity, and regulatory responses to these developments;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concentration of our business in the Washington, D.C. and Baltimore, Maryland metropolitan areas and the effect of changes in the economic, political and environmental conditions on these markets;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interest rate risk associated with our business, including sensitivity of our interest earning assets and interest-bearing liabilities to changes in interest rates, and the impact to our earnings from changes in interest rates;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geopolitical conditions, including acts or threats of terrorism, actions taken by the U.S. or other governments in response to acts or threats of terrorism and/or military conflicts, including the ongoing wars in Ukraine and the Middle East, which could impact business and economic conditions in the U.S. and abroad;</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Business Operations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prudently manage our growth and execute our strategy;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plans to grow our commercial real estate and commercial business loan portfolios which may carry material risks of non-payment or other unfavorable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adequacy of reserves, including our allowance for credit losses;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deterioration of our asset quality;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risks associated with our residential mortgage banking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risks associated with our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credit card division, including compliance with applicable consumer finance and fraud prevention regulations;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results of examinations of us by our regulators, including the possibility that our regulators may, among other things, require us to increase our allowance for credit losses or to write-down assets;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effectiveness of our internal controls over financial reporting and our ability to remediate any future material weakness in our internal controls over financial reporting;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value of collateral securing our loans;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on our management team and board of directors and changes in management and board composition;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liquidity and operations risks associated with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maintain important customer deposit relationships and our reputation;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operational risks associated with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strategic acquisitions we may undertake to achieve our goals;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sufficiency of our capital, including sources of capital and the extent to which we may be required to raise additional capital to meet our goals;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fluctuations in the fair value of our investment securities that are beyond our control;</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potential exposure to fraud, negligence, computer theft and cyber-crime;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cybersecurity threats and incidents and related potential costs and risks, including reputation, financial and litigation risks;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adequacy of our risk management framework;</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on our information technology and telecommunications systems and the potential for any systems failures or interruptions;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upon outside third parties for the processing and handling of our records and data;</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adapt to technological change;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engagement in derivative transactions;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volatility and direction of market interest rates;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increased competition in the financial services industry, particularly from regional and national institutions;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adequately manage the transition from USD LIBOR as a reference rate;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involvement from time to time in legal proceedings, examinations and remedial actions by regulators;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laws, rules, regulations, interpretations or policies relating to financial institution, accounting, tax, trade, monetary and fiscal matters;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financial soundness of other financial institutions;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further government intervention in the U.S. financial system;</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climate change, including the enhanced regulatory, compliance, credit and reputational risks and costs;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natural disasters and adverse weather, acts of terrorism, an outbreak of hostilities or other international or domestic events, and other matters beyond our control.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2022 and those referenced herein and in other reports on file with the SEC.</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Critical Accounting Policies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accounting and reporting policies of the Company are in accordance with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accounting policies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Item 8 "Financial Statements and Supplementary Data" of the Company’s Annual Report on Form 10-K for the year ended December 31, 2022.</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critical accounting and reporting policies include the Company’s accounting for the ACL. The Company provides additional information on its ACL in Note 1 “Significant Accounting Policies” within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are Capital Bancorp, Inc., a bank holding company and a Maryland corporation incorporated in 1998, operating primarily through our wholly owned subsidiary, Capital Bank, N.A., a commercial-focused community bank based in Washington D.C. and Baltimore metropolitan areas. The Bank is headquartered in Rockville, Maryland and received its charter in 1999 and began operations in 1999. We serve businesses, not-for-profit associations, entrepreneurs and others throughout the Washington, D.C. and Baltimore, Maryland metropolitan areas through four commercial bank branches, one mortgage office, and two loan production offices.</w:t>
      </w:r>
    </w:p>
    <w:p>
      <w:pPr>
        <w:pStyle w:val="TextBody"/>
        <w:bidi w:val="0"/>
        <w:spacing w:lineRule="auto" w:line="288" w:before="0" w:after="240"/>
        <w:ind w:left="0" w:right="0" w:firstLine="360"/>
        <w:jc w:val="both"/>
        <w:rPr/>
      </w:pPr>
      <w:r>
        <w:rPr>
          <w:rFonts w:ascii="Arial;sans-serif" w:hAnsi="Arial;sans-serif"/>
          <w:b w:val="false"/>
          <w:color w:val="000000"/>
          <w:sz w:val="20"/>
        </w:rPr>
        <w:t>The Company currently operates three divisions: Commercial Banking, Capital Bank Home Loans, and OpenSky</w:t>
      </w:r>
      <w:r>
        <w:rPr>
          <w:rFonts w:ascii="Arial;sans-serif" w:hAnsi="Arial;sans-serif"/>
          <w:b w:val="false"/>
          <w:color w:val="000000"/>
          <w:sz w:val="13"/>
        </w:rPr>
        <w:t>®</w:t>
      </w:r>
      <w:r>
        <w:rPr>
          <w:rFonts w:ascii="Arial;sans-serif" w:hAnsi="Arial;sans-serif"/>
          <w:b w:val="false"/>
          <w:color w:val="000000"/>
          <w:sz w:val="20"/>
        </w:rPr>
        <w:t>. 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GAAP, and conform to general practices within the banking industry.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Commercial Banking division accounts for the majority of the Bank’s total assets. Our commercial bankers endeavor to provide quality service, customized solutions and tailored advice to commercial clients in our operating markets, primarily in the Washington, D.C. and Baltimore metropolitan areas.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Capital Bank Home Loan (“CBHL”) division originates conventional and government-guaranteed residential mortgage loans on a nationwide basis primarily for sale into the secondary market and, in certain circumstances, for the Bank’s loan portfolio.</w:t>
      </w:r>
    </w:p>
    <w:p>
      <w:pPr>
        <w:pStyle w:val="TextBody"/>
        <w:bidi w:val="0"/>
        <w:spacing w:lineRule="auto" w:line="288" w:before="0" w:after="240"/>
        <w:ind w:left="0" w:right="0" w:firstLine="360"/>
        <w:jc w:val="both"/>
        <w:rPr/>
      </w:pPr>
      <w:r>
        <w:rPr>
          <w:rFonts w:ascii="Arial;sans-serif" w:hAnsi="Arial;sans-serif"/>
          <w:b w:val="false"/>
          <w:color w:val="000000"/>
          <w:sz w:val="20"/>
        </w:rPr>
        <w:t>Our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division provides secured, partially secured and unsecured credit cards on a nationwide basis to under-banked populations and those looking to rebuild their credit scores. OpenSky</w:t>
      </w:r>
      <w:r>
        <w:rPr>
          <w:rFonts w:ascii="Arial;sans-serif" w:hAnsi="Arial;sans-serif"/>
          <w:b w:val="false"/>
          <w:color w:val="000000"/>
          <w:sz w:val="13"/>
        </w:rPr>
        <w:t xml:space="preserve">® </w:t>
      </w:r>
      <w:r>
        <w:rPr>
          <w:rFonts w:ascii="Arial;sans-serif" w:hAnsi="Arial;sans-serif"/>
          <w:b w:val="false"/>
          <w:color w:val="000000"/>
          <w:sz w:val="20"/>
        </w:rPr>
        <w:t>cards operate on a digital and mobile enabled platform with almost all marketing and application procedures are conducted through website and mobile applications. For the secured credit card, a deposit equal to the full credit limit of the card is made, upon account opening, into a noninterest-bearing demand account with the Bank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also offers certain existing customers an unsecured line supplementary to their secured line of credit.</w:t>
      </w:r>
    </w:p>
    <w:p>
      <w:pPr>
        <w:pStyle w:val="TextBody"/>
        <w:bidi w:val="0"/>
        <w:spacing w:lineRule="auto" w:line="288" w:before="0" w:after="240"/>
        <w:ind w:left="0" w:right="0" w:firstLine="360"/>
        <w:jc w:val="both"/>
        <w:rPr>
          <w:rFonts w:ascii="Arial;sans-serif" w:hAnsi="Arial;sans-serif"/>
          <w:b w:val="false"/>
          <w:color w:val="000000"/>
          <w:sz w:val="20"/>
          <w:u w:val="single"/>
        </w:rPr>
      </w:pPr>
      <w:r>
        <w:rPr>
          <w:rFonts w:ascii="Arial;sans-serif" w:hAnsi="Arial;sans-serif"/>
          <w:b w:val="false"/>
          <w:color w:val="000000"/>
          <w:sz w:val="20"/>
          <w:u w:val="single"/>
        </w:rPr>
        <w:t>Capital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September 30, 2023, the Bank was in compliance with all applicable regulatory capital requirements to which it was subject, and the Bank was classified as “well capitalized” for purposes of the prompt corrective action regulations. There are no conditions or events since that notification that management believes would change the Bank’s classification. We closely monitor our capital position and intend to take appropriate steps to ensure that our level of capital remains strong.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5"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principal components of net income for the periods indicated.</w:t>
      </w:r>
    </w:p>
    <w:tbl>
      <w:tblPr>
        <w:tblW w:w="8346" w:type="dxa"/>
        <w:jc w:val="center"/>
        <w:tblInd w:w="0" w:type="dxa"/>
        <w:tblLayout w:type="fixed"/>
        <w:tblCellMar>
          <w:top w:w="28" w:type="dxa"/>
          <w:left w:w="28" w:type="dxa"/>
          <w:bottom w:w="28" w:type="dxa"/>
          <w:right w:w="28" w:type="dxa"/>
        </w:tblCellMar>
      </w:tblPr>
      <w:tblGrid>
        <w:gridCol w:w="1592"/>
        <w:gridCol w:w="1404"/>
        <w:gridCol w:w="1414"/>
        <w:gridCol w:w="211"/>
        <w:gridCol w:w="736"/>
        <w:gridCol w:w="109"/>
        <w:gridCol w:w="109"/>
        <w:gridCol w:w="109"/>
        <w:gridCol w:w="109"/>
        <w:gridCol w:w="211"/>
        <w:gridCol w:w="721"/>
        <w:gridCol w:w="109"/>
        <w:gridCol w:w="109"/>
        <w:gridCol w:w="109"/>
        <w:gridCol w:w="109"/>
        <w:gridCol w:w="307"/>
        <w:gridCol w:w="309"/>
        <w:gridCol w:w="569"/>
      </w:tblGrid>
      <w:tr>
        <w:trPr/>
        <w:tc>
          <w:tcPr>
            <w:tcW w:w="159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47,741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36,810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Net interest income after provision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Net income for the three months ended September 30, 2023 was $9.8 million, compared to net income of $11.1 million for the same period in 2022, an 11.8% decrease. Net interest income increased slightly by $0.1 million, or 0.4%, to $36.8 million when comparing the three months ended September 30, 2023 to the three months ended September 30, 2022, primarily due to increased average balances of $245.3 million in portfolio loans combined with a 78 basis point increase in average yield for portfolio loans partially offset by significant increases in the cost of funding.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provision for credit losses for the three months ended September 30, 2023 was $2.3 million, an increase of $1.0 million, or 81.0%, from the same period in 2022. Net charge-offs for the three months ended September 30, 2023 were $1.8 million, or 0.38% on an annualized basis of average portfolio loans, compared to $1.6 million, or 0.39% on an annualized basis of average loans for the same period in 2022. Of the $1.8 million in net charge-offs during the quarter, $1.4 million related to secured and partially secured cards in the credit card portfolio and $0.3 million related to unsecured cards.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quarter ended September 30, 2023, noninterest income was $6.3 million, a decrease of $0.8 million, or 11.0%, from $7.1 million in the prior year quarter. Credit card fees declined by $1.1 million as the number of open customer accounts declined year over year, which resulted in lower interchange and other fee income compared to the prior year quarter.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Noninterest expense was $28.0 million for the three months ended September 30, 2023, as compared to $28.1 million for the three months ended September 30, 2022. The change includes decreases in professional fees of $1.5 million and data processing expense of $0.8 million partially offset by increases in salaries and employee benefits of $1.7 million and other operating expense of $0.5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8650"/>
                <wp:effectExtent l="0" t="0" r="0" b="0"/>
                <wp:wrapNone/>
                <wp:docPr id="46"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8556" w:type="dxa"/>
        <w:jc w:val="left"/>
        <w:tblInd w:w="0" w:type="dxa"/>
        <w:tblLayout w:type="fixed"/>
        <w:tblCellMar>
          <w:top w:w="28" w:type="dxa"/>
          <w:left w:w="28" w:type="dxa"/>
          <w:bottom w:w="28" w:type="dxa"/>
          <w:right w:w="28" w:type="dxa"/>
        </w:tblCellMar>
      </w:tblPr>
      <w:tblGrid>
        <w:gridCol w:w="1592"/>
        <w:gridCol w:w="1404"/>
        <w:gridCol w:w="1414"/>
        <w:gridCol w:w="211"/>
        <w:gridCol w:w="841"/>
        <w:gridCol w:w="109"/>
        <w:gridCol w:w="109"/>
        <w:gridCol w:w="109"/>
        <w:gridCol w:w="109"/>
        <w:gridCol w:w="211"/>
        <w:gridCol w:w="826"/>
        <w:gridCol w:w="109"/>
        <w:gridCol w:w="109"/>
        <w:gridCol w:w="109"/>
        <w:gridCol w:w="109"/>
        <w:gridCol w:w="307"/>
        <w:gridCol w:w="309"/>
        <w:gridCol w:w="569"/>
      </w:tblGrid>
      <w:tr>
        <w:trPr/>
        <w:tc>
          <w:tcPr>
            <w:tcW w:w="159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63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 after provision</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99,830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Net income for the nine months ended September 30, 2023 was $26.8 million, compared to net income of $32.8 million for the same period in 2022, an 18.2% decrease. Net interest income increased $1.2 million, or 1.2%, to $106.6 million when comparing the nine months ended September 30, 2023 to the nine months ended September 30, 2022, primarily due to increased average balances of $252.4 million in portfolio loans combined with the 81 basis point increase in average yield for portfolio loans offset by significant increases in the cost of funding.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provision for credit losses for the nine months ended September 30, 2023 was $6.8 million, an increase of $2.6 million, or 60.2%, from the provision for loan losses for the nine months ended September 30, 2022, attributable primarily to the credit card portfolio.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nine months ended September 30, 2023, noninterest income was $19.0 million, a decrease of $4.8 million, or 20.0%, from $23.8 million in the prior year period. The decrease was primarily driven by the decline in credit card fees of $4.4 million as the number of open customer accounts declined to 529,205 at September 30, 2023 from 576,844 at September 30, 2022, which resulted in lower interchange and other fee income recognized compared to the prior year. The elevated interest rate environment continues to put pressure on the mortgage market, leading to declines in home loan sales and home loan refinances, which has resulted in a $0.6 million decrease in mortgage banking revenue compared to the nine months ended September 30, 2022.</w:t>
      </w:r>
    </w:p>
    <w:p>
      <w:pPr>
        <w:pStyle w:val="TextBody"/>
        <w:bidi w:val="0"/>
        <w:spacing w:lineRule="auto" w:line="288" w:before="0" w:after="240"/>
        <w:ind w:left="0" w:right="0" w:firstLine="360"/>
        <w:jc w:val="both"/>
        <w:rPr/>
      </w:pPr>
      <w:r>
        <w:rPr>
          <w:rFonts w:ascii="Arial;sans-serif" w:hAnsi="Arial;sans-serif"/>
          <w:b w:val="false"/>
          <w:color w:val="000000"/>
          <w:sz w:val="20"/>
        </w:rPr>
        <w:t>Noninterest expense was $83.9 million for the nine months ended September 30, 2023, as compared to $82.4 million for the nine months ended September 30, 2022, an increase of $1.5 million, or 1.8%. The increase was primarily driven by a $6.0 million, or 19.2%, increase in salaries and employee benefits, partially offset by a $3.2 million, or 13.9%, decrease in data processing expenses and a $1.2 million decrease in professional fees due to a reduction in third party consulting fees. The decrease in data processing expenses was the result of a contract renegotiation entered into in the first quarter of 2022 in the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Division as well as fewer average open cards during the period.</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Interest Income and Net Margin Analysis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Net interest income is the difference between interest income on interest earning assets and the cost of funds supporting those assets. Interest earning assets are composed primarily of loans, loans held for sale, investment securities, and interest-bearing deposits with banks. The cost of funds represents interest expense on deposits and borrowings, which consist of federal funds purchased, advances from the Federal Home Loan Bank (“FHLB”), and subordinated notes. Noninterest-bearing deposits and capital also provide sources of funding.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analyze our ability to maximize income generated from interest earning assets and control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8650"/>
                <wp:effectExtent l="0" t="0" r="0" b="0"/>
                <wp:wrapNone/>
                <wp:docPr id="47"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interest expenses associated with our liabilities, measured as net interest income, through our net interest margin and net interest spread.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interest-bearing liabilities.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Changes in market interest rates and the interest rates we earn on interest earning assets or pay on interest-bearing liabilities, as well as in the volume and mix of interest earning assets, interest-bearing and noninterest-bearing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net interest income and net interest margin.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average balances and weighted average rates of the major categories of the Company’s assets, liabilities, and stockholders’ equity for the three and nine months ended September 30, 2023 and 2022.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 shown. The weighted average yields and rates include amortization of fees, costs, premiums and discounts, which are considered adjustments to yield/rates. Weighted average yields on tax-exempt securities are not calculated on a fully taxable equivalent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8650"/>
                <wp:effectExtent l="0" t="0" r="0" b="0"/>
                <wp:wrapNone/>
                <wp:docPr id="48"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AVERAGE BALANCE SHEET AND NET INTEREST ANALYSIS</w:t>
      </w:r>
    </w:p>
    <w:tbl>
      <w:tblPr>
        <w:tblW w:w="10205" w:type="dxa"/>
        <w:jc w:val="left"/>
        <w:tblInd w:w="0" w:type="dxa"/>
        <w:tblLayout w:type="fixed"/>
        <w:tblCellMar>
          <w:top w:w="28" w:type="dxa"/>
          <w:left w:w="28" w:type="dxa"/>
          <w:bottom w:w="28" w:type="dxa"/>
          <w:right w:w="28" w:type="dxa"/>
        </w:tblCellMar>
      </w:tblPr>
      <w:tblGrid>
        <w:gridCol w:w="990"/>
        <w:gridCol w:w="601"/>
        <w:gridCol w:w="473"/>
        <w:gridCol w:w="196"/>
        <w:gridCol w:w="886"/>
        <w:gridCol w:w="109"/>
        <w:gridCol w:w="109"/>
        <w:gridCol w:w="109"/>
        <w:gridCol w:w="109"/>
        <w:gridCol w:w="230"/>
        <w:gridCol w:w="777"/>
        <w:gridCol w:w="127"/>
        <w:gridCol w:w="109"/>
        <w:gridCol w:w="109"/>
        <w:gridCol w:w="109"/>
        <w:gridCol w:w="240"/>
        <w:gridCol w:w="241"/>
        <w:gridCol w:w="415"/>
        <w:gridCol w:w="109"/>
        <w:gridCol w:w="109"/>
        <w:gridCol w:w="109"/>
        <w:gridCol w:w="196"/>
        <w:gridCol w:w="871"/>
        <w:gridCol w:w="109"/>
        <w:gridCol w:w="109"/>
        <w:gridCol w:w="109"/>
        <w:gridCol w:w="109"/>
        <w:gridCol w:w="225"/>
        <w:gridCol w:w="742"/>
        <w:gridCol w:w="125"/>
        <w:gridCol w:w="109"/>
        <w:gridCol w:w="109"/>
        <w:gridCol w:w="109"/>
        <w:gridCol w:w="278"/>
        <w:gridCol w:w="278"/>
        <w:gridCol w:w="461"/>
      </w:tblGrid>
      <w:tr>
        <w:trPr/>
        <w:tc>
          <w:tcPr>
            <w:tcW w:w="99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w:t>
              <w:br/>
              <w:t xml:space="preserve">Yield/ </w:t>
              <w:b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Average </w:t>
              <w:br/>
              <w:t xml:space="preserve">Yield/ </w:t>
              <w:br/>
              <w:t>Rate</w:t>
            </w:r>
            <w:r>
              <w:rPr>
                <w:rFonts w:ascii="Arial;sans-serif" w:hAnsi="Arial;sans-serif"/>
                <w:b w:val="false"/>
                <w:color w:val="000000"/>
                <w:sz w:val="10"/>
              </w:rPr>
              <w:t>(1)</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8141"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5.25</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6.75</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6.60</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SBA-PPP loans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1,846,866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45,263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9.72</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2,176,477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47,741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w:t>
            </w: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2,221,117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2,049,078 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0.13</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0.21</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6,373</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4,256</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1,286,460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10,931</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0.66 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666,939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2,221,117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2,049,078 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5.33</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36,810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interest margin </w:t>
            </w:r>
            <w:r>
              <w:rPr>
                <w:rFonts w:ascii="Arial;sans-serif" w:hAnsi="Arial;sans-serif"/>
                <w:b w:val="false"/>
                <w:color w:val="000000"/>
                <w:sz w:val="10"/>
              </w:rPr>
              <w:t>(3)</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6.71</w:t>
            </w:r>
            <w:r>
              <w:rPr>
                <w:color w:val="000000"/>
              </w:rPr>
              <w:t> </w:t>
            </w:r>
          </w:p>
        </w:tc>
        <w:tc>
          <w:tcPr>
            <w:tcW w:w="4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4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8"/>
        </w:rPr>
        <w:t>(1)</w:t>
      </w:r>
      <w:r>
        <w:rPr>
          <w:rFonts w:ascii="Arial;sans-serif" w:hAnsi="Arial;sans-serif"/>
          <w:b w:val="false"/>
          <w:color w:val="000000"/>
          <w:sz w:val="12"/>
        </w:rPr>
        <w:t>Annualized.</w:t>
      </w:r>
    </w:p>
    <w:p>
      <w:pPr>
        <w:pStyle w:val="TextBody"/>
        <w:bidi w:val="0"/>
        <w:spacing w:lineRule="auto" w:line="288" w:before="0" w:after="0"/>
        <w:ind w:left="0" w:right="0" w:hanging="360"/>
        <w:jc w:val="both"/>
        <w:rPr/>
      </w:pPr>
      <w:r>
        <w:rPr>
          <w:rFonts w:ascii="Times New Roman;sans-serif" w:hAnsi="Times New Roman;sans-serif"/>
          <w:b w:val="false"/>
          <w:color w:val="000000"/>
          <w:sz w:val="8"/>
        </w:rPr>
        <w:t>(2)</w:t>
      </w:r>
      <w:r>
        <w:rPr>
          <w:rFonts w:ascii="Arial;sans-serif" w:hAnsi="Arial;sans-serif"/>
          <w:b w:val="false"/>
          <w:color w:val="000000"/>
          <w:sz w:val="12"/>
        </w:rPr>
        <w:t>Includes nonaccrual loans.</w:t>
      </w:r>
    </w:p>
    <w:p>
      <w:pPr>
        <w:pStyle w:val="TextBody"/>
        <w:bidi w:val="0"/>
        <w:spacing w:lineRule="auto" w:line="288" w:before="0" w:after="0"/>
        <w:ind w:left="0" w:right="0" w:hanging="360"/>
        <w:jc w:val="both"/>
        <w:rPr/>
      </w:pPr>
      <w:r>
        <w:rPr>
          <w:rFonts w:ascii="Times New Roman;sans-serif" w:hAnsi="Times New Roman;sans-serif"/>
          <w:b w:val="false"/>
          <w:color w:val="000000"/>
          <w:sz w:val="8"/>
        </w:rPr>
        <w:t>(3)</w:t>
      </w:r>
      <w:r>
        <w:rPr>
          <w:rFonts w:ascii="Arial;sans-serif" w:hAnsi="Arial;sans-serif"/>
          <w:b w:val="false"/>
          <w:color w:val="000000"/>
          <w:sz w:val="12"/>
        </w:rPr>
        <w:t>For the three months ended September 30, 2023 and 2022, SBA-PPP loans and credit card loans collectively accounted for 266 and 308 basis points of the reported net interest margin,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8650"/>
                <wp:effectExtent l="0" t="0" r="0" b="0"/>
                <wp:wrapNone/>
                <wp:docPr id="49" name="Frame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812" w:type="dxa"/>
        <w:jc w:val="left"/>
        <w:tblInd w:w="0" w:type="dxa"/>
        <w:tblLayout w:type="fixed"/>
        <w:tblCellMar>
          <w:top w:w="28" w:type="dxa"/>
          <w:left w:w="28" w:type="dxa"/>
          <w:bottom w:w="28" w:type="dxa"/>
          <w:right w:w="28" w:type="dxa"/>
        </w:tblCellMar>
      </w:tblPr>
      <w:tblGrid>
        <w:gridCol w:w="1366"/>
        <w:gridCol w:w="1203"/>
        <w:gridCol w:w="1210"/>
        <w:gridCol w:w="196"/>
        <w:gridCol w:w="886"/>
        <w:gridCol w:w="256"/>
        <w:gridCol w:w="109"/>
        <w:gridCol w:w="109"/>
        <w:gridCol w:w="109"/>
        <w:gridCol w:w="196"/>
        <w:gridCol w:w="871"/>
        <w:gridCol w:w="301"/>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interest margin, as adjusted (non-GAAP)</w:t>
            </w:r>
            <w:r>
              <w:rPr>
                <w:rFonts w:ascii="Arial;sans-serif" w:hAnsi="Arial;sans-serif"/>
                <w:b/>
                <w:color w:val="000000"/>
                <w:sz w:val="10"/>
              </w:rPr>
              <w:t>(1)</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36,810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15,792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SBA-PPP loan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 as adjusted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21,007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interest 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2,176,477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2,010,070 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116,814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SBA-PPP loans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average interest earning assets, as adjusted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2,058,757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1,871,918 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interest margin, as adjusted (non-GAAP)</w:t>
            </w:r>
            <w:r>
              <w:rPr>
                <w:rFonts w:ascii="Arial;sans-serif" w:hAnsi="Arial;sans-serif"/>
                <w:b/>
                <w:color w:val="000000"/>
                <w:sz w:val="10"/>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8"/>
        </w:rPr>
        <w:t>(1)</w:t>
      </w:r>
      <w:r>
        <w:rPr>
          <w:rFonts w:ascii="Arial;sans-serif" w:hAnsi="Arial;sans-serif"/>
          <w:b w:val="false"/>
          <w:color w:val="000000"/>
          <w:sz w:val="12"/>
        </w:rPr>
        <w:t>The Company uses non-GAAP (United States Generally Accepted Accounting Principles) financial information in its analysis of the Company’s performance. The Company’s management believes that these non-GAAP financial measures provide a greater understanding of ongoing operations, enhance comparability of results of operations with prior periods and show the effects of significant gains and charges in the periods presented. The Company’s management believes that investors may use these non-GAAP financial measures to analyze the Company’s financial performance without the impact of unusual items or events that may obscure trends in the Company’s underlying performance. This non-GAAP data should be considered in addition to results prepared in accordance with GAAP, and is not a substitute for, or superior to, GAAP results</w:t>
      </w:r>
    </w:p>
    <w:p>
      <w:pPr>
        <w:pStyle w:val="TextBody"/>
        <w:bidi w:val="0"/>
        <w:spacing w:lineRule="auto" w:line="288" w:before="0" w:after="240"/>
        <w:ind w:left="0" w:right="0" w:hanging="360"/>
        <w:jc w:val="both"/>
        <w:rPr/>
      </w:pPr>
      <w:r>
        <w:rPr>
          <w:rFonts w:ascii="Arial;sans-serif" w:hAnsi="Arial;sans-serif"/>
          <w:b w:val="false"/>
          <w:color w:val="000000"/>
          <w:sz w:val="8"/>
        </w:rPr>
        <w:t>(2)</w:t>
      </w:r>
      <w:r>
        <w:rPr>
          <w:rFonts w:ascii="Arial;sans-serif" w:hAnsi="Arial;sans-serif"/>
          <w:b w:val="false"/>
          <w:color w:val="000000"/>
          <w:sz w:val="12"/>
        </w:rPr>
        <w:t>Annualized.</w:t>
      </w:r>
    </w:p>
    <w:p>
      <w:pPr>
        <w:pStyle w:val="TextBody"/>
        <w:bidi w:val="0"/>
        <w:spacing w:before="0" w:after="240"/>
        <w:jc w:val="both"/>
        <w:rPr/>
      </w:pPr>
      <w:r>
        <w:rPr/>
      </w:r>
    </w:p>
    <w:p>
      <w:pPr>
        <w:pStyle w:val="TextBody"/>
        <w:bidi w:val="0"/>
        <w:spacing w:lineRule="auto" w:line="288" w:before="0" w:after="240"/>
        <w:ind w:left="0" w:right="0" w:firstLine="360"/>
        <w:jc w:val="both"/>
        <w:rPr/>
      </w:pPr>
      <w:r>
        <w:rPr>
          <w:rFonts w:ascii="Arial;sans-serif" w:hAnsi="Arial;sans-serif"/>
          <w:b w:val="false"/>
          <w:color w:val="000000"/>
          <w:sz w:val="20"/>
        </w:rPr>
        <w:t>The net interest margin decreased 53 basis points to 6.71% for the three months ended September 30, 2023 from the same period in 2022 as interest income on credit cards decreased $1.0 million and interest income on SBA-PPP loans totaled $0.3 million for the three months ended September 30, 2022 with no comparable amount in 2023. Net interest margin, excluding credit card and SBA-PPP loans</w:t>
      </w:r>
      <w:r>
        <w:rPr>
          <w:rFonts w:ascii="Arial;sans-serif" w:hAnsi="Arial;sans-serif"/>
          <w:b w:val="false"/>
          <w:color w:val="000000"/>
          <w:sz w:val="13"/>
        </w:rPr>
        <w:t>(1)</w:t>
      </w:r>
      <w:r>
        <w:rPr>
          <w:rFonts w:ascii="Arial;sans-serif" w:hAnsi="Arial;sans-serif"/>
          <w:b w:val="false"/>
          <w:color w:val="000000"/>
          <w:sz w:val="20"/>
        </w:rPr>
        <w:t xml:space="preserve">, decreased to 4.05% for the three months ended September 30, 2023, compared to 4.16% for the same period in 2022.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2023, average interest earning assets increased $166.4 million, or 8.3%, to $2.2 billion as compared to the same period in 2022, and the average yield on interest earning assets increased 113 basis points. Compared to the same period in the prior year, average interest-bearing liabilities increased $280.9 million, or 27.9%, and the average cost of interest-bearing liabilities increased to 3.37%, a 271 basis point increase from 0.66%.</w:t>
      </w:r>
    </w:p>
    <w:p>
      <w:pPr>
        <w:pStyle w:val="TextBody"/>
        <w:bidi w:val="0"/>
        <w:spacing w:lineRule="auto" w:line="288" w:before="0" w:after="240"/>
        <w:ind w:left="0" w:right="0" w:hanging="360"/>
        <w:jc w:val="left"/>
        <w:rPr>
          <w:rFonts w:ascii="Arial;sans-serif" w:hAnsi="Arial;sans-serif"/>
          <w:b w:val="false"/>
          <w:color w:val="000000"/>
          <w:sz w:val="12"/>
        </w:rPr>
      </w:pPr>
      <w:r>
        <w:rPr>
          <w:rFonts w:ascii="Arial;sans-serif" w:hAnsi="Arial;sans-serif"/>
          <w:b w:val="false"/>
          <w:color w:val="000000"/>
          <w:sz w:val="12"/>
        </w:rPr>
        <w:t>(1)     A reconciliation of this non-GAAP financial measure is set forth in the table immediately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8650"/>
                <wp:effectExtent l="0" t="0" r="0" b="0"/>
                <wp:wrapNone/>
                <wp:docPr id="50"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AVERAGE BALANCE SHEET AND NET INTEREST ANALYSIS</w:t>
      </w:r>
    </w:p>
    <w:tbl>
      <w:tblPr>
        <w:tblW w:w="10205" w:type="dxa"/>
        <w:jc w:val="left"/>
        <w:tblInd w:w="0" w:type="dxa"/>
        <w:tblLayout w:type="fixed"/>
        <w:tblCellMar>
          <w:top w:w="28" w:type="dxa"/>
          <w:left w:w="28" w:type="dxa"/>
          <w:bottom w:w="28" w:type="dxa"/>
          <w:right w:w="28" w:type="dxa"/>
        </w:tblCellMar>
      </w:tblPr>
      <w:tblGrid>
        <w:gridCol w:w="984"/>
        <w:gridCol w:w="573"/>
        <w:gridCol w:w="433"/>
        <w:gridCol w:w="196"/>
        <w:gridCol w:w="886"/>
        <w:gridCol w:w="109"/>
        <w:gridCol w:w="109"/>
        <w:gridCol w:w="109"/>
        <w:gridCol w:w="109"/>
        <w:gridCol w:w="217"/>
        <w:gridCol w:w="833"/>
        <w:gridCol w:w="120"/>
        <w:gridCol w:w="109"/>
        <w:gridCol w:w="109"/>
        <w:gridCol w:w="109"/>
        <w:gridCol w:w="240"/>
        <w:gridCol w:w="241"/>
        <w:gridCol w:w="414"/>
        <w:gridCol w:w="109"/>
        <w:gridCol w:w="109"/>
        <w:gridCol w:w="109"/>
        <w:gridCol w:w="196"/>
        <w:gridCol w:w="871"/>
        <w:gridCol w:w="109"/>
        <w:gridCol w:w="109"/>
        <w:gridCol w:w="109"/>
        <w:gridCol w:w="109"/>
        <w:gridCol w:w="213"/>
        <w:gridCol w:w="801"/>
        <w:gridCol w:w="118"/>
        <w:gridCol w:w="109"/>
        <w:gridCol w:w="109"/>
        <w:gridCol w:w="109"/>
        <w:gridCol w:w="278"/>
        <w:gridCol w:w="278"/>
        <w:gridCol w:w="460"/>
      </w:tblGrid>
      <w:tr>
        <w:trPr/>
        <w:tc>
          <w:tcPr>
            <w:tcW w:w="98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1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w:t>
              <w:br/>
              <w:t xml:space="preserve">Yield/ </w:t>
              <w:b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Average </w:t>
              <w:br/>
              <w:t xml:space="preserve">Yield/ </w:t>
              <w:br/>
              <w:t>Rate</w:t>
            </w:r>
            <w:r>
              <w:rPr>
                <w:rFonts w:ascii="Arial;sans-serif" w:hAnsi="Arial;sans-serif"/>
                <w:b w:val="false"/>
                <w:color w:val="000000"/>
                <w:sz w:val="10"/>
              </w:rPr>
              <w:t>(1)</w:t>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821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w:t>
            </w: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w:t>
            </w: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0.48 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252,993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w:t>
            </w: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w:t>
            </w: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w:t>
            </w: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SBA-PPP loans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1,799,755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129,326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9.61</w:t>
            </w: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2,139,398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136,237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8.51</w:t>
            </w:r>
            <w:r>
              <w:rPr>
                <w:color w:val="000000"/>
              </w:rPr>
              <w:t>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109,298 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7.27 </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2,183,521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0.14</w:t>
            </w: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0.13</w:t>
            </w: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628,977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16,371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11,281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w:t>
            </w: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w:t>
            </w: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1,256,868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29,600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w:t>
            </w:r>
            <w:r>
              <w:rPr>
                <w:color w:val="000000"/>
              </w:rPr>
              <w:t>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0.51 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2,183,521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5.36</w:t>
            </w: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106,637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interest margin </w:t>
            </w:r>
            <w:r>
              <w:rPr>
                <w:rFonts w:ascii="Arial;sans-serif" w:hAnsi="Arial;sans-serif"/>
                <w:b w:val="false"/>
                <w:color w:val="000000"/>
                <w:sz w:val="10"/>
              </w:rPr>
              <w:t>(3)</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6.66</w:t>
            </w:r>
            <w:r>
              <w:rPr>
                <w:color w:val="000000"/>
              </w:rPr>
              <w:t> </w:t>
            </w:r>
          </w:p>
        </w:tc>
        <w:tc>
          <w:tcPr>
            <w:tcW w:w="4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4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99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8"/>
        </w:rPr>
        <w:t>(1)</w:t>
      </w:r>
      <w:r>
        <w:rPr>
          <w:rFonts w:ascii="Arial;sans-serif" w:hAnsi="Arial;sans-serif"/>
          <w:b w:val="false"/>
          <w:color w:val="000000"/>
          <w:sz w:val="12"/>
        </w:rPr>
        <w:t>Annualized.</w:t>
      </w:r>
    </w:p>
    <w:p>
      <w:pPr>
        <w:pStyle w:val="TextBody"/>
        <w:bidi w:val="0"/>
        <w:spacing w:lineRule="auto" w:line="288" w:before="0" w:after="0"/>
        <w:ind w:left="0" w:right="0" w:hanging="360"/>
        <w:jc w:val="both"/>
        <w:rPr/>
      </w:pPr>
      <w:r>
        <w:rPr>
          <w:rFonts w:ascii="Times New Roman;sans-serif" w:hAnsi="Times New Roman;sans-serif"/>
          <w:b w:val="false"/>
          <w:color w:val="000000"/>
          <w:sz w:val="8"/>
        </w:rPr>
        <w:t>(2)</w:t>
      </w:r>
      <w:r>
        <w:rPr>
          <w:rFonts w:ascii="Arial;sans-serif" w:hAnsi="Arial;sans-serif"/>
          <w:b w:val="false"/>
          <w:color w:val="000000"/>
          <w:sz w:val="12"/>
        </w:rPr>
        <w:t>Includes nonaccrual loans.</w:t>
      </w:r>
    </w:p>
    <w:p>
      <w:pPr>
        <w:pStyle w:val="TextBody"/>
        <w:bidi w:val="0"/>
        <w:spacing w:lineRule="auto" w:line="288" w:before="0" w:after="0"/>
        <w:ind w:left="0" w:right="0" w:hanging="360"/>
        <w:jc w:val="both"/>
        <w:rPr/>
      </w:pPr>
      <w:r>
        <w:rPr>
          <w:rFonts w:ascii="Times New Roman;sans-serif" w:hAnsi="Times New Roman;sans-serif"/>
          <w:b w:val="false"/>
          <w:color w:val="000000"/>
          <w:sz w:val="8"/>
        </w:rPr>
        <w:t>(3)</w:t>
      </w:r>
      <w:r>
        <w:rPr>
          <w:rFonts w:ascii="Arial;sans-serif" w:hAnsi="Arial;sans-serif"/>
          <w:b w:val="false"/>
          <w:color w:val="000000"/>
          <w:sz w:val="12"/>
        </w:rPr>
        <w:t>For the nine months ended September 30, 2023 and 2022, SBA-PPP loans and credit card loans collectively accounted for 268 and 307 basis points of the reported net interest margin,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8650"/>
                <wp:effectExtent l="0" t="0" r="0" b="0"/>
                <wp:wrapNone/>
                <wp:docPr id="51" name="Frame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812" w:type="dxa"/>
        <w:jc w:val="left"/>
        <w:tblInd w:w="0" w:type="dxa"/>
        <w:tblLayout w:type="fixed"/>
        <w:tblCellMar>
          <w:top w:w="28" w:type="dxa"/>
          <w:left w:w="28" w:type="dxa"/>
          <w:bottom w:w="28" w:type="dxa"/>
          <w:right w:w="28" w:type="dxa"/>
        </w:tblCellMar>
      </w:tblPr>
      <w:tblGrid>
        <w:gridCol w:w="1366"/>
        <w:gridCol w:w="1203"/>
        <w:gridCol w:w="1210"/>
        <w:gridCol w:w="196"/>
        <w:gridCol w:w="886"/>
        <w:gridCol w:w="256"/>
        <w:gridCol w:w="109"/>
        <w:gridCol w:w="109"/>
        <w:gridCol w:w="109"/>
        <w:gridCol w:w="196"/>
        <w:gridCol w:w="871"/>
        <w:gridCol w:w="301"/>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interest margin, as adjusted (non-GAAP)</w:t>
            </w:r>
            <w:r>
              <w:rPr>
                <w:rFonts w:ascii="Arial;sans-serif" w:hAnsi="Arial;sans-serif"/>
                <w:b/>
                <w:color w:val="000000"/>
                <w:sz w:val="10"/>
              </w:rPr>
              <w:t>(1)</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106,637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SBA-PPP loan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 as adjusted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60,192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interest 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2,139,398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2,010,200 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114,416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SBA-PPP loans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average interest earning assets, as adjusted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2,023,382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1,843,871 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 as adjusted (non-GAAP)</w:t>
            </w:r>
            <w:r>
              <w:rPr>
                <w:rFonts w:ascii="Arial;sans-serif" w:hAnsi="Arial;sans-serif"/>
                <w:b w:val="false"/>
                <w:color w:val="000000"/>
                <w:sz w:val="10"/>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8"/>
        </w:rPr>
        <w:t>(1)</w:t>
      </w:r>
      <w:r>
        <w:rPr>
          <w:rFonts w:ascii="Arial;sans-serif" w:hAnsi="Arial;sans-serif"/>
          <w:b w:val="false"/>
          <w:color w:val="000000"/>
          <w:sz w:val="12"/>
        </w:rPr>
        <w:t>The Company uses non-GAAP (United States Generally Accepted Accounting Principles) financial information in its analysis of the Company’s performance. The Company’s management believes that these non-GAAP financial measures provide a greater understanding of ongoing operations, enhance comparability of results of operations with prior periods and show the effects of significant gains and charges in the periods presented. The Company’s management believes that investors may use these non-GAAP financial measures to analyze the Company’s financial performance without the impact of unusual items or events that may obscure trends in the Company’s underlying performance. This non-GAAP data should be considered in addition to results prepared in accordance with GAAP, and is not a substitute for, or superior to, GAAP results</w:t>
      </w:r>
    </w:p>
    <w:p>
      <w:pPr>
        <w:pStyle w:val="TextBody"/>
        <w:bidi w:val="0"/>
        <w:spacing w:lineRule="auto" w:line="288" w:before="0" w:after="240"/>
        <w:ind w:left="0" w:right="0" w:hanging="360"/>
        <w:jc w:val="both"/>
        <w:rPr/>
      </w:pPr>
      <w:r>
        <w:rPr>
          <w:rFonts w:ascii="Arial;sans-serif" w:hAnsi="Arial;sans-serif"/>
          <w:b w:val="false"/>
          <w:color w:val="000000"/>
          <w:sz w:val="8"/>
        </w:rPr>
        <w:t>(2)</w:t>
      </w:r>
      <w:r>
        <w:rPr>
          <w:rFonts w:ascii="Arial;sans-serif" w:hAnsi="Arial;sans-serif"/>
          <w:b w:val="false"/>
          <w:color w:val="000000"/>
          <w:sz w:val="12"/>
        </w:rPr>
        <w:t>Annualized.</w:t>
      </w:r>
    </w:p>
    <w:p>
      <w:pPr>
        <w:pStyle w:val="TextBody"/>
        <w:bidi w:val="0"/>
        <w:spacing w:before="0" w:after="240"/>
        <w:jc w:val="both"/>
        <w:rPr/>
      </w:pPr>
      <w:r>
        <w:rPr/>
      </w:r>
    </w:p>
    <w:p>
      <w:pPr>
        <w:pStyle w:val="TextBody"/>
        <w:bidi w:val="0"/>
        <w:spacing w:lineRule="auto" w:line="288" w:before="0" w:after="240"/>
        <w:ind w:left="0" w:right="0" w:firstLine="360"/>
        <w:jc w:val="both"/>
        <w:rPr/>
      </w:pPr>
      <w:r>
        <w:rPr>
          <w:rFonts w:ascii="Arial;sans-serif" w:hAnsi="Arial;sans-serif"/>
          <w:b w:val="false"/>
          <w:color w:val="000000"/>
          <w:sz w:val="20"/>
        </w:rPr>
        <w:t>The net interest margin decreased 35 basis points to 6.66% for the nine months ended September 30, 2023 from the same period in 2022. Net interest margin, excluding credit card and SBA-PPP loans</w:t>
      </w:r>
      <w:r>
        <w:rPr>
          <w:rFonts w:ascii="Arial;sans-serif" w:hAnsi="Arial;sans-serif"/>
          <w:b w:val="false"/>
          <w:color w:val="000000"/>
          <w:sz w:val="13"/>
        </w:rPr>
        <w:t>(2)</w:t>
      </w:r>
      <w:r>
        <w:rPr>
          <w:rFonts w:ascii="Arial;sans-serif" w:hAnsi="Arial;sans-serif"/>
          <w:b w:val="false"/>
          <w:color w:val="000000"/>
          <w:sz w:val="20"/>
        </w:rPr>
        <w:t xml:space="preserve">, was 3.98% for the nine months ended September 30, 2023, compared to 3.94% for the same period in 2022.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nine months ended September 30, 2023, average interest earning assets increased $129.2 million, or 6.4%, to $2.1 billion as compared to the same period in 2022, and the average yield on interest earning assets increased 124 basis points. Compared to the same period in the prior year, average interest-bearing liabilities increased $229.8 million, or 22.4%, while the average cost of interest-bearing liabilities increased 264 basis points to 3.15% from 0.51%.</w:t>
      </w:r>
    </w:p>
    <w:p>
      <w:pPr>
        <w:pStyle w:val="TextBody"/>
        <w:bidi w:val="0"/>
        <w:spacing w:lineRule="auto" w:line="288" w:before="0" w:after="240"/>
        <w:ind w:left="0" w:right="0" w:hanging="360"/>
        <w:jc w:val="both"/>
        <w:rPr>
          <w:rFonts w:ascii="Arial;sans-serif" w:hAnsi="Arial;sans-serif"/>
          <w:b w:val="false"/>
          <w:color w:val="000000"/>
          <w:sz w:val="12"/>
        </w:rPr>
      </w:pPr>
      <w:r>
        <w:rPr>
          <w:rFonts w:ascii="Arial;sans-serif" w:hAnsi="Arial;sans-serif"/>
          <w:b w:val="false"/>
          <w:color w:val="000000"/>
          <w:sz w:val="12"/>
        </w:rPr>
        <w:t>(2)     A reconciliation of this non-GAAP financial measure is set forth in the table immediately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8650"/>
                <wp:effectExtent l="0" t="0" r="0" b="0"/>
                <wp:wrapNone/>
                <wp:docPr id="52"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 </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RATE/VOLUME ANALYSIS OF NET INTEREST INCOME</w:t>
      </w:r>
    </w:p>
    <w:tbl>
      <w:tblPr>
        <w:tblW w:w="10205" w:type="dxa"/>
        <w:jc w:val="center"/>
        <w:tblInd w:w="0" w:type="dxa"/>
        <w:tblLayout w:type="fixed"/>
        <w:tblCellMar>
          <w:top w:w="28" w:type="dxa"/>
          <w:left w:w="28" w:type="dxa"/>
          <w:bottom w:w="28" w:type="dxa"/>
          <w:right w:w="28" w:type="dxa"/>
        </w:tblCellMar>
      </w:tblPr>
      <w:tblGrid>
        <w:gridCol w:w="965"/>
        <w:gridCol w:w="851"/>
        <w:gridCol w:w="790"/>
        <w:gridCol w:w="200"/>
        <w:gridCol w:w="616"/>
        <w:gridCol w:w="111"/>
        <w:gridCol w:w="111"/>
        <w:gridCol w:w="111"/>
        <w:gridCol w:w="111"/>
        <w:gridCol w:w="200"/>
        <w:gridCol w:w="569"/>
        <w:gridCol w:w="111"/>
        <w:gridCol w:w="111"/>
        <w:gridCol w:w="111"/>
        <w:gridCol w:w="111"/>
        <w:gridCol w:w="296"/>
        <w:gridCol w:w="639"/>
        <w:gridCol w:w="168"/>
        <w:gridCol w:w="109"/>
        <w:gridCol w:w="109"/>
        <w:gridCol w:w="109"/>
        <w:gridCol w:w="196"/>
        <w:gridCol w:w="601"/>
        <w:gridCol w:w="109"/>
        <w:gridCol w:w="109"/>
        <w:gridCol w:w="109"/>
        <w:gridCol w:w="109"/>
        <w:gridCol w:w="196"/>
        <w:gridCol w:w="556"/>
        <w:gridCol w:w="109"/>
        <w:gridCol w:w="109"/>
        <w:gridCol w:w="109"/>
        <w:gridCol w:w="109"/>
        <w:gridCol w:w="233"/>
        <w:gridCol w:w="662"/>
        <w:gridCol w:w="380"/>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Compared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Compared to</w:t>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2022</w:t>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Change Due To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Interest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Change Due 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Interest Variance</w:t>
            </w:r>
          </w:p>
        </w:tc>
      </w:tr>
      <w:tr>
        <w:trPr/>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Volume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Rate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Interest Income:</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Federal funds sold</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8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 for sale</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3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SBA-PPP loans receivable</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(3,423)</w:t>
            </w:r>
          </w:p>
        </w:tc>
        <w:tc>
          <w:tcPr>
            <w:tcW w:w="38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excluding credit card loans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loans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income</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26,939 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Interest Expense:</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Savings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Borrowed funds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color w:val="000000"/>
                <w:sz w:val="16"/>
              </w:rPr>
            </w:pPr>
            <w:r>
              <w:rPr>
                <w:rFonts w:ascii="Arial;sans-serif" w:hAnsi="Arial;sans-serif"/>
                <w:b/>
                <w:color w:val="000000"/>
                <w:sz w:val="16"/>
              </w:rPr>
              <w:t>Net interest income</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When comparing the three months ended September 30, 2023 to the same period in 2022, the greatest positive impact to total interest income was the increased market interest rates affecting substantially all interest earning assets. The loan portfolio, excluding credit cards, continued to experience growth through the three months ended September 30, 2023, which contributed an additional $10.2 million in interest income. On a standalone basis, interest income attributable to the credit card portfolio fell by $1.0 million when comparing the three months ended September 30, 2023 to the three months ended September 30, 2022, primarily due to a decrease in open customer accounts and corresponding credit card loan balances, as a result of rising interest rates and late charges, which impacted the rate calculation. Increased market interest rates were the primary driver of increased interest expense, with interest expense on money market accounts and time deposits increasing $4.6 million and $1.2 million, respectively, when comparing the three months ended September 30, 2023 to the three months ended September 30, 2022. An increase in the volume of time deposits contributed an additional $2.5 million to the increase in interest expense.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When comparing the nine months ended September 30, 2023 to the same period in 2022, the largest positive impact to total interest income was the effect of increases in market interest rates on substantially all interest earning assets. Growth in portfolio loan volumes contributed $13.1 million to the increase in interest income, while the heightened interest rates on portfolio loans contributed $15.6 million for the nine months ended September 30, 2023 compared to the same period in the prior year. During the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8650"/>
                <wp:effectExtent l="0" t="0" r="0" b="0"/>
                <wp:wrapNone/>
                <wp:docPr id="53" name="Frame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months ended September 30, 2022, $105.6 million of SBA-PPP loans were forgiven by the SBA which accelerated the recognition of $3.1 million of deferred fee income. In comparison, during the nine months ended September 30, 2023, $1.4 million of SBA-PPP loan principal was forgiven and $14 thousand of deferred fee income was recognized. Increased interest rates also contributed $17.0 million to increased interest expense comparing the nine months ended September 30, 2023 to the same period in 2022, substantially offsetting the increase in total interest income. The increase in the volume of time deposits contributed an additional $6.1 million to the increase in interest expense.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Rising interest rates have resulted in some customers moving balances from noninterest-bearing deposit accounts to interest-bearing deposit accounts increasing interest expense. The average balance of noninterest-bearing deposits of $666.9 million for the three months ended September 30, 2023 decreased $135.5 million from $802.5 million for the three months ended September 30, 2022. The average balance of interest-bearing deposits of $1.3 billion for the three months ended September 30, 2023 increased $286.7 million from $964.9 million for the three months ended September 30, 2022.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average balance of noninterest-bearing deposits of $665.8 million for the nine months ended September 30, 2023 decreased $131.8 million from $767.7 million for the nine months ended September 30, 2022. The average balance of interest-bearing deposits of $1.2 billion for the nine months ended September 30, 2023 increased $200.9 million from $990.8 million for the nine months ended September 30, 2022.</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Provision for Credit Losses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provision for credit losses represents the amount of expense charged to current earnings to fund the ACL. The amount for credit losses is based on many factors which reflect management’s assessment of the risk in the loan portfolio. Those factors include historical losses, forecasted cash flows, economic conditions and trends, the value and adequacy of collateral, volume and mix of the portfolio, performance of the portfolio, and internal loan processes of the Company and Bank. For a description of the factors taken into account by our management in determining the ACL, see Note 1 to the Consolidated Financial Statements.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2023, the provision for credit losses was $2.3 million, an increase of $1.0 million from the same period in 2022. Net charge-offs for the three months ended September 30, 2023 were $1.8 million, or 0.38% on an annualized basis of average portfolio loans, compared to $1.6 million, or 0.39% on an annualized basis of average portfolio loans for the same period in 2022. Of the $1.8 million in net charge-offs during the quarter, $1.4 million related to secured and partially secured cards in the credit card portfolio and $0.3 million related to unsecured cards.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nine months ended September 30, 2023, the provision for credit losses was $6.8 million, an increase of $2.6 million from the same period in 2022, attributable primarily to the credit card portfolio. Net charge-offs for the nine months ended September 30, 2023, were $6.0 million, or 0.45% on an annualized basis of average portfolio loans, compared to $3.3 million, or 0.29% on an annualized basis of average portfolio loans, for the same period in 2022. The $6.0 million in net charge-offs during the nine months ended September 30, 2023 was comprised primarily of credit card portfolio net charge-offs with $4.1 million related to secured and partially secured cards and $1.0 million related to unsecured cards.</w:t>
      </w:r>
    </w:p>
    <w:p>
      <w:pPr>
        <w:pStyle w:val="TextBody"/>
        <w:bidi w:val="0"/>
        <w:spacing w:lineRule="auto" w:line="288" w:before="0" w:after="240"/>
        <w:ind w:left="0" w:right="0" w:firstLine="360"/>
        <w:jc w:val="both"/>
        <w:rPr/>
      </w:pPr>
      <w:r>
        <w:rPr>
          <w:rFonts w:ascii="Arial;sans-serif" w:hAnsi="Arial;sans-serif"/>
          <w:b w:val="false"/>
          <w:color w:val="000000"/>
          <w:sz w:val="20"/>
        </w:rPr>
        <w:t>Although the majority of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credit cards are secured, losses may occur. Some losses result from identity fraud, payment fraud and funding fraud. In addition, losses are sometimes incurred when customers exceed established credit limits as a consequence of certain VISA membership policies that allow cardholders to incur certain charges, such as, for example, rental car charges, gas station charges and hotel deposits, that may exceed card limits. Finally, losses to our credit card portfolio may arise if cardholders cease to maintain the account in good standing with timely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8650"/>
                <wp:effectExtent l="0" t="0" r="0" b="0"/>
                <wp:wrapNone/>
                <wp:docPr id="54"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ACL as a percent of portfolio loans was 1.52% at September 30, 2023. The ACL at December 31, 2022, prior to the adoption of CECL, represented 1.53% of portfolio loans. The maintenance of a high-quality loan portfolio, with an adequate allowance for expected credit losses, will continue to be a primary objective for the Company. See additional discussion regarding the Company’s ACL and reserve for unfunded commitments credit exposures at September 30, 2023 in “Financial Condition - Allowance for Credit Losses.”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Noninterest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income:</w:t>
      </w:r>
    </w:p>
    <w:tbl>
      <w:tblPr>
        <w:tblW w:w="10205" w:type="dxa"/>
        <w:jc w:val="center"/>
        <w:tblInd w:w="0" w:type="dxa"/>
        <w:tblLayout w:type="fixed"/>
        <w:tblCellMar>
          <w:top w:w="28" w:type="dxa"/>
          <w:left w:w="28" w:type="dxa"/>
          <w:bottom w:w="28" w:type="dxa"/>
          <w:right w:w="28" w:type="dxa"/>
        </w:tblCellMar>
      </w:tblPr>
      <w:tblGrid>
        <w:gridCol w:w="860"/>
        <w:gridCol w:w="757"/>
        <w:gridCol w:w="764"/>
        <w:gridCol w:w="211"/>
        <w:gridCol w:w="631"/>
        <w:gridCol w:w="109"/>
        <w:gridCol w:w="109"/>
        <w:gridCol w:w="109"/>
        <w:gridCol w:w="109"/>
        <w:gridCol w:w="211"/>
        <w:gridCol w:w="616"/>
        <w:gridCol w:w="109"/>
        <w:gridCol w:w="109"/>
        <w:gridCol w:w="109"/>
        <w:gridCol w:w="109"/>
        <w:gridCol w:w="280"/>
        <w:gridCol w:w="283"/>
        <w:gridCol w:w="508"/>
        <w:gridCol w:w="109"/>
        <w:gridCol w:w="109"/>
        <w:gridCol w:w="109"/>
        <w:gridCol w:w="211"/>
        <w:gridCol w:w="736"/>
        <w:gridCol w:w="109"/>
        <w:gridCol w:w="109"/>
        <w:gridCol w:w="109"/>
        <w:gridCol w:w="109"/>
        <w:gridCol w:w="211"/>
        <w:gridCol w:w="721"/>
        <w:gridCol w:w="109"/>
        <w:gridCol w:w="109"/>
        <w:gridCol w:w="109"/>
        <w:gridCol w:w="109"/>
        <w:gridCol w:w="280"/>
        <w:gridCol w:w="283"/>
        <w:gridCol w:w="571"/>
      </w:tblGrid>
      <w:tr>
        <w:trPr/>
        <w:tc>
          <w:tcPr>
            <w:tcW w:w="8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21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card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banking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September 30, 2023, credit card fees of $4.4 million declined by $1.1 million as compared to the three months ended September 30, 2022, as the number of open customer accounts declined year over year, which resulted in lower interchange and other fee income. For the nine months ended September 30, 2023, credit card fees of $13.3 million decreased $4.4 million as compared to the nine months ended September 30, 2022, as the number of open customer accounts declined to 529,205 at September 30, 2023 from 576,844 at September 30, 2022. The elevated interest rate environment continues to put pressure on the mortgage market, leading to declines in home loan sales and home loan refinances, which has resulted in a $0.6 million decrease in mortgage banking revenue compared to the prior year.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Bank’s Capital Bank Home Loan division experienced a decline of 17.3% in mortgage originations during the three months ended September 30, 2023 when compared to the same period in the prior year. A rising interest rate environment continues to dampen home loan sales and home loan refinances which resulted in origination volumes decreasing $10.5 million, to $50.0 million, in the third quarter of 2023, when compared to $60.5 million in the third quarter of 2022. Gain on sale margins increased from 2.05% for the three months ended September 30, 2022, to 2.57% for the three months ended September 30, 2023. Historically-low housing inventory, shortages in new home building materials, and increasing interest rates are likely to continue suppressing origination volumes.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Mortgage loans sold are subject to repurchase in circumstances where documentation is deficient or the underlying loan becomes delinquent or pays off within a specified period following loan funding and sale. The Bank has established a reserve under GAAP for possible repurchases. The reserve was $1.2 million at September 30, 2023 and December 31, 2022. The Bank did not repurchase any loans during the three and nine months ended September 30, 2023 or 2022. The Bank does not originate “sub-prime” mortgage loans and has no exposure to this market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8650"/>
                <wp:effectExtent l="0" t="0" r="0" b="0"/>
                <wp:wrapNone/>
                <wp:docPr id="55" name="Frame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Noninterest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Generally, noninterest expense is comprised of all employee expenses and costs associated with operating our facilities, obtaining and retaining customer relationships and providing bank services, with the largest component being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expense:</w:t>
      </w:r>
    </w:p>
    <w:tbl>
      <w:tblPr>
        <w:tblW w:w="10205" w:type="dxa"/>
        <w:jc w:val="center"/>
        <w:tblInd w:w="0" w:type="dxa"/>
        <w:tblLayout w:type="fixed"/>
        <w:tblCellMar>
          <w:top w:w="28" w:type="dxa"/>
          <w:left w:w="28" w:type="dxa"/>
          <w:bottom w:w="28" w:type="dxa"/>
          <w:right w:w="28" w:type="dxa"/>
        </w:tblCellMar>
      </w:tblPr>
      <w:tblGrid>
        <w:gridCol w:w="777"/>
        <w:gridCol w:w="606"/>
        <w:gridCol w:w="611"/>
        <w:gridCol w:w="211"/>
        <w:gridCol w:w="736"/>
        <w:gridCol w:w="109"/>
        <w:gridCol w:w="109"/>
        <w:gridCol w:w="109"/>
        <w:gridCol w:w="109"/>
        <w:gridCol w:w="211"/>
        <w:gridCol w:w="721"/>
        <w:gridCol w:w="109"/>
        <w:gridCol w:w="109"/>
        <w:gridCol w:w="109"/>
        <w:gridCol w:w="109"/>
        <w:gridCol w:w="273"/>
        <w:gridCol w:w="276"/>
        <w:gridCol w:w="508"/>
        <w:gridCol w:w="109"/>
        <w:gridCol w:w="109"/>
        <w:gridCol w:w="109"/>
        <w:gridCol w:w="211"/>
        <w:gridCol w:w="736"/>
        <w:gridCol w:w="109"/>
        <w:gridCol w:w="109"/>
        <w:gridCol w:w="109"/>
        <w:gridCol w:w="109"/>
        <w:gridCol w:w="211"/>
        <w:gridCol w:w="721"/>
        <w:gridCol w:w="109"/>
        <w:gridCol w:w="109"/>
        <w:gridCol w:w="109"/>
        <w:gridCol w:w="109"/>
        <w:gridCol w:w="325"/>
        <w:gridCol w:w="329"/>
        <w:gridCol w:w="671"/>
      </w:tblGrid>
      <w:tr>
        <w:trPr/>
        <w:tc>
          <w:tcPr>
            <w:tcW w:w="77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Data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Advertising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Loan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Foreclosed real estate expenses,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Noninterest expense was $28.0 million for the three months ended September 30, 2023, as compared to $28.1 million for the three months ended September 30, 2022, a decrease of $0.1 million. Professional fees decreased $1.5 million and data processing expenses decreased $0.7 million partially offset by increases in salaries and employee benefits of $1.7 million and other operating expense of $0.5 million.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Noninterest expense was $83.9 million for the nine months ended September 30, 2023, as compared to $82.4 million for the nine months ended September 30, 2022, an increase of $1.5 million, or 1.8%. Salaries and employee benefits increased by $6.0 million, or 19.2%, due in part to growth in headcount in the Commercial Bank segment during the nine months ended September 30, 2023 compared to the same prior year period. Data processing expenses decreased $3.2 million, which was the result of a contract renegotiation entered into during the first quarter of 2022 in the OpenSky® Division as well as fewer average open cards during the period when compared to 2022. Professional fees decreased $1.2 million due to a reduction in third party consulting fees.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Income Tax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amount of income tax expense we incur is influenced by our pre-tax income and our nondeductible expenses. Deferred tax assets and liabilities are reflected at enacted tax rates in effect for the period in which the deferred tax assets and liabilities are expected to be realized or settled. A valuation allowance is established when necessary to reduce deferred tax assets to the amount expected to be realized.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Income tax expense was $3.0 million and $8.2 million for the three and nine months ended September 30, 2023 compared to $3.3 million and $9.8 million for the same periods, respectively, in 2022. Our effective tax rates increased from 23.1% for the three months ended September 30, 2022 to 23.4% for the three months ended September 30, 2023, and from 23.0% for the nine months ended September 30, 2022 to 23.3% for the nine months ended September 30, 2023, primarily attributable to the application of differing state income tax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8650"/>
                <wp:effectExtent l="0" t="0" r="0" b="0"/>
                <wp:wrapNone/>
                <wp:docPr id="56"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condition at the dates indicated.</w:t>
      </w:r>
    </w:p>
    <w:tbl>
      <w:tblPr>
        <w:tblW w:w="10205" w:type="dxa"/>
        <w:jc w:val="center"/>
        <w:tblInd w:w="0" w:type="dxa"/>
        <w:tblLayout w:type="fixed"/>
        <w:tblCellMar>
          <w:top w:w="28" w:type="dxa"/>
          <w:left w:w="28" w:type="dxa"/>
          <w:bottom w:w="28" w:type="dxa"/>
          <w:right w:w="28" w:type="dxa"/>
        </w:tblCellMar>
      </w:tblPr>
      <w:tblGrid>
        <w:gridCol w:w="1574"/>
        <w:gridCol w:w="1214"/>
        <w:gridCol w:w="1165"/>
        <w:gridCol w:w="218"/>
        <w:gridCol w:w="1013"/>
        <w:gridCol w:w="281"/>
        <w:gridCol w:w="109"/>
        <w:gridCol w:w="109"/>
        <w:gridCol w:w="109"/>
        <w:gridCol w:w="216"/>
        <w:gridCol w:w="1000"/>
        <w:gridCol w:w="277"/>
        <w:gridCol w:w="109"/>
        <w:gridCol w:w="109"/>
        <w:gridCol w:w="109"/>
        <w:gridCol w:w="211"/>
        <w:gridCol w:w="826"/>
        <w:gridCol w:w="109"/>
        <w:gridCol w:w="109"/>
        <w:gridCol w:w="109"/>
        <w:gridCol w:w="109"/>
        <w:gridCol w:w="272"/>
        <w:gridCol w:w="272"/>
        <w:gridCol w:w="576"/>
      </w:tblGrid>
      <w:tr>
        <w:trPr/>
        <w:tc>
          <w:tcPr>
            <w:tcW w:w="157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2,272,484 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2,123,655 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available for sale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206,055 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252,481 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 held for sale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Small Business Administration (“SBA”) Payroll Protection Program (“PPP”) loans receivable, net of fees and costs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net of deferred fees and costs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1,861,929 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1,728,592 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1,967,988 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FHLB borrowings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borrowed funds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242,878 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224,015 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to total assets at end of period</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basic shares outstanding</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diluted shares outstanding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Total assets at September 30, 2023 increased $148.8 million from the balance at December 31, 2022. Net portfolio loans, which exclude mortgage loans held for sale and SBA-PPP loans, totaled $1.9 billion as of September 30, 2023, an increase of $133.3 million, or 7.7%, from $1.7 billion at December 31, 2022. Increases in portfolio loans receivable were offset by a decrease in mortgage loans held for sale of $2.6 million, or 34.7%, and SBA-PPP loans of $1.4 million when comparing the period end balances at September 30, 2023 to December 31, 2022.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its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As of September 30, 2023, all securities were classified as available for sale.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 supplement interest income earned on our loan portfolio, the Company invests in U.S. Treasuries, high-quality mortgage-backed securities, government agency bonds, asset-backed securities and high-quality municipal and corporate bonds.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summarize the contractual maturities, without consideration of call features or pre-refunding dates, and weighted-average yields of investment securities at September 30, 2023 and the amortized cost and carrying value of those securities as of the indicated dates. The weighted average yields were calculated by multiplying the amortized cost of each individual security by its yield, dividing that figure by the portfolio total, and then summing the value of these results to arrive at the weighted average yield. Yields on tax-exempt investments are not calculated on a fully tax equivalent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8650"/>
                <wp:effectExtent l="0" t="0" r="0" b="0"/>
                <wp:wrapNone/>
                <wp:docPr id="57" name="Frame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INVESTMENT MATURITIES</w:t>
      </w:r>
    </w:p>
    <w:tbl>
      <w:tblPr>
        <w:tblW w:w="13904" w:type="dxa"/>
        <w:jc w:val="center"/>
        <w:tblInd w:w="0" w:type="dxa"/>
        <w:tblLayout w:type="fixed"/>
        <w:tblCellMar>
          <w:top w:w="28" w:type="dxa"/>
          <w:left w:w="28" w:type="dxa"/>
          <w:bottom w:w="28" w:type="dxa"/>
          <w:right w:w="28" w:type="dxa"/>
        </w:tblCellMar>
      </w:tblPr>
      <w:tblGrid>
        <w:gridCol w:w="563"/>
        <w:gridCol w:w="311"/>
        <w:gridCol w:w="312"/>
        <w:gridCol w:w="109"/>
        <w:gridCol w:w="109"/>
        <w:gridCol w:w="109"/>
        <w:gridCol w:w="181"/>
        <w:gridCol w:w="571"/>
        <w:gridCol w:w="109"/>
        <w:gridCol w:w="109"/>
        <w:gridCol w:w="109"/>
        <w:gridCol w:w="109"/>
        <w:gridCol w:w="263"/>
        <w:gridCol w:w="158"/>
        <w:gridCol w:w="330"/>
        <w:gridCol w:w="109"/>
        <w:gridCol w:w="109"/>
        <w:gridCol w:w="109"/>
        <w:gridCol w:w="181"/>
        <w:gridCol w:w="646"/>
        <w:gridCol w:w="109"/>
        <w:gridCol w:w="109"/>
        <w:gridCol w:w="109"/>
        <w:gridCol w:w="109"/>
        <w:gridCol w:w="249"/>
        <w:gridCol w:w="172"/>
        <w:gridCol w:w="302"/>
        <w:gridCol w:w="109"/>
        <w:gridCol w:w="109"/>
        <w:gridCol w:w="109"/>
        <w:gridCol w:w="181"/>
        <w:gridCol w:w="571"/>
        <w:gridCol w:w="109"/>
        <w:gridCol w:w="109"/>
        <w:gridCol w:w="109"/>
        <w:gridCol w:w="109"/>
        <w:gridCol w:w="238"/>
        <w:gridCol w:w="183"/>
        <w:gridCol w:w="280"/>
        <w:gridCol w:w="109"/>
        <w:gridCol w:w="109"/>
        <w:gridCol w:w="109"/>
        <w:gridCol w:w="181"/>
        <w:gridCol w:w="571"/>
        <w:gridCol w:w="109"/>
        <w:gridCol w:w="109"/>
        <w:gridCol w:w="109"/>
        <w:gridCol w:w="109"/>
        <w:gridCol w:w="263"/>
        <w:gridCol w:w="158"/>
        <w:gridCol w:w="330"/>
        <w:gridCol w:w="109"/>
        <w:gridCol w:w="109"/>
        <w:gridCol w:w="109"/>
        <w:gridCol w:w="181"/>
        <w:gridCol w:w="646"/>
        <w:gridCol w:w="109"/>
        <w:gridCol w:w="109"/>
        <w:gridCol w:w="109"/>
        <w:gridCol w:w="109"/>
        <w:gridCol w:w="181"/>
        <w:gridCol w:w="646"/>
        <w:gridCol w:w="109"/>
        <w:gridCol w:w="327"/>
        <w:gridCol w:w="421"/>
        <w:gridCol w:w="383"/>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Portfolio Loans Receivable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 Refer to Note 5 to Unaudited Consolidated Financial Statements for additional discussion of each major classification of portfolio loans receivable.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repayment of loans is a source of additional liquidity for the Company. The following table details contractual maturities of our portfolio loans, along with an analysis of loans maturing after one year categorized by rate characteristic. Loans with adjustable interest rates are shown as maturing in the period during which the contract is due. The table does not reflect the effects of possible prepayments.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8650"/>
                <wp:effectExtent l="0" t="0" r="0" b="0"/>
                <wp:wrapNone/>
                <wp:docPr id="58" name="Frame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464"/>
        <w:gridCol w:w="409"/>
        <w:gridCol w:w="327"/>
        <w:gridCol w:w="203"/>
        <w:gridCol w:w="764"/>
        <w:gridCol w:w="113"/>
        <w:gridCol w:w="113"/>
        <w:gridCol w:w="113"/>
        <w:gridCol w:w="113"/>
        <w:gridCol w:w="113"/>
        <w:gridCol w:w="109"/>
        <w:gridCol w:w="196"/>
        <w:gridCol w:w="736"/>
        <w:gridCol w:w="109"/>
        <w:gridCol w:w="109"/>
        <w:gridCol w:w="109"/>
        <w:gridCol w:w="109"/>
        <w:gridCol w:w="860"/>
        <w:gridCol w:w="389"/>
        <w:gridCol w:w="196"/>
        <w:gridCol w:w="736"/>
        <w:gridCol w:w="109"/>
        <w:gridCol w:w="217"/>
        <w:gridCol w:w="189"/>
        <w:gridCol w:w="189"/>
        <w:gridCol w:w="190"/>
        <w:gridCol w:w="109"/>
        <w:gridCol w:w="196"/>
        <w:gridCol w:w="736"/>
        <w:gridCol w:w="109"/>
        <w:gridCol w:w="109"/>
        <w:gridCol w:w="109"/>
        <w:gridCol w:w="109"/>
        <w:gridCol w:w="109"/>
        <w:gridCol w:w="109"/>
        <w:gridCol w:w="196"/>
        <w:gridCol w:w="871"/>
        <w:gridCol w:w="159"/>
      </w:tblGrid>
      <w:tr>
        <w:trPr/>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1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September 30, 2023</w:t>
            </w:r>
          </w:p>
        </w:tc>
        <w:tc>
          <w:tcPr>
            <w:tcW w:w="3706" w:type="dxa"/>
            <w:gridSpan w:val="16"/>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Year </w:t>
              <w:br/>
              <w:t>or Less</w:t>
            </w:r>
          </w:p>
        </w:tc>
        <w:tc>
          <w:tcPr>
            <w:tcW w:w="113" w:type="dxa"/>
            <w:tcBorders/>
            <w:vAlign w:val="center"/>
          </w:tcPr>
          <w:p>
            <w:pPr>
              <w:pStyle w:val="TableContents"/>
              <w:bidi w:val="0"/>
              <w:spacing w:before="0" w:after="283"/>
              <w:jc w:val="left"/>
              <w:rPr>
                <w:sz w:val="4"/>
                <w:szCs w:val="4"/>
              </w:rPr>
            </w:pPr>
            <w:r>
              <w:rPr>
                <w:sz w:val="4"/>
                <w:szCs w:val="4"/>
              </w:rPr>
            </w:r>
          </w:p>
        </w:tc>
        <w:tc>
          <w:tcPr>
            <w:tcW w:w="1150"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to </w:t>
              <w:br/>
              <w:t>Five Years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Over </w:t>
              <w:br/>
              <w:t>Five Years to Fifteen Years</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Fifteen Years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8"/>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670,594 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280,905 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236,782 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666,425 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1,869,909 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above maturing after one year categorized by rate characteristic: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Predetermined Interest Rates</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8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 or Variable Rates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771" w:type="dxa"/>
            <w:gridSpan w:val="8"/>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436,506 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1,203,484 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to the portfolio loans shown above, gross SBA-PPP loans receivable, which totaled $0.8 million at September 30, 2023, mature in the one to five year time-frame and carry a fixed rate of interest.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non owner-occupied commercial real estate loans and the weighted average loan-to-value (“LTV”) by loan type:</w:t>
      </w:r>
    </w:p>
    <w:tbl>
      <w:tblPr>
        <w:tblW w:w="10205" w:type="dxa"/>
        <w:jc w:val="left"/>
        <w:tblInd w:w="0" w:type="dxa"/>
        <w:tblLayout w:type="fixed"/>
        <w:tblCellMar>
          <w:top w:w="28" w:type="dxa"/>
          <w:left w:w="28" w:type="dxa"/>
          <w:bottom w:w="28" w:type="dxa"/>
          <w:right w:w="28" w:type="dxa"/>
        </w:tblCellMar>
      </w:tblPr>
      <w:tblGrid>
        <w:gridCol w:w="966"/>
        <w:gridCol w:w="787"/>
        <w:gridCol w:w="614"/>
        <w:gridCol w:w="196"/>
        <w:gridCol w:w="871"/>
        <w:gridCol w:w="109"/>
        <w:gridCol w:w="109"/>
        <w:gridCol w:w="109"/>
        <w:gridCol w:w="109"/>
        <w:gridCol w:w="342"/>
        <w:gridCol w:w="296"/>
        <w:gridCol w:w="703"/>
        <w:gridCol w:w="109"/>
        <w:gridCol w:w="109"/>
        <w:gridCol w:w="109"/>
        <w:gridCol w:w="615"/>
        <w:gridCol w:w="615"/>
        <w:gridCol w:w="1451"/>
        <w:gridCol w:w="109"/>
        <w:gridCol w:w="109"/>
        <w:gridCol w:w="109"/>
        <w:gridCol w:w="402"/>
        <w:gridCol w:w="331"/>
        <w:gridCol w:w="926"/>
      </w:tblGrid>
      <w:tr>
        <w:trPr/>
        <w:tc>
          <w:tcPr>
            <w:tcW w:w="9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35" w:type="dxa"/>
            <w:gridSpan w:val="15"/>
            <w:tcBorders/>
          </w:tcPr>
          <w:p>
            <w:pPr>
              <w:pStyle w:val="TableContents"/>
              <w:bidi w:val="0"/>
              <w:spacing w:before="0" w:after="283"/>
              <w:jc w:val="left"/>
              <w:rPr>
                <w:sz w:val="4"/>
                <w:szCs w:val="4"/>
              </w:rPr>
            </w:pPr>
            <w:r>
              <w:rPr>
                <w:sz w:val="4"/>
                <w:szCs w:val="4"/>
              </w:rPr>
            </w:r>
          </w:p>
        </w:tc>
      </w:tr>
      <w:tr>
        <w:trPr/>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September 30, 2023</w:t>
            </w:r>
          </w:p>
        </w:tc>
      </w:tr>
      <w:tr>
        <w:trPr/>
        <w:tc>
          <w:tcPr>
            <w:tcW w:w="2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 Average LTV</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Non Owner-Occupied Commercial Real Estate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Portfolio Loans, Gross</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Hotel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23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 owner-occupied commercial real estate loans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1,869,909 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(1) Weighted average LTV is calculated by reference to the most recent available appraisal of the property securing each loan.</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Nonperforming Assets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the interest accrual is discontinued, all unpaid accrued interest is reversed from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8650"/>
                <wp:effectExtent l="0" t="0" r="0" b="0"/>
                <wp:wrapNone/>
                <wp:docPr id="59" name="Frame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Loans are returned to accrual status when all the principal and interest amounts contractually due are brought current and future payments are, in management’s opinion, reasonably assured.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 Consumer credit card balances are moved into the charge off queue after they become more than 90 days past due and are charged off not later than 120 days after they become past due. Otherwise, loans that are past due for 180 days or more are charged off unless the loan is well secured and in the process of collection.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believes its approach to lending and the management of nonperforming assets has resulted in sound asset quality and timely resolution of problem assets. The Company has established underwriting guidelines to be followed by our bankers, and routinely monitors our delinquency levels for any negative or adverse trends. There can be no assurance, however, that our loan portfolio will not become subject to increasing pressures from deteriorating borrower credit.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From a credit risk standpoint, we grade watchlist and problem loans into one of five credit quality indicators: pass/watch, special mention, substandard, doubtful or loss. The classifications of loans reflect a judgment about the risks of default and loss associated with each loan. Credit ratings are reviewed regularly and adjusted regularly to reflect the degree of risk and loss that our management believes to be appropriate for each credit. Our lending policy requires the routine monitoring of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within this loan population, which consists of loans that, although considered satisfactory and performing to terms, may exhibit special risk features that warrant management’s attention.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deserving of management’s attention. If uncorrected, such weaknesses may, at a future date, impair the repayment prospects for the asset or our credit position.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September 30, 2023, the recorded investment in individually assessed loans was $15.3 million, requiring a specific reserve of $0.7 million. At December 31, 2022, prior to the adoption of CECL, the Company carried a recorded investment in impaired loans of $9.4 million, $0.5 million of which required a specific reserve of $0.4 million. The $15.3 million of individually assessed loans at September 30, 2023 included a single $8.2 million, multi-unit residential real estate loan that was downgraded in the first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8650"/>
                <wp:effectExtent l="0" t="0" r="0" b="0"/>
                <wp:wrapNone/>
                <wp:docPr id="60"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discussed in Note 1 to the Unaudited Consolidated Financial Statements, we maintain an ACL that represents management’s estimate of expected credit losses and risks inherent in our loan portfolio. The balance of the ACL is based on internally assigned risk classifications of loans, historical loss rates, changes in the nature of our loan portfolio, overall portfolio quality, industry concentrations, delinquency trends, current economic factors and the estimated impact of current economic conditions on certain historical loss rates.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major consideration in the determination of the allowance for credit loss on the credit card portfolio is based on historical loss experience in that portfolio. The Company calculates the credit card ACL collectively, applying segmentation based on collateral positions: secured, partially secured, and unsecured.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key ratios for the ACL and nonaccrual loans for the periods indicated:</w:t>
      </w:r>
    </w:p>
    <w:tbl>
      <w:tblPr>
        <w:tblW w:w="10205" w:type="dxa"/>
        <w:jc w:val="left"/>
        <w:tblInd w:w="0" w:type="dxa"/>
        <w:tblLayout w:type="fixed"/>
        <w:tblCellMar>
          <w:top w:w="28" w:type="dxa"/>
          <w:left w:w="28" w:type="dxa"/>
          <w:bottom w:w="28" w:type="dxa"/>
          <w:right w:w="28" w:type="dxa"/>
        </w:tblCellMar>
      </w:tblPr>
      <w:tblGrid>
        <w:gridCol w:w="456"/>
        <w:gridCol w:w="401"/>
        <w:gridCol w:w="323"/>
        <w:gridCol w:w="109"/>
        <w:gridCol w:w="109"/>
        <w:gridCol w:w="109"/>
        <w:gridCol w:w="406"/>
        <w:gridCol w:w="313"/>
        <w:gridCol w:w="351"/>
        <w:gridCol w:w="149"/>
        <w:gridCol w:w="149"/>
        <w:gridCol w:w="149"/>
        <w:gridCol w:w="406"/>
        <w:gridCol w:w="261"/>
        <w:gridCol w:w="351"/>
        <w:gridCol w:w="109"/>
        <w:gridCol w:w="109"/>
        <w:gridCol w:w="109"/>
        <w:gridCol w:w="295"/>
        <w:gridCol w:w="295"/>
        <w:gridCol w:w="461"/>
        <w:gridCol w:w="132"/>
        <w:gridCol w:w="132"/>
        <w:gridCol w:w="132"/>
        <w:gridCol w:w="293"/>
        <w:gridCol w:w="293"/>
        <w:gridCol w:w="405"/>
        <w:gridCol w:w="109"/>
        <w:gridCol w:w="109"/>
        <w:gridCol w:w="109"/>
        <w:gridCol w:w="350"/>
        <w:gridCol w:w="350"/>
        <w:gridCol w:w="352"/>
        <w:gridCol w:w="141"/>
        <w:gridCol w:w="141"/>
        <w:gridCol w:w="141"/>
        <w:gridCol w:w="348"/>
        <w:gridCol w:w="307"/>
        <w:gridCol w:w="337"/>
        <w:gridCol w:w="109"/>
        <w:gridCol w:w="109"/>
        <w:gridCol w:w="109"/>
        <w:gridCol w:w="109"/>
        <w:gridCol w:w="168"/>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6163" w:type="dxa"/>
            <w:gridSpan w:val="29"/>
            <w:tcBorders/>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Allowance for credit losses to period end portfolio loans</w:t>
            </w:r>
            <w:r>
              <w:rPr>
                <w:color w:val="000000"/>
              </w:rPr>
              <w:t xml:space="preserve">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Nonaccrual loans to total portfolio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Allowance for credit losses to nonaccrual loans</w:t>
            </w:r>
            <w:r>
              <w:rPr>
                <w:color w:val="000000"/>
              </w:rPr>
              <w:t xml:space="preserve"> </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4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0.56 </w:t>
            </w:r>
          </w:p>
        </w:tc>
        <w:tc>
          <w:tcPr>
            <w:tcW w:w="4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3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rFonts w:ascii="Arial;sans-serif" w:hAnsi="Arial;sans-serif"/>
          <w:b w:val="false"/>
          <w:color w:val="000000"/>
          <w:sz w:val="13"/>
        </w:rPr>
        <w:t>Allowance calculation excludes SBA-PPP loans.</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Total charge-offs for the quarters ended September 30, 2023 and September 30, 2022 were primarily due to credit card charge-offs resulting both from the aging of the portfolio and the shift from an almost exclusively secured card portfolio to a portfolio that also includes partially secured and unsecured exposures. Commercial real estate loans experienced net charge-offs for the nine months ended September 30, 2023 of $1.0 million. Commercial real estate loans experienced net charge-offs for the quarter ended September 30, 2023 of $0.1 million. There were no charge-offs for the commercial loan portfolio for the nine months ended September 30, 2022. The following tables present a summary of the net charge-offs (recovery) of loans as a percentage of average loans for the periods indicated:</w:t>
      </w:r>
    </w:p>
    <w:tbl>
      <w:tblPr>
        <w:tblW w:w="10205" w:type="dxa"/>
        <w:jc w:val="center"/>
        <w:tblInd w:w="0" w:type="dxa"/>
        <w:tblLayout w:type="fixed"/>
        <w:tblCellMar>
          <w:top w:w="28" w:type="dxa"/>
          <w:left w:w="28" w:type="dxa"/>
          <w:bottom w:w="28" w:type="dxa"/>
          <w:right w:w="28" w:type="dxa"/>
        </w:tblCellMar>
      </w:tblPr>
      <w:tblGrid>
        <w:gridCol w:w="453"/>
        <w:gridCol w:w="398"/>
        <w:gridCol w:w="320"/>
        <w:gridCol w:w="109"/>
        <w:gridCol w:w="109"/>
        <w:gridCol w:w="109"/>
        <w:gridCol w:w="277"/>
        <w:gridCol w:w="788"/>
        <w:gridCol w:w="155"/>
        <w:gridCol w:w="109"/>
        <w:gridCol w:w="109"/>
        <w:gridCol w:w="109"/>
        <w:gridCol w:w="198"/>
        <w:gridCol w:w="881"/>
        <w:gridCol w:w="110"/>
        <w:gridCol w:w="109"/>
        <w:gridCol w:w="109"/>
        <w:gridCol w:w="109"/>
        <w:gridCol w:w="344"/>
        <w:gridCol w:w="244"/>
        <w:gridCol w:w="574"/>
        <w:gridCol w:w="109"/>
        <w:gridCol w:w="109"/>
        <w:gridCol w:w="109"/>
        <w:gridCol w:w="249"/>
        <w:gridCol w:w="707"/>
        <w:gridCol w:w="139"/>
        <w:gridCol w:w="109"/>
        <w:gridCol w:w="109"/>
        <w:gridCol w:w="109"/>
        <w:gridCol w:w="198"/>
        <w:gridCol w:w="881"/>
        <w:gridCol w:w="110"/>
        <w:gridCol w:w="109"/>
        <w:gridCol w:w="109"/>
        <w:gridCol w:w="109"/>
        <w:gridCol w:w="331"/>
        <w:gridCol w:w="231"/>
        <w:gridCol w:w="655"/>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 (Recoveries)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Net Charge-offs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439,603 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655,743 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1,846,866 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1,601,546 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8650"/>
                <wp:effectExtent l="0" t="0" r="0" b="0"/>
                <wp:wrapNone/>
                <wp:docPr id="61" name="Frame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53"/>
        <w:gridCol w:w="398"/>
        <w:gridCol w:w="320"/>
        <w:gridCol w:w="109"/>
        <w:gridCol w:w="109"/>
        <w:gridCol w:w="109"/>
        <w:gridCol w:w="277"/>
        <w:gridCol w:w="788"/>
        <w:gridCol w:w="155"/>
        <w:gridCol w:w="109"/>
        <w:gridCol w:w="109"/>
        <w:gridCol w:w="109"/>
        <w:gridCol w:w="198"/>
        <w:gridCol w:w="881"/>
        <w:gridCol w:w="110"/>
        <w:gridCol w:w="109"/>
        <w:gridCol w:w="109"/>
        <w:gridCol w:w="109"/>
        <w:gridCol w:w="344"/>
        <w:gridCol w:w="244"/>
        <w:gridCol w:w="574"/>
        <w:gridCol w:w="109"/>
        <w:gridCol w:w="109"/>
        <w:gridCol w:w="109"/>
        <w:gridCol w:w="249"/>
        <w:gridCol w:w="707"/>
        <w:gridCol w:w="139"/>
        <w:gridCol w:w="109"/>
        <w:gridCol w:w="109"/>
        <w:gridCol w:w="109"/>
        <w:gridCol w:w="198"/>
        <w:gridCol w:w="881"/>
        <w:gridCol w:w="110"/>
        <w:gridCol w:w="109"/>
        <w:gridCol w:w="109"/>
        <w:gridCol w:w="109"/>
        <w:gridCol w:w="331"/>
        <w:gridCol w:w="231"/>
        <w:gridCol w:w="655"/>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 (Recoveries)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Net Charge-offs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422,024 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577,347 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245,546 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219,297 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0.61 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1,799,755 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0.45 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1,547,386 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0.29 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rFonts w:ascii="Arial;sans-serif" w:hAnsi="Arial;sans-serif"/>
          <w:b w:val="false"/>
          <w:color w:val="000000"/>
          <w:sz w:val="13"/>
        </w:rPr>
        <w:t>Annualized.</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the loan portfolio and ACL review processes continue to evolve, there may be changes to elements of the allowance and this may influence the overall level of the allowance maintained. Historically, the Bank has enjoyed a high-quality loan portfolio with relatively low levels of net charge-offs and low delinquency rates. The maintenance of a high-quality portfolio will continue to be a priority.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Although we believe we have established our ACL in accordance with GAAP and that the ACL is currently adequate to provide for known and inherent losses in the portfolio at all times shown above, future provisions for credit losses will be subject to ongoing evaluations of the risks in our loan portfolio.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allocation of the ACL among loan categories as of the dates indicated. The total allowance is available to absorb losses from any loan category.</w:t>
      </w:r>
    </w:p>
    <w:tbl>
      <w:tblPr>
        <w:tblW w:w="7780" w:type="dxa"/>
        <w:jc w:val="left"/>
        <w:tblInd w:w="0" w:type="dxa"/>
        <w:tblLayout w:type="fixed"/>
        <w:tblCellMar>
          <w:top w:w="28" w:type="dxa"/>
          <w:left w:w="28" w:type="dxa"/>
          <w:bottom w:w="28" w:type="dxa"/>
          <w:right w:w="28" w:type="dxa"/>
        </w:tblCellMar>
      </w:tblPr>
      <w:tblGrid>
        <w:gridCol w:w="1015"/>
        <w:gridCol w:w="893"/>
        <w:gridCol w:w="822"/>
        <w:gridCol w:w="211"/>
        <w:gridCol w:w="736"/>
        <w:gridCol w:w="109"/>
        <w:gridCol w:w="109"/>
        <w:gridCol w:w="109"/>
        <w:gridCol w:w="109"/>
        <w:gridCol w:w="246"/>
        <w:gridCol w:w="235"/>
        <w:gridCol w:w="483"/>
        <w:gridCol w:w="109"/>
        <w:gridCol w:w="109"/>
        <w:gridCol w:w="109"/>
        <w:gridCol w:w="211"/>
        <w:gridCol w:w="721"/>
        <w:gridCol w:w="109"/>
        <w:gridCol w:w="109"/>
        <w:gridCol w:w="109"/>
        <w:gridCol w:w="109"/>
        <w:gridCol w:w="239"/>
        <w:gridCol w:w="227"/>
        <w:gridCol w:w="542"/>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5050"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w:t>
            </w: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Commercial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w:t>
            </w: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Construction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consumer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 for credit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28,279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w:t>
            </w:r>
            <w:r>
              <w:rPr>
                <w:color w:val="000000"/>
              </w:rPr>
              <w:t>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240"/>
        <w:jc w:val="both"/>
        <w:rPr/>
      </w:pPr>
      <w:r>
        <w:rPr>
          <w:rFonts w:ascii="Times New Roman;sans-serif" w:hAnsi="Times New Roman;sans-serif"/>
          <w:b w:val="false"/>
          <w:color w:val="000000"/>
          <w:sz w:val="10"/>
        </w:rPr>
        <w:t>(1)</w:t>
      </w:r>
      <w:r>
        <w:rPr>
          <w:rFonts w:ascii="Arial;sans-serif" w:hAnsi="Arial;sans-serif"/>
          <w:b w:val="false"/>
          <w:color w:val="000000"/>
          <w:sz w:val="12"/>
        </w:rPr>
        <w:t>Loan category as a percentage of total portfolio loans which excludes SBA-PPP loans.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Total Liabilities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Total liabilities at September 30, 2023 increased $130.0 million from December 31, 2022, primarily due to growth in the deposit portfolio of $209.9 million, partially offset by an $85.0 million reduction in FHLB advances.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Deposits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Deposits are a major source of funding for the Company. We offer a variety of deposit products including interest-bearing demand, savings, money market and time accounts, all of which we actively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605" cy="14605"/>
                <wp:effectExtent l="0" t="0" r="0" b="0"/>
                <wp:wrapNone/>
                <wp:docPr id="62" name="Frame6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market at competitive pricing. We generate deposits from our customers on a relationship basis and through the efforts of our commercial lending officers and our business banking officers. Our credit card customers are a significant source of low cost deposits. As of September 30, 2023 and December 31, 2022, our credit card customers accounted for $181.2 million and $187.4 million, or 26.6% and 27.8%, respectively, of our total noninterest-bearing deposit balances.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average balances and average rates paid on deposits for the periods indicated:</w:t>
      </w:r>
    </w:p>
    <w:tbl>
      <w:tblPr>
        <w:tblW w:w="10205" w:type="dxa"/>
        <w:jc w:val="center"/>
        <w:tblInd w:w="0" w:type="dxa"/>
        <w:tblLayout w:type="fixed"/>
        <w:tblCellMar>
          <w:top w:w="28" w:type="dxa"/>
          <w:left w:w="28" w:type="dxa"/>
          <w:bottom w:w="28" w:type="dxa"/>
          <w:right w:w="28" w:type="dxa"/>
        </w:tblCellMar>
      </w:tblPr>
      <w:tblGrid>
        <w:gridCol w:w="1117"/>
        <w:gridCol w:w="931"/>
        <w:gridCol w:w="939"/>
        <w:gridCol w:w="351"/>
        <w:gridCol w:w="1652"/>
        <w:gridCol w:w="181"/>
        <w:gridCol w:w="181"/>
        <w:gridCol w:w="181"/>
        <w:gridCol w:w="181"/>
        <w:gridCol w:w="263"/>
        <w:gridCol w:w="263"/>
        <w:gridCol w:w="467"/>
        <w:gridCol w:w="109"/>
        <w:gridCol w:w="109"/>
        <w:gridCol w:w="109"/>
        <w:gridCol w:w="283"/>
        <w:gridCol w:w="1312"/>
        <w:gridCol w:w="146"/>
        <w:gridCol w:w="146"/>
        <w:gridCol w:w="146"/>
        <w:gridCol w:w="146"/>
        <w:gridCol w:w="255"/>
        <w:gridCol w:w="256"/>
        <w:gridCol w:w="481"/>
      </w:tblGrid>
      <w:tr>
        <w:trPr/>
        <w:tc>
          <w:tcPr>
            <w:tcW w:w="111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 the Year Ended December 31, 2022</w:t>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Balance</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Average </w:t>
            </w:r>
          </w:p>
          <w:p>
            <w:pPr>
              <w:pStyle w:val="TableContents"/>
              <w:bidi w:val="0"/>
              <w:spacing w:lineRule="auto" w:line="240" w:before="0" w:after="0"/>
              <w:jc w:val="center"/>
              <w:rPr/>
            </w:pPr>
            <w:r>
              <w:rPr>
                <w:rFonts w:ascii="Arial;sans-serif" w:hAnsi="Arial;sans-serif"/>
                <w:b/>
                <w:color w:val="000000"/>
                <w:sz w:val="16"/>
              </w:rP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Balance</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Average </w:t>
            </w:r>
          </w:p>
          <w:p>
            <w:pPr>
              <w:pStyle w:val="TableContents"/>
              <w:bidi w:val="0"/>
              <w:spacing w:lineRule="auto" w:line="240" w:before="0" w:after="0"/>
              <w:jc w:val="center"/>
              <w:rPr/>
            </w:pPr>
            <w:r>
              <w:rPr>
                <w:rFonts w:ascii="Arial;sans-serif" w:hAnsi="Arial;sans-serif"/>
                <w:b w:val="false"/>
                <w:color w:val="000000"/>
                <w:sz w:val="16"/>
              </w:rPr>
              <w:t>Rate</w:t>
            </w:r>
            <w:r>
              <w:rPr>
                <w:rFonts w:ascii="Arial;sans-serif" w:hAnsi="Arial;sans-serif"/>
                <w:b w:val="false"/>
                <w:color w:val="000000"/>
                <w:sz w:val="10"/>
              </w:rPr>
              <w:t>(1)</w:t>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(in thousands)</w:t>
            </w:r>
          </w:p>
        </w:tc>
        <w:tc>
          <w:tcPr>
            <w:tcW w:w="7218"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accounts</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203,099</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0.14</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5,965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0.13</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Money market accounts</w:t>
            </w:r>
          </w:p>
        </w:tc>
        <w:tc>
          <w:tcPr>
            <w:tcW w:w="2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628,977</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w:t>
            </w: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553,388 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2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353,635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4.27</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2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1,191,676</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w:t>
            </w:r>
            <w:r>
              <w:rPr>
                <w:color w:val="000000"/>
              </w:rPr>
              <w:t>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982,082 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accounts</w:t>
            </w:r>
          </w:p>
        </w:tc>
        <w:tc>
          <w:tcPr>
            <w:tcW w:w="2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665,821</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781,971 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deposits</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1,857,497</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2.01</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1,764,053 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jc w:val="left"/>
        <w:rPr>
          <w:rFonts w:ascii="Arial;sans-serif" w:hAnsi="Arial;sans-serif"/>
          <w:b w:val="false"/>
          <w:color w:val="000000"/>
          <w:sz w:val="13"/>
        </w:rPr>
      </w:pPr>
      <w:r>
        <w:rPr>
          <w:rFonts w:ascii="Arial;sans-serif" w:hAnsi="Arial;sans-serif"/>
          <w:b w:val="false"/>
          <w:color w:val="000000"/>
          <w:sz w:val="13"/>
        </w:rPr>
        <w:t>(1) Annualized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Deposit costs increased 158 basis points during the nine months ended September 30, 2023 owing in large part to a series of interest rate increases implemented by the Federal Reserve beginning in early 2022 and the corresponding move from savings accounts to higher rate money market accounts and time deposits. In addition, Average noninterest-bearing deposit balances decreased $116.1 million when compared to December 31, 2022, largely due to the decision by some depositors to move balances from noninterest-bearing deposit accounts to interest-bearing deposit accounts.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presents the maturities of our certificates of deposit as of September 30, 2023. </w:t>
      </w:r>
    </w:p>
    <w:tbl>
      <w:tblPr>
        <w:tblW w:w="8507" w:type="dxa"/>
        <w:jc w:val="center"/>
        <w:tblInd w:w="0" w:type="dxa"/>
        <w:tblLayout w:type="fixed"/>
        <w:tblCellMar>
          <w:top w:w="28" w:type="dxa"/>
          <w:left w:w="28" w:type="dxa"/>
          <w:bottom w:w="28" w:type="dxa"/>
          <w:right w:w="28" w:type="dxa"/>
        </w:tblCellMar>
      </w:tblPr>
      <w:tblGrid>
        <w:gridCol w:w="627"/>
        <w:gridCol w:w="554"/>
        <w:gridCol w:w="558"/>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62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w:t>
              <w:br/>
              <w:t xml:space="preserve">Months or </w:t>
              <w:br/>
              <w:t>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w:t>
              <w:br/>
              <w:t>Three</w:t>
              <w:br/>
              <w:t>Through</w:t>
              <w:br/>
              <w:t>Six</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Six</w:t>
              <w:br/>
              <w:t>Through</w:t>
              <w:br/>
              <w:t>Twelve</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w:t>
              <w:br/>
              <w:t>Twelve</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6768" w:type="dxa"/>
            <w:gridSpan w:val="27"/>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$250,000 or more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$250,000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September 30, 2023, the Company had $383.7 million in total time deposits, an increase of $90.3 million from December 31, 2022. Total brokered time deposits of $128.7 million at September 30, 2023 decreased $3.2 million from $131.8 million at December 31, 2022. Total brokered time deposits as a percentage of total deposits was 6.5% at September 30, 2023.</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2023 and December 31, 2022, based on the methodologies and assumptions used for the Bank’s regulatory reporting requirements, approximately $857.7 million or 43.6% and $784.6 million or 44.6%, respectively, of the deposit portfolio was uninsured. Uninsured deposits are comprised of the portion of account balances that are in excess of FDIC insurance limits.</w:t>
      </w:r>
    </w:p>
    <w:p>
      <w:pPr>
        <w:pStyle w:val="TextBody"/>
        <w:bidi w:val="0"/>
        <w:spacing w:lineRule="auto" w:line="288" w:before="0" w:after="240"/>
        <w:ind w:left="0" w:right="0" w:firstLine="360"/>
        <w:jc w:val="both"/>
        <w:rPr/>
      </w:pPr>
      <w:r>
        <w:rPr>
          <w:rFonts w:ascii="Arial;sans-serif" w:hAnsi="Arial;sans-serif"/>
          <w:b w:val="false"/>
          <w:color w:val="000000"/>
          <w:sz w:val="20"/>
        </w:rPr>
        <w:t>Deposits securing our OpenSky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card lines of credit and deposits from title companies represent the largest concentrations in the deposit portfolio. As of September 30, 2023, these deposits represented 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8650"/>
                <wp:effectExtent l="0" t="0" r="0" b="0"/>
                <wp:wrapNone/>
                <wp:docPr id="63" name="Frame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and 15% of deposits, respectively. As of December 31, 2022, these concentrations were 11% and 13% of deposits.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Borrowings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utilize short-term and long-term borrowings to supplement deposits to fund our lending and investment activities, each of which is discussed below. Despite the uncertain market conditions during the first quarter of 2023 following the closures of Silicon Valley Bank and Signature Bank, our total borrowings decreased during the nine months ended September 30, 2023 to $34.1 million from $119.1 million at December 31, 2022 as our deposits increased during the year.</w:t>
      </w:r>
    </w:p>
    <w:p>
      <w:pPr>
        <w:pStyle w:val="TextBody"/>
        <w:bidi w:val="0"/>
        <w:spacing w:lineRule="auto" w:line="288" w:before="0" w:after="240"/>
        <w:ind w:left="0" w:right="0" w:firstLine="360"/>
        <w:jc w:val="both"/>
        <w:rPr/>
      </w:pPr>
      <w:r>
        <w:rPr>
          <w:rFonts w:ascii="Arial;sans-serif" w:hAnsi="Arial;sans-serif"/>
          <w:b w:val="false"/>
          <w:i/>
          <w:color w:val="000000"/>
          <w:sz w:val="20"/>
        </w:rPr>
        <w:t>FHLB Advances</w:t>
      </w:r>
      <w:r>
        <w:rPr>
          <w:rFonts w:ascii="Arial;sans-serif" w:hAnsi="Arial;sans-serif"/>
          <w:b w:val="false"/>
          <w:color w:val="000000"/>
          <w:sz w:val="20"/>
        </w:rPr>
        <w:t>. The FHLB allows us to borrow up to 25% of our assets on a blanket floating lien status collateralized by certain securities and loans. As of September 30, 2023, approximately $543.5 million in real estate loans were pledged as collateral to the FHLB and our total borrowing capacity from the FHLB was $369.7 million. As of September 30, 2023, no investment securities were pledged with the FHLB. We utilize these borrowings to meet liquidity needs and to fund certain fixed rate loans in our portfolio. As of September 30, 2023, we had $22.0 million in outstanding advances and $347.7 million in available borrowing capacity from the FHLB.</w:t>
      </w:r>
    </w:p>
    <w:p>
      <w:pPr>
        <w:pStyle w:val="TextBody"/>
        <w:bidi w:val="0"/>
        <w:spacing w:lineRule="auto" w:line="288" w:before="0" w:after="240"/>
        <w:ind w:left="0" w:right="0" w:firstLine="360"/>
        <w:jc w:val="both"/>
        <w:rPr/>
      </w:pPr>
      <w:r>
        <w:rPr>
          <w:rFonts w:ascii="Arial;sans-serif" w:hAnsi="Arial;sans-serif"/>
          <w:b w:val="false"/>
          <w:i/>
          <w:color w:val="000000"/>
          <w:sz w:val="20"/>
        </w:rPr>
        <w:t>Other Borrowed Funds.</w:t>
      </w:r>
      <w:r>
        <w:rPr>
          <w:color w:val="000000"/>
        </w:rPr>
        <w:t xml:space="preserve"> </w:t>
      </w:r>
      <w:r>
        <w:rPr>
          <w:rFonts w:ascii="Arial;sans-serif" w:hAnsi="Arial;sans-serif"/>
          <w:b w:val="false"/>
          <w:color w:val="000000"/>
          <w:sz w:val="20"/>
        </w:rPr>
        <w:t>The Company has also issued junior subordinated debentures and other subordinated notes. At September 30, 2023, these other borrowings amounted to $12.1 million, consisting of Floating Rate Junior Subordinated Deferrable Interest Debentures and subordinated notes.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September 30, 2023, our Floating Rate Junior Subordinated Deferrable Interest Debentures amounted to $2.1 million. The Floating Rate Junior Subordinated Deferrable Interest Debentures (the “Floating Rate Debentures”) were issued in June of 2006, mature on June 15, 2036, and may be redeemed prior to that date under certain circumstances. The principal amount of the Floating Rate Debentures has not changed since issuance, and they accrue interest at a floating rate equal to the three-month CME Term SOFR plus a spread adjustment of 0.26161 percent (or 26.161 bps) plus 187 basis points, payable quarterly. As of September 30, 2023, the rate for the Floating Rate Debentures was 7.54%.</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November 30, 2020, the Company issued $10.0 million in subordinated notes due in 2030 (the “Notes”). The Notes have a ten year term and have a fixed rate of 5.00% for the first five years; thereafter, the rate resets quarterly to a benchmark rate, which is expected to be the three-month SOFR, plus 490 basis points. The Notes may be redeemed in part or in whole, upon the occurrence of certain events. </w:t>
      </w:r>
    </w:p>
    <w:p>
      <w:pPr>
        <w:pStyle w:val="TextBody"/>
        <w:bidi w:val="0"/>
        <w:spacing w:lineRule="auto" w:line="288" w:before="0" w:after="240"/>
        <w:ind w:left="0" w:right="0" w:firstLine="360"/>
        <w:jc w:val="both"/>
        <w:rPr/>
      </w:pPr>
      <w:r>
        <w:rPr>
          <w:rFonts w:ascii="Arial;sans-serif" w:hAnsi="Arial;sans-serif"/>
          <w:b w:val="false"/>
          <w:i/>
          <w:color w:val="000000"/>
          <w:sz w:val="20"/>
        </w:rPr>
        <w:t>Federal Reserve Bank of Richmond.</w:t>
      </w:r>
      <w:r>
        <w:rPr>
          <w:color w:val="000000"/>
        </w:rPr>
        <w:t xml:space="preserve"> </w:t>
      </w:r>
      <w:r>
        <w:rPr>
          <w:rFonts w:ascii="Arial;sans-serif" w:hAnsi="Arial;sans-serif"/>
          <w:b w:val="false"/>
          <w:color w:val="000000"/>
          <w:sz w:val="20"/>
        </w:rPr>
        <w:t>The Federal Reserve Bank of Richmond has an available borrower in custody arrangement which allows us to borrow on a collateralized basis. The Company’s borrowing capacity under the Federal Reserve’s discount window program was $16.8 million as of September 30, 2023. Certain commercial loans are pledged under this arrangement. During the first quarter of 2023, we established a line of credit under the Federal Reserve Bank’s Bank Term Funding Program (“BTFP”). We have pledged $150.0 million of U.S. Treasury securities to the Federal Reserve Bank which gives rise to $150.0 million of borrowing capacity. We maintain these borrowing arrangements to meet liquidity needs pursuant to our contingency funding plan. There were no outstanding balances on these lines at September 30, 2023.</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also has available lines of credit of $76.0 million with other correspondent banks at September 30, 2023, as well as access to certificate of deposit funding through financial intermediaries. There were no outstanding balances on the lines of credit from correspondent banks at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8650"/>
                <wp:effectExtent l="0" t="0" r="0" b="0"/>
                <wp:wrapNone/>
                <wp:docPr id="64" name="Frame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Liquidity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addresses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that can be used to meet liquidity needs in situations of stress; contingency funding plans that address potential adverse liquidity events and emergency cash flow requirements; and internal controls and internal audit processes believed to be sufficient to assure the adequacy of the institution’s liquidity risk management process.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September 30, 2023, we had $347.7 million of available borrowing capacity from the FHLB, $16.8 million of available borrowing capacity from the Federal Reserve Bank of Richmond Borrower in Custody program and available lines of credit of $76.0 million with other correspondent banks. At September 30, 2023, the Company also had $150.0 million available through the BTFP, which provides funding collateralized by designated investment securities. The BTFP was established in March 2023 to make additional funding available to banks to ensure they could meet the needs of depositors and to eliminate the need for banks to sell securities in times of stress. There were no borrowings outstanding under this facility at the end of the current period. Further, unpledged investment securities available as collateral for potential additional borrowings totaled $56.1 million at September 30, 2023. Cash and cash equivalents were $146.2 million at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Capital Resources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Stockholders’ equity increased $18.9 million for the period ended September 30, 2023 compared to December 31, 2022 largely due to net income of $26.8 million for the nine months ended September 30, 2023. Shares repurchased during the three months ended September 30, 2023 as part of the Company’s stock repurchase program totaled 100,575 shares at an average price of $19.47, for a total cost of $2.0 million including commissions. Shares repurchased during the nine months ended September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8650"/>
                <wp:effectExtent l="0" t="0" r="0" b="0"/>
                <wp:wrapNone/>
                <wp:docPr id="65" name="Frame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2023 as part of the Company’s stock repurchase program totaled 385,919 shares at an average price of $18.12, for a total cost of $7.0 million including commissions.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total stockholders’ equity is affected by fluctuations in the fair values of investment securities available for sale. The difference between amortized cost and fair value of investment securities, net of deferred income tax, is included in accumulated other comprehensive loss within stockholders’ equity. Accumulated other comprehensive loss is excluded from the Bank’s and Company’s regulatory capital ratios. The balance in accumulated other comprehensive loss related to unrealized losses on available-for-sale debt securities, net of deferred income tax, amounted to $17.8 million at September 30, 2023 and $16.8 million at December 31, 2022. Changes in accumulated other comprehensive loss are excluded from earnings and directly increase or decrease stockholders’ equity. To the extent unrealized losses on investment securities available for sale result from credit losses, unrealized losses are recorded as a charge against earnings. The investment securities section of Management’s Discussion and Analysis and Notes 1 and 3 to the unaudited consolidated financial statements provide additional information concerning management’s evaluation of investment securities available for sale for credit losses at September 30, 2023.</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several indicators of capital strength. The most commonly used measure is average common equity to average assets (computed as average equity divided by average total assets), which was 10.93% at September 30, 2023 and 10.22% at December 31, 2022.</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ability of the Company to continue to grow is dependent on its earnings and those of the Bank, and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 in the Annual Report on Form 10-K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8650"/>
                <wp:effectExtent l="0" t="0" r="0" b="0"/>
                <wp:wrapNone/>
                <wp:docPr id="66" name="Frame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September 30, 2023,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regulatory capital ratios for the Company and the Bank as of the dates indicated.</w:t>
      </w:r>
    </w:p>
    <w:tbl>
      <w:tblPr>
        <w:tblW w:w="10205" w:type="dxa"/>
        <w:jc w:val="center"/>
        <w:tblInd w:w="0" w:type="dxa"/>
        <w:tblLayout w:type="fixed"/>
        <w:tblCellMar>
          <w:top w:w="28" w:type="dxa"/>
          <w:left w:w="28" w:type="dxa"/>
          <w:bottom w:w="28" w:type="dxa"/>
          <w:right w:w="28" w:type="dxa"/>
        </w:tblCellMar>
      </w:tblPr>
      <w:tblGrid>
        <w:gridCol w:w="820"/>
        <w:gridCol w:w="698"/>
        <w:gridCol w:w="708"/>
        <w:gridCol w:w="109"/>
        <w:gridCol w:w="109"/>
        <w:gridCol w:w="109"/>
        <w:gridCol w:w="196"/>
        <w:gridCol w:w="751"/>
        <w:gridCol w:w="109"/>
        <w:gridCol w:w="109"/>
        <w:gridCol w:w="109"/>
        <w:gridCol w:w="109"/>
        <w:gridCol w:w="285"/>
        <w:gridCol w:w="286"/>
        <w:gridCol w:w="278"/>
        <w:gridCol w:w="109"/>
        <w:gridCol w:w="109"/>
        <w:gridCol w:w="109"/>
        <w:gridCol w:w="196"/>
        <w:gridCol w:w="661"/>
        <w:gridCol w:w="109"/>
        <w:gridCol w:w="109"/>
        <w:gridCol w:w="109"/>
        <w:gridCol w:w="109"/>
        <w:gridCol w:w="240"/>
        <w:gridCol w:w="241"/>
        <w:gridCol w:w="278"/>
        <w:gridCol w:w="109"/>
        <w:gridCol w:w="109"/>
        <w:gridCol w:w="109"/>
        <w:gridCol w:w="196"/>
        <w:gridCol w:w="751"/>
        <w:gridCol w:w="109"/>
        <w:gridCol w:w="109"/>
        <w:gridCol w:w="109"/>
        <w:gridCol w:w="109"/>
        <w:gridCol w:w="284"/>
        <w:gridCol w:w="287"/>
        <w:gridCol w:w="278"/>
        <w:gridCol w:w="109"/>
        <w:gridCol w:w="109"/>
        <w:gridCol w:w="109"/>
        <w:gridCol w:w="155"/>
      </w:tblGrid>
      <w:tr>
        <w:trPr/>
        <w:tc>
          <w:tcPr>
            <w:tcW w:w="82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Minimum Capital</w:t>
              <w:br/>
              <w:t>Adequacy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 Be Well</w:t>
              <w:br/>
              <w:t>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260,721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11.62</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89,713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260,721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15.27</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102,472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260,721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15.27</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76,854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292,166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17.11</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136,630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219,909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10.04</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87,600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109,500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219,909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13.25</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99,549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132,732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219,909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13.25</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74,662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107,845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240,745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14.51</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132,732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165,915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16.33 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9.47 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14.21 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contractual obligations to make future payments on debt agreements. Our liquidity monitoring and management consider both present and future demands for and sources of liquidity.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Off-Balance Sheet Items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 reserve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8650"/>
                <wp:effectExtent l="0" t="0" r="0" b="0"/>
                <wp:wrapNone/>
                <wp:docPr id="67" name="Frame6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unfunded commitments and certain off-balance sheet credit risks, which is recorded in other liabilities on the consolidated balance sheet.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tbl>
      <w:tblPr>
        <w:tblW w:w="7749" w:type="dxa"/>
        <w:jc w:val="center"/>
        <w:tblInd w:w="0" w:type="dxa"/>
        <w:tblLayout w:type="fixed"/>
        <w:tblCellMar>
          <w:top w:w="28" w:type="dxa"/>
          <w:left w:w="28" w:type="dxa"/>
          <w:bottom w:w="28" w:type="dxa"/>
          <w:right w:w="28" w:type="dxa"/>
        </w:tblCellMar>
      </w:tblPr>
      <w:tblGrid>
        <w:gridCol w:w="1170"/>
        <w:gridCol w:w="1029"/>
        <w:gridCol w:w="1040"/>
        <w:gridCol w:w="381"/>
        <w:gridCol w:w="1521"/>
        <w:gridCol w:w="197"/>
        <w:gridCol w:w="109"/>
        <w:gridCol w:w="109"/>
        <w:gridCol w:w="109"/>
        <w:gridCol w:w="369"/>
        <w:gridCol w:w="1446"/>
        <w:gridCol w:w="269"/>
      </w:tblGrid>
      <w:tr>
        <w:trPr/>
        <w:tc>
          <w:tcPr>
            <w:tcW w:w="11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451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lines of credit</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357,548</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345,063 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Letters of credit</w:t>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4,641</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 to fund other investments</w:t>
            </w:r>
          </w:p>
        </w:tc>
        <w:tc>
          <w:tcPr>
            <w:tcW w:w="1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3,874</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credit extension commitments</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366,063</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354,533 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We believe the credit risk associated with issuing letters of credit is substantially the same as the risk involved in extending loan facilities to our customers.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commitment to fund other investments reflects an obligation to make an investment in a Small Business Investment Company.</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 xml:space="preserve">Impact of Inflation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8650"/>
                <wp:effectExtent l="0" t="0" r="0" b="0"/>
                <wp:wrapNone/>
                <wp:docPr id="68" name="Frame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Unlike many industrial companies, substantially all of the Company’s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most other operating expenses are sensitive to changes in levels of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8650"/>
                <wp:effectExtent l="0" t="0" r="0" b="0"/>
                <wp:wrapNone/>
                <wp:docPr id="69" name="Frame6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Interest Rate Sensitivity and Market Risk</w:t>
      </w:r>
    </w:p>
    <w:p>
      <w:pPr>
        <w:pStyle w:val="TextBody"/>
        <w:bidi w:val="0"/>
        <w:spacing w:lineRule="auto" w:line="288" w:before="0" w:after="240"/>
        <w:ind w:left="0" w:right="0" w:firstLine="360"/>
        <w:jc w:val="both"/>
        <w:rPr/>
      </w:pPr>
      <w:r>
        <w:rPr>
          <w:rFonts w:ascii="Arial;sans-serif" w:hAnsi="Arial;sans-serif"/>
          <w:b w:val="false"/>
          <w:color w:val="000000"/>
          <w:sz w:val="20"/>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sans-serif" w:hAnsi="Arial;sans-serif"/>
          <w:b/>
          <w:color w:val="000000"/>
          <w:sz w:val="20"/>
        </w:rPr>
        <w:t xml:space="preserve">. </w:t>
      </w:r>
      <w:r>
        <w:rPr>
          <w:rFonts w:ascii="Arial;sans-serif" w:hAnsi="Arial;sans-serif"/>
          <w:b w:val="false"/>
          <w:color w:val="000000"/>
          <w:sz w:val="20"/>
        </w:rPr>
        <w:t>We endeavor to manage our sensitivity position within our established guidelines.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8650"/>
                <wp:effectExtent l="0" t="0" r="0" b="0"/>
                <wp:wrapNone/>
                <wp:docPr id="70" name="Frame6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INTEREST SENSITIVITY GAP</w:t>
      </w:r>
    </w:p>
    <w:tbl>
      <w:tblPr>
        <w:tblW w:w="10235" w:type="dxa"/>
        <w:jc w:val="left"/>
        <w:tblInd w:w="0" w:type="dxa"/>
        <w:tblLayout w:type="fixed"/>
        <w:tblCellMar>
          <w:top w:w="28" w:type="dxa"/>
          <w:left w:w="28" w:type="dxa"/>
          <w:bottom w:w="28" w:type="dxa"/>
          <w:right w:w="28" w:type="dxa"/>
        </w:tblCellMar>
      </w:tblPr>
      <w:tblGrid>
        <w:gridCol w:w="651"/>
        <w:gridCol w:w="313"/>
        <w:gridCol w:w="312"/>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200"/>
        <w:gridCol w:w="753"/>
        <w:gridCol w:w="263"/>
        <w:gridCol w:w="109"/>
        <w:gridCol w:w="109"/>
        <w:gridCol w:w="109"/>
        <w:gridCol w:w="196"/>
        <w:gridCol w:w="87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September 30, 2023</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 One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One Month Through 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Three Through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Greater Than One Year or Non-Sensitive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8959"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Loans </w:t>
            </w:r>
            <w:r>
              <w:rPr>
                <w:rFonts w:ascii="Arial;sans-serif" w:hAnsi="Arial;sans-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353,075 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283,232 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1,092,274 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746,969 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Securities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earning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507,472 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457,115 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323,625 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907,578 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741,407 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76,009 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383,690 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339,586 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469,769 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817,416 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FHLB Advances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borrowed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339,586 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469,769 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851,478 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Period gap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456,043 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818,443 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gap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456,043 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818,443 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818,443 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874,543 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Ratio of cumulative gap to total earning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8"/>
        </w:rPr>
        <w:t>(1)</w:t>
      </w:r>
      <w:r>
        <w:rPr>
          <w:rFonts w:ascii="Arial;sans-serif" w:hAnsi="Arial;sans-serif"/>
          <w:b w:val="false"/>
          <w:color w:val="000000"/>
          <w:sz w:val="12"/>
        </w:rPr>
        <w:t>Includes loans held for sale and loans made under the SBA-PPP loan program.</w:t>
      </w:r>
    </w:p>
    <w:p>
      <w:pPr>
        <w:pStyle w:val="TextBody"/>
        <w:bidi w:val="0"/>
        <w:spacing w:before="0" w:after="24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8650"/>
                <wp:effectExtent l="0" t="0" r="0" b="0"/>
                <wp:wrapNone/>
                <wp:docPr id="71" name="Frame7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results of our EAR analysis in simulating the change in net interest income and fair value of equity over a 12-month horizon as of September 30, 2023:</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IMPACT ON NET INTEREST INCOME UNDER A STATIC BALANCE SHEET, PARALLEL INTEREST RATE SHOCK</w:t>
      </w:r>
    </w:p>
    <w:tbl>
      <w:tblPr>
        <w:tblW w:w="9623" w:type="dxa"/>
        <w:jc w:val="center"/>
        <w:tblInd w:w="0" w:type="dxa"/>
        <w:tblLayout w:type="fixed"/>
        <w:tblCellMar>
          <w:top w:w="28" w:type="dxa"/>
          <w:left w:w="28" w:type="dxa"/>
          <w:bottom w:w="28" w:type="dxa"/>
          <w:right w:w="28" w:type="dxa"/>
        </w:tblCellMar>
      </w:tblPr>
      <w:tblGrid>
        <w:gridCol w:w="575"/>
        <w:gridCol w:w="506"/>
        <w:gridCol w:w="508"/>
        <w:gridCol w:w="109"/>
        <w:gridCol w:w="109"/>
        <w:gridCol w:w="109"/>
        <w:gridCol w:w="224"/>
        <w:gridCol w:w="226"/>
        <w:gridCol w:w="421"/>
        <w:gridCol w:w="109"/>
        <w:gridCol w:w="109"/>
        <w:gridCol w:w="109"/>
        <w:gridCol w:w="224"/>
        <w:gridCol w:w="226"/>
        <w:gridCol w:w="421"/>
        <w:gridCol w:w="109"/>
        <w:gridCol w:w="109"/>
        <w:gridCol w:w="109"/>
        <w:gridCol w:w="224"/>
        <w:gridCol w:w="226"/>
        <w:gridCol w:w="421"/>
        <w:gridCol w:w="109"/>
        <w:gridCol w:w="109"/>
        <w:gridCol w:w="109"/>
        <w:gridCol w:w="188"/>
        <w:gridCol w:w="188"/>
        <w:gridCol w:w="256"/>
        <w:gridCol w:w="109"/>
        <w:gridCol w:w="109"/>
        <w:gridCol w:w="109"/>
        <w:gridCol w:w="188"/>
        <w:gridCol w:w="188"/>
        <w:gridCol w:w="438"/>
        <w:gridCol w:w="109"/>
        <w:gridCol w:w="109"/>
        <w:gridCol w:w="109"/>
        <w:gridCol w:w="188"/>
        <w:gridCol w:w="188"/>
        <w:gridCol w:w="438"/>
        <w:gridCol w:w="109"/>
        <w:gridCol w:w="109"/>
        <w:gridCol w:w="109"/>
        <w:gridCol w:w="188"/>
        <w:gridCol w:w="188"/>
        <w:gridCol w:w="496"/>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r>
      <w:tr>
        <w:trPr/>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illustrates the results of our EVE analysis as of September 30, 2023.</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ECONOMIC VALUE OF EQUITY ANALYSIS UNDER A STATIC BALANCE SHEET, PARALLEL INTEREST RATE SHOCK</w:t>
      </w:r>
    </w:p>
    <w:tbl>
      <w:tblPr>
        <w:tblW w:w="10205" w:type="dxa"/>
        <w:jc w:val="center"/>
        <w:tblInd w:w="0" w:type="dxa"/>
        <w:tblLayout w:type="fixed"/>
        <w:tblCellMar>
          <w:top w:w="28" w:type="dxa"/>
          <w:left w:w="28" w:type="dxa"/>
          <w:bottom w:w="28" w:type="dxa"/>
          <w:right w:w="28" w:type="dxa"/>
        </w:tblCellMar>
      </w:tblPr>
      <w:tblGrid>
        <w:gridCol w:w="711"/>
        <w:gridCol w:w="623"/>
        <w:gridCol w:w="628"/>
        <w:gridCol w:w="109"/>
        <w:gridCol w:w="109"/>
        <w:gridCol w:w="109"/>
        <w:gridCol w:w="219"/>
        <w:gridCol w:w="221"/>
        <w:gridCol w:w="394"/>
        <w:gridCol w:w="109"/>
        <w:gridCol w:w="109"/>
        <w:gridCol w:w="109"/>
        <w:gridCol w:w="219"/>
        <w:gridCol w:w="221"/>
        <w:gridCol w:w="394"/>
        <w:gridCol w:w="109"/>
        <w:gridCol w:w="109"/>
        <w:gridCol w:w="109"/>
        <w:gridCol w:w="219"/>
        <w:gridCol w:w="221"/>
        <w:gridCol w:w="394"/>
        <w:gridCol w:w="109"/>
        <w:gridCol w:w="109"/>
        <w:gridCol w:w="109"/>
        <w:gridCol w:w="188"/>
        <w:gridCol w:w="188"/>
        <w:gridCol w:w="256"/>
        <w:gridCol w:w="109"/>
        <w:gridCol w:w="109"/>
        <w:gridCol w:w="109"/>
        <w:gridCol w:w="219"/>
        <w:gridCol w:w="221"/>
        <w:gridCol w:w="409"/>
        <w:gridCol w:w="109"/>
        <w:gridCol w:w="109"/>
        <w:gridCol w:w="109"/>
        <w:gridCol w:w="219"/>
        <w:gridCol w:w="221"/>
        <w:gridCol w:w="409"/>
        <w:gridCol w:w="109"/>
        <w:gridCol w:w="109"/>
        <w:gridCol w:w="109"/>
        <w:gridCol w:w="219"/>
        <w:gridCol w:w="221"/>
        <w:gridCol w:w="409"/>
        <w:gridCol w:w="109"/>
        <w:gridCol w:w="164"/>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Economic Value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8650"/>
                <wp:effectExtent l="0" t="0" r="0" b="0"/>
                <wp:wrapNone/>
                <wp:docPr id="72" name="Frame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4. CONTROLS AND PROCEDURES.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management, including our Principal Executive Officer and Principal Financial Officer, have evaluated the effectiveness of our disclosure controls and procedures (as defined in Rule 13a-15(e)) under the Securities Exchange Act of 1934, as amended (the “Exchange Act”) as of the end of the period covered by this report. Based upon that evaluation, our Principal Executive Officer and Principal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Principal Executive Officer and the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8650"/>
                <wp:effectExtent l="0" t="0" r="0" b="0"/>
                <wp:wrapNone/>
                <wp:docPr id="73" name="Frame7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1. LEGAL PROCEEDINGS.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are a party to various litigation matters incidental to the ordinary conduct of our business. We are not presently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 xml:space="preserve">Item 1A. RISK FACTORS.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are no material changes to the risk factors as previously disclosed under Item 1A in our Annual Report on Form 10-K for the year ended December 31, 2022 and our Form 10-Q for the first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8650"/>
                <wp:effectExtent l="0" t="0" r="0" b="0"/>
                <wp:wrapNone/>
                <wp:docPr id="74"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2. UNREGISTERED SALES OF EQUITY SECURITIES AND USE OF PROCEEDS.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were no unregistered sales of the Company’s stock during the year to date period ended September 30, 2023.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On July 25, 2022, the Company announced a new stock repurchase program. Under the new program, the Company is authorized to repurchase up to $10.0 million of its outstanding common stock or 500,000 shares of Common Stock, par value $0.01 per share (“Common Stock”). On April 13, 2023, the Company announced approval of up to an additional $5.0 million or 175,000 shares of Common Stock incremental to the July 2022 announcement. The program will expire on December 31, 2024. There were no stock repurchases by the Company under the repurchase program announced on July 25, 2022, prior to the quarter ended March 31, 2023. During the three months ended September 30, 2023, the Company repurchased Common Stock under the stock repurchase program as reflected in the following table.</w:t>
      </w:r>
    </w:p>
    <w:tbl>
      <w:tblPr>
        <w:tblW w:w="10205" w:type="dxa"/>
        <w:jc w:val="left"/>
        <w:tblInd w:w="0" w:type="dxa"/>
        <w:tblLayout w:type="fixed"/>
        <w:tblCellMar>
          <w:top w:w="28" w:type="dxa"/>
          <w:left w:w="28" w:type="dxa"/>
          <w:bottom w:w="28" w:type="dxa"/>
          <w:right w:w="28" w:type="dxa"/>
        </w:tblCellMar>
      </w:tblPr>
      <w:tblGrid>
        <w:gridCol w:w="703"/>
        <w:gridCol w:w="443"/>
        <w:gridCol w:w="445"/>
        <w:gridCol w:w="516"/>
        <w:gridCol w:w="504"/>
        <w:gridCol w:w="506"/>
        <w:gridCol w:w="297"/>
        <w:gridCol w:w="845"/>
        <w:gridCol w:w="165"/>
        <w:gridCol w:w="948"/>
        <w:gridCol w:w="916"/>
        <w:gridCol w:w="918"/>
        <w:gridCol w:w="480"/>
        <w:gridCol w:w="2134"/>
        <w:gridCol w:w="385"/>
      </w:tblGrid>
      <w:tr>
        <w:trPr/>
        <w:tc>
          <w:tcPr>
            <w:tcW w:w="7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Dollar Value of Shares that May Yet Be Purchased Under the Plans or Programs</w:t>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1, 2023 to July 31, 2023</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33,132 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318,476 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9,332,007 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1, 2023 to August 31, 2023</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41,779 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360,255 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8,500,166 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1, 2023 to September 30, 2023</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25,664 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385,919 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8,006,814 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8650"/>
                <wp:effectExtent l="0" t="0" r="0" b="0"/>
                <wp:wrapNone/>
                <wp:docPr id="75" name="Frame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4. MINE SAFETY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5. OTHER INFORMATION.</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6. EXHIBITS.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712"/>
        <w:gridCol w:w="2595"/>
        <w:gridCol w:w="3690"/>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6"/>
                  <w:u w:val="single"/>
                </w:rPr>
                <w:t>Amended and Restated Articles of Incorporation, as amended (incorporated by reference to Exhibit 3.1 to the Company’s Form 8-K filed on May 23, 2023).</w:t>
              </w:r>
            </w:hyperlink>
          </w:p>
        </w:tc>
      </w:tr>
      <w:tr>
        <w:trPr/>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6"/>
                  <w:u w:val="single"/>
                </w:rPr>
                <w:t>Amended and Restated Bylaws (incorporated by reference to Exhibit 3.2 to the Company’s Form 8-K filed on May 23, 2023).</w:t>
              </w:r>
            </w:hyperlink>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7" w:type="dxa"/>
            <w:gridSpan w:val="3"/>
            <w:tcBorders/>
            <w:vAlign w:val="center"/>
          </w:tcPr>
          <w:p>
            <w:pPr>
              <w:pStyle w:val="TableContents"/>
              <w:bidi w:val="0"/>
              <w:spacing w:before="0" w:after="283"/>
              <w:jc w:val="left"/>
              <w:rPr>
                <w:sz w:val="4"/>
                <w:szCs w:val="4"/>
              </w:rPr>
            </w:pPr>
            <w:r>
              <w:rPr>
                <w:sz w:val="4"/>
                <w:szCs w:val="4"/>
              </w:rPr>
            </w:r>
          </w:p>
        </w:tc>
      </w:tr>
      <w:tr>
        <w:trPr/>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ertofceoq32023.htm">
              <w:r>
                <w:rPr>
                  <w:rStyle w:val="InternetLink"/>
                  <w:rFonts w:ascii="Arial;sans-serif" w:hAnsi="Arial;sans-serif"/>
                  <w:b w:val="false"/>
                  <w:color w:val="0000FF"/>
                  <w:sz w:val="16"/>
                  <w:u w:val="single"/>
                </w:rPr>
                <w:t>Rule 13a-14(a) Certification of the Principal Executive Officer.</w:t>
              </w:r>
            </w:hyperlink>
          </w:p>
        </w:tc>
      </w:tr>
      <w:tr>
        <w:trPr/>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ertofcfoq32023.htm">
              <w:r>
                <w:rPr>
                  <w:rStyle w:val="InternetLink"/>
                  <w:rFonts w:ascii="Arial;sans-serif" w:hAnsi="Arial;sans-serif"/>
                  <w:b w:val="false"/>
                  <w:color w:val="0000FF"/>
                  <w:sz w:val="16"/>
                  <w:u w:val="single"/>
                </w:rPr>
                <w:t>Rule 13a-14(a) Certification of the Principal Financial Officer.</w:t>
              </w:r>
            </w:hyperlink>
          </w:p>
        </w:tc>
      </w:tr>
      <w:tr>
        <w:trPr/>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ertofsoxq32023.htm">
              <w:r>
                <w:rPr>
                  <w:rStyle w:val="InternetLink"/>
                  <w:rFonts w:ascii="Arial;sans-serif" w:hAnsi="Arial;sans-serif"/>
                  <w:b w:val="false"/>
                  <w:color w:val="0000FF"/>
                  <w:sz w:val="16"/>
                  <w:u w:val="single"/>
                </w:rPr>
                <w:t>Section 1350 Certification of Principal Executive Officer and Principal Financial Officer.</w:t>
              </w:r>
            </w:hyperlink>
          </w:p>
        </w:tc>
      </w:tr>
      <w:tr>
        <w:trPr/>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following materials from the Quarterly Report on Form 10-Q of Capital Bancorp, Inc. for the quarter ended September 30, 2023,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tc>
      </w:tr>
      <w:tr>
        <w:trPr/>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8650"/>
                <wp:effectExtent l="0" t="0" r="0" b="0"/>
                <wp:wrapNone/>
                <wp:docPr id="76"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pPr>
      <w:r>
        <w:rPr>
          <w:color w:val="000000"/>
        </w:rPr>
        <w:t>                    </w:t>
      </w:r>
      <w:r>
        <w:rPr>
          <w:rFonts w:ascii="Arial;sans-serif" w:hAnsi="Arial;sans-serif"/>
          <w:b/>
          <w:color w:val="000000"/>
          <w:sz w:val="20"/>
        </w:rPr>
        <w:t>CAPITAL BANCORP, INC.    </w:t>
      </w:r>
    </w:p>
    <w:p>
      <w:pPr>
        <w:pStyle w:val="TextBody"/>
        <w:bidi w:val="0"/>
        <w:spacing w:lineRule="auto" w:line="288" w:before="0" w:after="24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Date: November 9, 2023        </w:t>
      </w:r>
      <w:r>
        <w:rPr>
          <w:rFonts w:ascii="Arial;sans-serif" w:hAnsi="Arial;sans-serif"/>
          <w:b w:val="false"/>
          <w:color w:val="000000"/>
          <w:sz w:val="20"/>
          <w:u w:val="single"/>
        </w:rPr>
        <w:t>/s/ Ed Barry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Ed Barry</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(Principal Executive Officer)</w:t>
      </w:r>
    </w:p>
    <w:p>
      <w:pPr>
        <w:pStyle w:val="TextBody"/>
        <w:bidi w:val="0"/>
        <w:spacing w:lineRule="auto" w:line="288" w:before="0" w:after="0"/>
        <w:jc w:val="both"/>
        <w:rPr/>
      </w:pPr>
      <w:r>
        <w:rPr>
          <w:rFonts w:ascii="Arial;sans-serif" w:hAnsi="Arial;sans-serif"/>
          <w:b w:val="false"/>
          <w:color w:val="000000"/>
          <w:sz w:val="20"/>
        </w:rPr>
        <w:t>Date: November 9, 2023        </w:t>
      </w:r>
      <w:r>
        <w:rPr>
          <w:rFonts w:ascii="Arial;sans-serif" w:hAnsi="Arial;sans-serif"/>
          <w:b w:val="false"/>
          <w:color w:val="000000"/>
          <w:sz w:val="20"/>
          <w:u w:val="single"/>
        </w:rPr>
        <w:t>/s/ Jay Walker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Jay Walker</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(Principal Financial and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8650"/>
                <wp:effectExtent l="0" t="0" r="0" b="0"/>
                <wp:wrapNone/>
                <wp:docPr id="77" name="Frame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EX-31.1 (RULE 13A-14(A) CERTIFICATION OF THE PRINCIPAL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Executive Officer.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Rule 13a-14(a) Certification of the Principal Executive Officer.</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Ed Barry, certify that: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pPr>
      <w:r>
        <w:rPr>
          <w:rFonts w:ascii="Arial;sans-serif" w:hAnsi="Arial;sans-serif"/>
          <w:b w:val="false"/>
          <w:color w:val="000000"/>
          <w:sz w:val="20"/>
        </w:rPr>
        <w:t xml:space="preserve">Date:    November 9, 2023            By: </w:t>
      </w:r>
      <w:r>
        <w:rPr>
          <w:rFonts w:ascii="Arial;sans-serif" w:hAnsi="Arial;sans-serif"/>
          <w:b w:val="false"/>
          <w:color w:val="000000"/>
          <w:sz w:val="20"/>
          <w:u w:val="single"/>
        </w:rPr>
        <w:t>/s/ Ed Barry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Ed Barry</w:t>
      </w:r>
    </w:p>
    <w:p>
      <w:pPr>
        <w:pStyle w:val="TextBody"/>
        <w:bidi w:val="0"/>
        <w:spacing w:lineRule="auto" w:line="288"/>
        <w:jc w:val="left"/>
        <w:rPr>
          <w:color w:val="000000"/>
        </w:rPr>
      </w:pPr>
      <w:r>
        <w:rPr>
          <w:color w:val="000000"/>
        </w:rPr>
        <w:t xml:space="preserve">                     </w:t>
      </w:r>
      <w:r>
        <w:rPr>
          <w:rFonts w:ascii="Arial;sans-serif" w:hAnsi="Arial;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EX-31.2 (RULE 13A-14(A) CERTIFICATION OF THE PRINCIPAL FINANCIAL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Financial Officer.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Rule 13a-14(a) Certification of the Principal Financial Officer.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Jay Walker, certify that: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pPr>
      <w:r>
        <w:rPr>
          <w:rFonts w:ascii="Arial;sans-serif" w:hAnsi="Arial;sans-serif"/>
          <w:b w:val="false"/>
          <w:color w:val="000000"/>
          <w:sz w:val="20"/>
        </w:rPr>
        <w:t xml:space="preserve">Date: November 9, 2023                By: </w:t>
      </w:r>
      <w:r>
        <w:rPr>
          <w:rFonts w:ascii="Arial;sans-serif" w:hAnsi="Arial;sans-serif"/>
          <w:b w:val="false"/>
          <w:color w:val="000000"/>
          <w:sz w:val="20"/>
          <w:u w:val="single"/>
        </w:rPr>
        <w:t>/s/ Jay Walker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Jay Walker</w:t>
      </w:r>
    </w:p>
    <w:p>
      <w:pPr>
        <w:pStyle w:val="TextBody"/>
        <w:bidi w:val="0"/>
        <w:spacing w:lineRule="auto" w:line="288"/>
        <w:jc w:val="left"/>
        <w:rPr>
          <w:color w:val="000000"/>
        </w:rPr>
      </w:pPr>
      <w:r>
        <w:rPr>
          <w:color w:val="000000"/>
        </w:rPr>
        <w:t xml:space="preserve">                         </w:t>
      </w:r>
      <w:r>
        <w:rPr>
          <w:rFonts w:ascii="Arial;sans-serif" w:hAnsi="Arial;sans-serif"/>
          <w:b w:val="false"/>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EX-32.1 (Certification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 connection with the Quarterly Report of Capital Bancorp, Inc. (the “Company”) on Form 10-Q for the period ended September 30, 2023,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p>
      <w:pPr>
        <w:pStyle w:val="TextBody"/>
        <w:bidi w:val="0"/>
        <w:spacing w:before="0" w:after="240"/>
        <w:jc w:val="both"/>
        <w:rPr/>
      </w:pPr>
      <w:r>
        <w:rPr/>
      </w:r>
    </w:p>
    <w:p>
      <w:pPr>
        <w:pStyle w:val="TextBody"/>
        <w:bidi w:val="0"/>
        <w:spacing w:lineRule="auto" w:line="288" w:before="0" w:after="0"/>
        <w:jc w:val="both"/>
        <w:rPr/>
      </w:pPr>
      <w:r>
        <w:rPr>
          <w:rFonts w:ascii="Arial;sans-serif" w:hAnsi="Arial;sans-serif"/>
          <w:b w:val="false"/>
          <w:color w:val="000000"/>
          <w:sz w:val="20"/>
        </w:rPr>
        <w:t xml:space="preserve">Date:    November 9, 2023            By: </w:t>
      </w:r>
      <w:r>
        <w:rPr>
          <w:rFonts w:ascii="Arial;sans-serif" w:hAnsi="Arial;sans-serif"/>
          <w:b w:val="false"/>
          <w:color w:val="000000"/>
          <w:sz w:val="20"/>
          <w:u w:val="single"/>
        </w:rPr>
        <w:t>/s/ Ed Barry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Ed Barry</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Jay Walker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Jay Walker</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Principal Financial Officer</w:t>
      </w:r>
    </w:p>
    <w:p>
      <w:pPr>
        <w:pStyle w:val="TextBody"/>
        <w:bidi w:val="0"/>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19536/000141953623000094/exhibit31-amendedarticles.htm" TargetMode="External"/><Relationship Id="rId4" Type="http://schemas.openxmlformats.org/officeDocument/2006/relationships/hyperlink" Target="https://www.sec.gov/Archives/edgar/data/1419536/000141953623000094/exhibit32-amend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31882</Words>
  <Characters>177786</Characters>
  <CharactersWithSpaces>207605</CharactersWithSpaces>
  <Paragraphs>5847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